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20" w:lineRule="exact"/>
        <w:rPr>
          <w:sz w:val="24"/>
          <w:szCs w:val="24"/>
          <w:color w:val="auto"/>
        </w:rPr>
      </w:pPr>
    </w:p>
    <w:p>
      <w:pPr>
        <w:ind w:left="4440" w:right="4400" w:hanging="4401"/>
        <w:spacing w:after="0" w:line="475" w:lineRule="auto"/>
        <w:tabs>
          <w:tab w:leader="none" w:pos="571"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2021</w:t>
      </w:r>
    </w:p>
    <w:p>
      <w:pPr>
        <w:spacing w:after="0" w:line="2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24" w:lineRule="exact"/>
        <w:rPr>
          <w:sz w:val="24"/>
          <w:szCs w:val="24"/>
          <w:color w:val="auto"/>
        </w:rPr>
      </w:pPr>
    </w:p>
    <w:tbl>
      <w:tblPr>
        <w:tblLayout w:type="fixed"/>
        <w:tblInd w:w="4440" w:type="dxa"/>
        <w:tblCellMar>
          <w:top w:w="0" w:type="dxa"/>
          <w:left w:w="0" w:type="dxa"/>
          <w:bottom w:w="0" w:type="dxa"/>
          <w:right w:w="0" w:type="dxa"/>
        </w:tblCellMar>
      </w:tblPr>
      <w:tr>
        <w:trPr>
          <w:trHeight w:val="149"/>
        </w:trPr>
        <w:tc>
          <w:tcPr>
            <w:tcW w:w="1640" w:type="dxa"/>
            <w:vAlign w:val="bottom"/>
          </w:tcPr>
          <w:p>
            <w:pPr>
              <w:spacing w:after="0"/>
              <w:rPr>
                <w:sz w:val="20"/>
                <w:szCs w:val="20"/>
                <w:color w:val="auto"/>
              </w:rPr>
            </w:pPr>
            <w:r>
              <w:rPr>
                <w:rFonts w:ascii="Arial" w:cs="Arial" w:eastAsia="Arial" w:hAnsi="Arial"/>
                <w:sz w:val="13"/>
                <w:szCs w:val="13"/>
                <w:b w:val="1"/>
                <w:bCs w:val="1"/>
                <w:color w:val="auto"/>
                <w:w w:val="88"/>
              </w:rPr>
              <w:t>For the transition period from</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81"/>
              </w:rPr>
              <w:t>to</w:t>
            </w:r>
          </w:p>
        </w:tc>
        <w:tc>
          <w:tcPr>
            <w:tcW w:w="300" w:type="dxa"/>
            <w:vAlign w:val="bottom"/>
            <w:tcBorders>
              <w:bottom w:val="single" w:sz="8" w:color="auto"/>
            </w:tcBorders>
          </w:tcPr>
          <w:p>
            <w:pPr>
              <w:spacing w:after="0"/>
              <w:rPr>
                <w:sz w:val="13"/>
                <w:szCs w:val="13"/>
                <w:color w:val="auto"/>
              </w:rPr>
            </w:pPr>
          </w:p>
        </w:tc>
      </w:tr>
      <w:tr>
        <w:trPr>
          <w:trHeight w:val="193"/>
        </w:trPr>
        <w:tc>
          <w:tcPr>
            <w:tcW w:w="2360" w:type="dxa"/>
            <w:vAlign w:val="bottom"/>
            <w:gridSpan w:val="4"/>
          </w:tcPr>
          <w:p>
            <w:pPr>
              <w:ind w:left="260"/>
              <w:spacing w:after="0"/>
              <w:rPr>
                <w:sz w:val="20"/>
                <w:szCs w:val="20"/>
                <w:color w:val="auto"/>
              </w:rPr>
            </w:pPr>
            <w:r>
              <w:rPr>
                <w:rFonts w:ascii="Arial" w:cs="Arial" w:eastAsia="Arial" w:hAnsi="Arial"/>
                <w:sz w:val="13"/>
                <w:szCs w:val="13"/>
                <w:b w:val="1"/>
                <w:bCs w:val="1"/>
                <w:color w:val="auto"/>
                <w:w w:val="99"/>
              </w:rPr>
              <w:t>Commission File Number 1-36756</w:t>
            </w:r>
          </w:p>
        </w:tc>
      </w:tr>
    </w:tbl>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Lamar Advertising Company</w:t>
      </w:r>
    </w:p>
    <w:p>
      <w:pPr>
        <w:spacing w:after="0" w:line="34"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1-12407</w:t>
      </w:r>
    </w:p>
    <w:p>
      <w:pPr>
        <w:spacing w:after="0" w:line="15"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Lamar Media Corp.</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names of registrants as specified in their charters)</w:t>
      </w:r>
    </w:p>
    <w:p>
      <w:pPr>
        <w:spacing w:after="0" w:line="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60" w:type="dxa"/>
            <w:vAlign w:val="bottom"/>
          </w:tcPr>
          <w:p>
            <w:pPr>
              <w:jc w:val="center"/>
              <w:ind w:left="1617"/>
              <w:spacing w:after="0"/>
              <w:rPr>
                <w:sz w:val="20"/>
                <w:szCs w:val="20"/>
                <w:color w:val="auto"/>
              </w:rPr>
            </w:pPr>
            <w:r>
              <w:rPr>
                <w:rFonts w:ascii="Arial" w:cs="Arial" w:eastAsia="Arial" w:hAnsi="Arial"/>
                <w:sz w:val="13"/>
                <w:szCs w:val="13"/>
                <w:b w:val="1"/>
                <w:bCs w:val="1"/>
                <w:color w:val="auto"/>
                <w:w w:val="87"/>
              </w:rPr>
              <w:t>Delaware</w:t>
            </w:r>
          </w:p>
        </w:tc>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tcPr>
          <w:p>
            <w:pPr>
              <w:jc w:val="center"/>
              <w:ind w:right="1737"/>
              <w:spacing w:after="0"/>
              <w:rPr>
                <w:sz w:val="20"/>
                <w:szCs w:val="20"/>
                <w:color w:val="auto"/>
              </w:rPr>
            </w:pPr>
            <w:r>
              <w:rPr>
                <w:rFonts w:ascii="Arial" w:cs="Arial" w:eastAsia="Arial" w:hAnsi="Arial"/>
                <w:sz w:val="13"/>
                <w:szCs w:val="13"/>
                <w:b w:val="1"/>
                <w:bCs w:val="1"/>
                <w:color w:val="auto"/>
                <w:w w:val="89"/>
              </w:rPr>
              <w:t>47-0961620</w:t>
            </w:r>
          </w:p>
        </w:tc>
      </w:tr>
      <w:tr>
        <w:trPr>
          <w:trHeight w:val="175"/>
        </w:trPr>
        <w:tc>
          <w:tcPr>
            <w:tcW w:w="3860" w:type="dxa"/>
            <w:vAlign w:val="bottom"/>
          </w:tcPr>
          <w:p>
            <w:pPr>
              <w:jc w:val="center"/>
              <w:ind w:left="1617"/>
              <w:spacing w:after="0"/>
              <w:rPr>
                <w:sz w:val="20"/>
                <w:szCs w:val="20"/>
                <w:color w:val="auto"/>
              </w:rPr>
            </w:pPr>
            <w:r>
              <w:rPr>
                <w:rFonts w:ascii="Arial" w:cs="Arial" w:eastAsia="Arial" w:hAnsi="Arial"/>
                <w:sz w:val="13"/>
                <w:szCs w:val="13"/>
                <w:b w:val="1"/>
                <w:bCs w:val="1"/>
                <w:color w:val="auto"/>
                <w:w w:val="87"/>
              </w:rPr>
              <w:t>Delaware</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Arial" w:cs="Arial" w:eastAsia="Arial" w:hAnsi="Arial"/>
                <w:sz w:val="13"/>
                <w:szCs w:val="13"/>
                <w:b w:val="1"/>
                <w:bCs w:val="1"/>
                <w:color w:val="auto"/>
                <w:w w:val="89"/>
              </w:rPr>
              <w:t>72-1205791</w:t>
            </w:r>
          </w:p>
        </w:tc>
      </w:tr>
      <w:tr>
        <w:trPr>
          <w:trHeight w:val="175"/>
        </w:trPr>
        <w:tc>
          <w:tcPr>
            <w:tcW w:w="7420" w:type="dxa"/>
            <w:vAlign w:val="bottom"/>
            <w:gridSpan w:val="4"/>
          </w:tcPr>
          <w:p>
            <w:pPr>
              <w:jc w:val="center"/>
              <w:ind w:right="1860"/>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820" w:type="dxa"/>
            <w:vAlign w:val="bottom"/>
          </w:tcPr>
          <w:p>
            <w:pPr>
              <w:jc w:val="center"/>
              <w:ind w:right="1737"/>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175"/>
        </w:trPr>
        <w:tc>
          <w:tcPr>
            <w:tcW w:w="3860" w:type="dxa"/>
            <w:vAlign w:val="bottom"/>
          </w:tcPr>
          <w:p>
            <w:pPr>
              <w:jc w:val="center"/>
              <w:ind w:left="1637"/>
              <w:spacing w:after="0"/>
              <w:rPr>
                <w:sz w:val="20"/>
                <w:szCs w:val="20"/>
                <w:color w:val="auto"/>
              </w:rPr>
            </w:pPr>
            <w:r>
              <w:rPr>
                <w:rFonts w:ascii="Arial" w:cs="Arial" w:eastAsia="Arial" w:hAnsi="Arial"/>
                <w:sz w:val="13"/>
                <w:szCs w:val="13"/>
                <w:b w:val="1"/>
                <w:bCs w:val="1"/>
                <w:color w:val="auto"/>
                <w:w w:val="88"/>
              </w:rPr>
              <w:t>5321 Corporate Blvd., Baton Rouge, LA</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Arial" w:cs="Arial" w:eastAsia="Arial" w:hAnsi="Arial"/>
                <w:sz w:val="13"/>
                <w:szCs w:val="13"/>
                <w:b w:val="1"/>
                <w:bCs w:val="1"/>
                <w:color w:val="auto"/>
                <w:w w:val="82"/>
              </w:rPr>
              <w:t>70808</w:t>
            </w:r>
          </w:p>
        </w:tc>
      </w:tr>
      <w:tr>
        <w:trPr>
          <w:trHeight w:val="175"/>
        </w:trPr>
        <w:tc>
          <w:tcPr>
            <w:tcW w:w="3860" w:type="dxa"/>
            <w:vAlign w:val="bottom"/>
          </w:tcPr>
          <w:p>
            <w:pPr>
              <w:jc w:val="center"/>
              <w:ind w:left="16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Arial" w:cs="Arial" w:eastAsia="Arial" w:hAnsi="Arial"/>
                <w:sz w:val="13"/>
                <w:szCs w:val="13"/>
                <w:b w:val="1"/>
                <w:bCs w:val="1"/>
                <w:color w:val="auto"/>
                <w:w w:val="90"/>
              </w:rPr>
              <w:t>(Zip Code)</w:t>
            </w:r>
          </w:p>
        </w:tc>
      </w:tr>
      <w:tr>
        <w:trPr>
          <w:trHeight w:val="291"/>
        </w:trPr>
        <w:tc>
          <w:tcPr>
            <w:tcW w:w="386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7"/>
              </w:rPr>
              <w:t>Registrants’ telephone number, including area code: (225) 926-1000</w:t>
            </w:r>
          </w:p>
        </w:tc>
        <w:tc>
          <w:tcPr>
            <w:tcW w:w="3820" w:type="dxa"/>
            <w:vAlign w:val="bottom"/>
          </w:tcPr>
          <w:p>
            <w:pPr>
              <w:spacing w:after="0"/>
              <w:rPr>
                <w:sz w:val="24"/>
                <w:szCs w:val="24"/>
                <w:color w:val="auto"/>
              </w:rPr>
            </w:pPr>
          </w:p>
        </w:tc>
      </w:tr>
      <w:tr>
        <w:trPr>
          <w:trHeight w:val="157"/>
        </w:trPr>
        <w:tc>
          <w:tcPr>
            <w:tcW w:w="3860" w:type="dxa"/>
            <w:vAlign w:val="bottom"/>
          </w:tcPr>
          <w:p>
            <w:pPr>
              <w:spacing w:after="0"/>
              <w:rPr>
                <w:sz w:val="13"/>
                <w:szCs w:val="13"/>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9"/>
              </w:rPr>
              <w:t>SECURITIES OF LAMAR ADVERTISING COMPANY</w:t>
            </w:r>
          </w:p>
        </w:tc>
        <w:tc>
          <w:tcPr>
            <w:tcW w:w="3820" w:type="dxa"/>
            <w:vAlign w:val="bottom"/>
          </w:tcPr>
          <w:p>
            <w:pPr>
              <w:spacing w:after="0"/>
              <w:rPr>
                <w:sz w:val="13"/>
                <w:szCs w:val="13"/>
                <w:color w:val="auto"/>
              </w:rPr>
            </w:pPr>
          </w:p>
        </w:tc>
      </w:tr>
      <w:tr>
        <w:trPr>
          <w:trHeight w:val="140"/>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17"/>
        </w:trPr>
        <w:tc>
          <w:tcPr>
            <w:tcW w:w="3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163"/>
        </w:trPr>
        <w:tc>
          <w:tcPr>
            <w:tcW w:w="3860" w:type="dxa"/>
            <w:vAlign w:val="bottom"/>
            <w:tcBorders>
              <w:left w:val="single" w:sz="8" w:color="auto"/>
              <w:bottom w:val="single" w:sz="8" w:color="auto"/>
            </w:tcBorders>
          </w:tcPr>
          <w:p>
            <w:pPr>
              <w:jc w:val="center"/>
              <w:ind w:left="497"/>
              <w:spacing w:after="0"/>
              <w:rPr>
                <w:sz w:val="20"/>
                <w:szCs w:val="20"/>
                <w:color w:val="auto"/>
              </w:rPr>
            </w:pPr>
            <w:r>
              <w:rPr>
                <w:rFonts w:ascii="Arial" w:cs="Arial" w:eastAsia="Arial" w:hAnsi="Arial"/>
                <w:sz w:val="13"/>
                <w:szCs w:val="13"/>
                <w:color w:val="auto"/>
                <w:w w:val="86"/>
              </w:rPr>
              <w:t>Title of each class</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Trading Symbol(s)</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Arial" w:cs="Arial" w:eastAsia="Arial" w:hAnsi="Arial"/>
                <w:sz w:val="13"/>
                <w:szCs w:val="13"/>
                <w:color w:val="auto"/>
                <w:w w:val="86"/>
              </w:rPr>
              <w:t>Name of each exchange on which registered</w:t>
            </w:r>
          </w:p>
        </w:tc>
      </w:tr>
      <w:tr>
        <w:trPr>
          <w:trHeight w:val="169"/>
        </w:trPr>
        <w:tc>
          <w:tcPr>
            <w:tcW w:w="3860" w:type="dxa"/>
            <w:vAlign w:val="bottom"/>
            <w:tcBorders>
              <w:left w:val="single" w:sz="8" w:color="auto"/>
              <w:bottom w:val="single" w:sz="8" w:color="auto"/>
            </w:tcBorders>
          </w:tcPr>
          <w:p>
            <w:pPr>
              <w:jc w:val="center"/>
              <w:ind w:left="517"/>
              <w:spacing w:after="0"/>
              <w:rPr>
                <w:sz w:val="20"/>
                <w:szCs w:val="20"/>
                <w:color w:val="auto"/>
              </w:rPr>
            </w:pPr>
            <w:r>
              <w:rPr>
                <w:rFonts w:ascii="Arial" w:cs="Arial" w:eastAsia="Arial" w:hAnsi="Arial"/>
                <w:sz w:val="13"/>
                <w:szCs w:val="13"/>
                <w:color w:val="auto"/>
                <w:w w:val="88"/>
              </w:rPr>
              <w:t>Class A common stock, $0.001 par value</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LAMR</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Arial" w:cs="Arial" w:eastAsia="Arial" w:hAnsi="Arial"/>
                <w:sz w:val="13"/>
                <w:szCs w:val="13"/>
                <w:color w:val="auto"/>
                <w:w w:val="92"/>
              </w:rPr>
              <w:t>The NASDAQ Stock Market, LLC</w:t>
            </w:r>
          </w:p>
        </w:tc>
      </w:tr>
      <w:tr>
        <w:trPr>
          <w:trHeight w:val="229"/>
        </w:trPr>
        <w:tc>
          <w:tcPr>
            <w:tcW w:w="3860" w:type="dxa"/>
            <w:vAlign w:val="bottom"/>
          </w:tcPr>
          <w:p>
            <w:pPr>
              <w:spacing w:after="0"/>
              <w:rPr>
                <w:sz w:val="19"/>
                <w:szCs w:val="19"/>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9"/>
              </w:rPr>
              <w:t>SECURITIES OF LAMAR ADVERTISING COMPANY</w:t>
            </w:r>
          </w:p>
        </w:tc>
        <w:tc>
          <w:tcPr>
            <w:tcW w:w="3820" w:type="dxa"/>
            <w:vAlign w:val="bottom"/>
          </w:tcPr>
          <w:p>
            <w:pPr>
              <w:spacing w:after="0"/>
              <w:rPr>
                <w:sz w:val="19"/>
                <w:szCs w:val="19"/>
                <w:color w:val="auto"/>
              </w:rPr>
            </w:pPr>
          </w:p>
        </w:tc>
      </w:tr>
      <w:tr>
        <w:trPr>
          <w:trHeight w:val="140"/>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87"/>
              </w:rPr>
              <w:t>None</w:t>
            </w:r>
          </w:p>
        </w:tc>
        <w:tc>
          <w:tcPr>
            <w:tcW w:w="3820" w:type="dxa"/>
            <w:vAlign w:val="bottom"/>
          </w:tcPr>
          <w:p>
            <w:pPr>
              <w:spacing w:after="0"/>
              <w:rPr>
                <w:sz w:val="14"/>
                <w:szCs w:val="14"/>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9"/>
              </w:rPr>
              <w:t>SECURITIES OF LAMAR MEDIA CORP.</w:t>
            </w:r>
          </w:p>
        </w:tc>
        <w:tc>
          <w:tcPr>
            <w:tcW w:w="3820" w:type="dxa"/>
            <w:vAlign w:val="bottom"/>
          </w:tcPr>
          <w:p>
            <w:pPr>
              <w:spacing w:after="0"/>
              <w:rPr>
                <w:sz w:val="11"/>
                <w:szCs w:val="11"/>
                <w:color w:val="auto"/>
              </w:rPr>
            </w:pPr>
          </w:p>
        </w:tc>
      </w:tr>
      <w:tr>
        <w:trPr>
          <w:trHeight w:val="140"/>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87"/>
              </w:rPr>
              <w:t>None</w:t>
            </w:r>
          </w:p>
        </w:tc>
        <w:tc>
          <w:tcPr>
            <w:tcW w:w="3820" w:type="dxa"/>
            <w:vAlign w:val="bottom"/>
          </w:tcPr>
          <w:p>
            <w:pPr>
              <w:spacing w:after="0"/>
              <w:rPr>
                <w:sz w:val="14"/>
                <w:szCs w:val="14"/>
                <w:color w:val="auto"/>
              </w:rPr>
            </w:pPr>
          </w:p>
        </w:tc>
      </w:tr>
      <w:tr>
        <w:trPr>
          <w:trHeight w:val="130"/>
        </w:trPr>
        <w:tc>
          <w:tcPr>
            <w:tcW w:w="3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99"/>
              </w:rPr>
              <w:t>SECURITIES OF LAMAR MEDIA CORP.</w:t>
            </w:r>
          </w:p>
        </w:tc>
        <w:tc>
          <w:tcPr>
            <w:tcW w:w="3820" w:type="dxa"/>
            <w:vAlign w:val="bottom"/>
          </w:tcPr>
          <w:p>
            <w:pPr>
              <w:spacing w:after="0"/>
              <w:rPr>
                <w:sz w:val="11"/>
                <w:szCs w:val="11"/>
                <w:color w:val="auto"/>
              </w:rPr>
            </w:pPr>
          </w:p>
        </w:tc>
      </w:tr>
      <w:tr>
        <w:trPr>
          <w:trHeight w:val="140"/>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7"/>
              </w:rPr>
              <w:t>REGISTERED PURSUANT TO SECTION 12(g) OF THE ACT:</w:t>
            </w:r>
          </w:p>
        </w:tc>
        <w:tc>
          <w:tcPr>
            <w:tcW w:w="3820" w:type="dxa"/>
            <w:vAlign w:val="bottom"/>
          </w:tcPr>
          <w:p>
            <w:pPr>
              <w:spacing w:after="0"/>
              <w:rPr>
                <w:sz w:val="12"/>
                <w:szCs w:val="12"/>
                <w:color w:val="auto"/>
              </w:rPr>
            </w:pPr>
          </w:p>
        </w:tc>
      </w:tr>
      <w:tr>
        <w:trPr>
          <w:trHeight w:val="170"/>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6"/>
              </w:rPr>
              <w:t>None</w:t>
            </w:r>
          </w:p>
        </w:tc>
        <w:tc>
          <w:tcPr>
            <w:tcW w:w="3820" w:type="dxa"/>
            <w:vAlign w:val="bottom"/>
          </w:tcPr>
          <w:p>
            <w:pPr>
              <w:spacing w:after="0"/>
              <w:rPr>
                <w:sz w:val="14"/>
                <w:szCs w:val="14"/>
                <w:color w:val="auto"/>
              </w:rPr>
            </w:pPr>
          </w:p>
        </w:tc>
      </w:tr>
      <w:tr>
        <w:trPr>
          <w:trHeight w:val="210"/>
        </w:trPr>
        <w:tc>
          <w:tcPr>
            <w:tcW w:w="386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___________________________________________</w:t>
            </w:r>
          </w:p>
        </w:tc>
        <w:tc>
          <w:tcPr>
            <w:tcW w:w="3820" w:type="dxa"/>
            <w:vAlign w:val="bottom"/>
          </w:tcPr>
          <w:p>
            <w:pPr>
              <w:spacing w:after="0"/>
              <w:rPr>
                <w:sz w:val="18"/>
                <w:szCs w:val="18"/>
                <w:color w:val="auto"/>
              </w:rPr>
            </w:pPr>
          </w:p>
        </w:tc>
      </w:tr>
    </w:tbl>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6800" w:type="dxa"/>
            <w:vAlign w:val="bottom"/>
          </w:tcPr>
          <w:p>
            <w:pPr>
              <w:spacing w:after="0"/>
              <w:rPr>
                <w:sz w:val="20"/>
                <w:szCs w:val="20"/>
                <w:color w:val="auto"/>
              </w:rPr>
            </w:pPr>
            <w:r>
              <w:rPr>
                <w:rFonts w:ascii="Arial" w:cs="Arial" w:eastAsia="Arial" w:hAnsi="Arial"/>
                <w:sz w:val="13"/>
                <w:szCs w:val="13"/>
                <w:color w:val="auto"/>
                <w:w w:val="89"/>
              </w:rPr>
              <w:t>Indicate by check mark if Lamar Advertising Company is a well-known seasoned issuer, as defined in Rule 405 of the Securities Act.</w:t>
            </w: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Yes x</w:t>
            </w:r>
          </w:p>
        </w:tc>
        <w:tc>
          <w:tcPr>
            <w:tcW w:w="200" w:type="dxa"/>
            <w:vAlign w:val="bottom"/>
          </w:tcPr>
          <w:p>
            <w:pPr>
              <w:ind w:left="60"/>
              <w:spacing w:after="0"/>
              <w:rPr>
                <w:sz w:val="20"/>
                <w:szCs w:val="20"/>
                <w:color w:val="auto"/>
              </w:rPr>
            </w:pPr>
            <w:r>
              <w:rPr>
                <w:rFonts w:ascii="Arial" w:cs="Arial" w:eastAsia="Arial" w:hAnsi="Arial"/>
                <w:sz w:val="13"/>
                <w:szCs w:val="13"/>
                <w:color w:val="auto"/>
                <w:w w:val="71"/>
              </w:rPr>
              <w:t>No</w:t>
            </w:r>
          </w:p>
        </w:tc>
        <w:tc>
          <w:tcPr>
            <w:tcW w:w="8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203"/>
        </w:trPr>
        <w:tc>
          <w:tcPr>
            <w:tcW w:w="7440" w:type="dxa"/>
            <w:vAlign w:val="bottom"/>
            <w:gridSpan w:val="4"/>
          </w:tcPr>
          <w:p>
            <w:pPr>
              <w:spacing w:after="0"/>
              <w:rPr>
                <w:sz w:val="20"/>
                <w:szCs w:val="20"/>
                <w:color w:val="auto"/>
              </w:rPr>
            </w:pPr>
            <w:r>
              <w:rPr>
                <w:rFonts w:ascii="Arial" w:cs="Arial" w:eastAsia="Arial" w:hAnsi="Arial"/>
                <w:sz w:val="13"/>
                <w:szCs w:val="13"/>
                <w:color w:val="auto"/>
                <w:w w:val="89"/>
              </w:rPr>
              <w:t>Indicate by check mark if Lamar Advertising Company is not required to file reports pursuant to Section 13 or Section 15(d) of the Exchange Act.</w:t>
            </w:r>
          </w:p>
        </w:tc>
        <w:tc>
          <w:tcPr>
            <w:tcW w:w="82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tc>
      </w:tr>
      <w:tr>
        <w:trPr>
          <w:trHeight w:val="203"/>
        </w:trPr>
        <w:tc>
          <w:tcPr>
            <w:tcW w:w="6800" w:type="dxa"/>
            <w:vAlign w:val="bottom"/>
          </w:tcPr>
          <w:p>
            <w:pPr>
              <w:spacing w:after="0" w:line="150" w:lineRule="exact"/>
              <w:rPr>
                <w:sz w:val="20"/>
                <w:szCs w:val="20"/>
                <w:color w:val="auto"/>
              </w:rPr>
            </w:pPr>
            <w:r>
              <w:rPr>
                <w:rFonts w:ascii="Arial" w:cs="Arial" w:eastAsia="Arial" w:hAnsi="Arial"/>
                <w:sz w:val="13"/>
                <w:szCs w:val="13"/>
                <w:color w:val="auto"/>
                <w:w w:val="89"/>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89"/>
              </w:rPr>
              <w:t>☐</w:t>
            </w:r>
          </w:p>
        </w:tc>
        <w:tc>
          <w:tcPr>
            <w:tcW w:w="220" w:type="dxa"/>
            <w:vAlign w:val="bottom"/>
          </w:tcPr>
          <w:p>
            <w:pPr>
              <w:ind w:left="60"/>
              <w:spacing w:after="0"/>
              <w:rPr>
                <w:sz w:val="20"/>
                <w:szCs w:val="20"/>
                <w:color w:val="auto"/>
              </w:rPr>
            </w:pPr>
            <w:r>
              <w:rPr>
                <w:rFonts w:ascii="Arial" w:cs="Arial" w:eastAsia="Arial" w:hAnsi="Arial"/>
                <w:sz w:val="13"/>
                <w:szCs w:val="13"/>
                <w:color w:val="auto"/>
                <w:w w:val="83"/>
              </w:rPr>
              <w:t>No</w:t>
            </w:r>
          </w:p>
        </w:tc>
        <w:tc>
          <w:tcPr>
            <w:tcW w:w="2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020" w:type="dxa"/>
            <w:vAlign w:val="bottom"/>
            <w:gridSpan w:val="2"/>
          </w:tcPr>
          <w:p>
            <w:pPr>
              <w:spacing w:after="0"/>
              <w:rPr>
                <w:sz w:val="20"/>
                <w:szCs w:val="20"/>
                <w:color w:val="auto"/>
              </w:rPr>
            </w:pPr>
            <w:r>
              <w:rPr>
                <w:rFonts w:ascii="Arial" w:cs="Arial" w:eastAsia="Arial" w:hAnsi="Arial"/>
                <w:sz w:val="13"/>
                <w:szCs w:val="13"/>
                <w:color w:val="auto"/>
                <w:w w:val="90"/>
              </w:rPr>
              <w:t>Indicate by check mark if Lamar Media Corp. is not required to file reports pursuant to Section 13 or Section 15(d) of the Exchange Act.</w:t>
            </w:r>
          </w:p>
        </w:tc>
        <w:tc>
          <w:tcPr>
            <w:tcW w:w="22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200" w:type="dxa"/>
            <w:vAlign w:val="bottom"/>
          </w:tcPr>
          <w:p>
            <w:pPr>
              <w:ind w:left="20"/>
              <w:spacing w:after="0"/>
              <w:rPr>
                <w:sz w:val="20"/>
                <w:szCs w:val="20"/>
                <w:color w:val="auto"/>
              </w:rPr>
            </w:pPr>
            <w:r>
              <w:rPr>
                <w:rFonts w:ascii="Arial" w:cs="Arial" w:eastAsia="Arial" w:hAnsi="Arial"/>
                <w:sz w:val="13"/>
                <w:szCs w:val="13"/>
                <w:color w:val="auto"/>
              </w:rPr>
              <w:t>x</w:t>
            </w:r>
          </w:p>
        </w:tc>
        <w:tc>
          <w:tcPr>
            <w:tcW w:w="82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28"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8" w:lineRule="exact"/>
        <w:rPr>
          <w:sz w:val="24"/>
          <w:szCs w:val="24"/>
          <w:color w:val="auto"/>
        </w:rPr>
      </w:pPr>
    </w:p>
    <w:p>
      <w:pPr>
        <w:ind w:right="500"/>
        <w:spacing w:after="0" w:line="162"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8" w:lineRule="exact"/>
        <w:rPr>
          <w:sz w:val="24"/>
          <w:szCs w:val="24"/>
          <w:color w:val="auto"/>
        </w:rPr>
      </w:pPr>
    </w:p>
    <w:p>
      <w:pPr>
        <w:ind w:right="440"/>
        <w:spacing w:after="0" w:line="255"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60" w:type="dxa"/>
            <w:vAlign w:val="bottom"/>
          </w:tcPr>
          <w:p>
            <w:pPr>
              <w:ind w:left="660"/>
              <w:spacing w:after="0"/>
              <w:rPr>
                <w:sz w:val="20"/>
                <w:szCs w:val="20"/>
                <w:color w:val="auto"/>
              </w:rPr>
            </w:pPr>
            <w:r>
              <w:rPr>
                <w:rFonts w:ascii="Arial" w:cs="Arial" w:eastAsia="Arial" w:hAnsi="Arial"/>
                <w:sz w:val="13"/>
                <w:szCs w:val="13"/>
                <w:color w:val="auto"/>
              </w:rPr>
              <w:t>x</w:t>
            </w:r>
          </w:p>
        </w:tc>
        <w:tc>
          <w:tcPr>
            <w:tcW w:w="4660" w:type="dxa"/>
            <w:vAlign w:val="bottom"/>
          </w:tcPr>
          <w:p>
            <w:pPr>
              <w:ind w:left="2180"/>
              <w:spacing w:after="0"/>
              <w:rPr>
                <w:sz w:val="20"/>
                <w:szCs w:val="20"/>
                <w:color w:val="auto"/>
              </w:rPr>
            </w:pPr>
            <w:r>
              <w:rPr>
                <w:rFonts w:ascii="Arial" w:cs="Arial" w:eastAsia="Arial" w:hAnsi="Arial"/>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Arial" w:cs="Arial" w:eastAsia="Arial" w:hAnsi="Arial"/>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0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23"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ind w:right="100"/>
        <w:spacing w:after="0" w:line="255" w:lineRule="auto"/>
        <w:rPr>
          <w:sz w:val="20"/>
          <w:szCs w:val="20"/>
          <w:color w:val="auto"/>
        </w:rPr>
      </w:pPr>
      <w:r>
        <w:rPr>
          <w:rFonts w:ascii="Arial" w:cs="Arial" w:eastAsia="Arial" w:hAnsi="Arial"/>
          <w:sz w:val="13"/>
          <w:szCs w:val="13"/>
          <w:color w:val="auto"/>
        </w:rPr>
        <w:t>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33" w:lineRule="exact"/>
        <w:rPr>
          <w:sz w:val="24"/>
          <w:szCs w:val="24"/>
          <w:color w:val="auto"/>
        </w:rPr>
      </w:pPr>
    </w:p>
    <w:p>
      <w:pPr>
        <w:ind w:right="280"/>
        <w:spacing w:after="0" w:line="255" w:lineRule="auto"/>
        <w:rPr>
          <w:sz w:val="20"/>
          <w:szCs w:val="20"/>
          <w:color w:val="auto"/>
        </w:rPr>
      </w:pPr>
      <w:r>
        <w:rPr>
          <w:rFonts w:ascii="Arial" w:cs="Arial" w:eastAsia="Arial" w:hAnsi="Arial"/>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Arial" w:cs="Arial" w:eastAsia="Arial" w:hAnsi="Arial"/>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2980" w:type="dxa"/>
            <w:vAlign w:val="bottom"/>
          </w:tcPr>
          <w:p>
            <w:pPr>
              <w:ind w:left="660"/>
              <w:spacing w:after="0"/>
              <w:rPr>
                <w:sz w:val="20"/>
                <w:szCs w:val="20"/>
                <w:color w:val="auto"/>
              </w:rPr>
            </w:pPr>
            <w:r>
              <w:rPr>
                <w:rFonts w:ascii="Arial" w:cs="Arial" w:eastAsia="Arial" w:hAnsi="Arial"/>
                <w:sz w:val="13"/>
                <w:szCs w:val="13"/>
                <w:color w:val="auto"/>
              </w:rPr>
              <w:t>x</w:t>
            </w:r>
          </w:p>
        </w:tc>
        <w:tc>
          <w:tcPr>
            <w:tcW w:w="4640" w:type="dxa"/>
            <w:vAlign w:val="bottom"/>
          </w:tcPr>
          <w:p>
            <w:pPr>
              <w:ind w:left="2180"/>
              <w:spacing w:after="0"/>
              <w:rPr>
                <w:sz w:val="20"/>
                <w:szCs w:val="20"/>
                <w:color w:val="auto"/>
              </w:rPr>
            </w:pPr>
            <w:r>
              <w:rPr>
                <w:rFonts w:ascii="Arial" w:cs="Arial" w:eastAsia="Arial" w:hAnsi="Arial"/>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0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96" w:lineRule="exact"/>
        <w:rPr>
          <w:sz w:val="24"/>
          <w:szCs w:val="24"/>
          <w:color w:val="auto"/>
        </w:rPr>
      </w:pPr>
    </w:p>
    <w:p>
      <w:pPr>
        <w:ind w:right="10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400"/>
        <w:spacing w:after="0" w:line="157" w:lineRule="exact"/>
        <w:rPr>
          <w:sz w:val="20"/>
          <w:szCs w:val="20"/>
          <w:color w:val="auto"/>
        </w:rPr>
      </w:pPr>
      <w:r>
        <w:rPr>
          <w:rFonts w:ascii="Arial" w:cs="Arial" w:eastAsia="Arial" w:hAnsi="Arial"/>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tabs>
          <w:tab w:leader="none" w:pos="5640" w:val="left"/>
          <w:tab w:leader="none" w:pos="6120" w:val="left"/>
        </w:tabs>
        <w:rPr>
          <w:sz w:val="20"/>
          <w:szCs w:val="20"/>
          <w:color w:val="auto"/>
        </w:rPr>
      </w:pPr>
      <w:r>
        <w:rPr>
          <w:rFonts w:ascii="Arial" w:cs="Arial" w:eastAsia="Arial" w:hAnsi="Arial"/>
          <w:sz w:val="12"/>
          <w:szCs w:val="12"/>
          <w:color w:val="auto"/>
        </w:rPr>
        <w:t>Indicate by check mark if either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No x</w:t>
      </w:r>
    </w:p>
    <w:p>
      <w:pPr>
        <w:spacing w:after="0" w:line="24" w:lineRule="exact"/>
        <w:rPr>
          <w:sz w:val="24"/>
          <w:szCs w:val="24"/>
          <w:color w:val="auto"/>
        </w:rPr>
      </w:pPr>
    </w:p>
    <w:p>
      <w:pPr>
        <w:ind w:right="360"/>
        <w:spacing w:after="0" w:line="239" w:lineRule="auto"/>
        <w:rPr>
          <w:sz w:val="20"/>
          <w:szCs w:val="20"/>
          <w:color w:val="auto"/>
        </w:rPr>
      </w:pPr>
      <w:r>
        <w:rPr>
          <w:rFonts w:ascii="Arial" w:cs="Arial" w:eastAsia="Arial" w:hAnsi="Arial"/>
          <w:sz w:val="13"/>
          <w:szCs w:val="13"/>
          <w:color w:val="auto"/>
        </w:rPr>
        <w:t>The aggregate market value of the voting stock held by nonaffiliates of Lamar Advertising Company was $8,936,171,502 based on $104.42 per share as reported at the close of trading on the NASDAQ Global Select Market on June 30, 2021, the last business day of the registrant’s most recently completed second fiscal quarter.</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2021, the aggregate market value of the voting stock held by nonaffiliates of Lamar Media Corp. was $0.</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8800" w:type="dxa"/>
            <w:vAlign w:val="bottom"/>
            <w:gridSpan w:val="2"/>
          </w:tcPr>
          <w:p>
            <w:pPr>
              <w:ind w:left="20"/>
              <w:spacing w:after="0"/>
              <w:rPr>
                <w:sz w:val="20"/>
                <w:szCs w:val="20"/>
                <w:color w:val="auto"/>
              </w:rPr>
            </w:pPr>
            <w:r>
              <w:rPr>
                <w:rFonts w:ascii="Arial" w:cs="Arial" w:eastAsia="Arial" w:hAnsi="Arial"/>
                <w:sz w:val="13"/>
                <w:szCs w:val="13"/>
                <w:b w:val="1"/>
                <w:bCs w:val="1"/>
                <w:color w:val="auto"/>
              </w:rPr>
              <w:t>Class</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 at February 1, 2022</w:t>
            </w:r>
          </w:p>
        </w:tc>
      </w:tr>
      <w:tr>
        <w:trPr>
          <w:trHeight w:val="160"/>
        </w:trPr>
        <w:tc>
          <w:tcPr>
            <w:tcW w:w="86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Lamar Advertising Company Class A common stock, $0.001 par value per share</w:t>
            </w:r>
          </w:p>
        </w:tc>
        <w:tc>
          <w:tcPr>
            <w:tcW w:w="120" w:type="dxa"/>
            <w:vAlign w:val="bottom"/>
          </w:tcPr>
          <w:p>
            <w:pPr>
              <w:spacing w:after="0"/>
              <w:rPr>
                <w:sz w:val="13"/>
                <w:szCs w:val="13"/>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86,852,821 shares</w:t>
            </w:r>
          </w:p>
        </w:tc>
      </w:tr>
      <w:tr>
        <w:trPr>
          <w:trHeight w:val="175"/>
        </w:trPr>
        <w:tc>
          <w:tcPr>
            <w:tcW w:w="8800" w:type="dxa"/>
            <w:vAlign w:val="bottom"/>
            <w:gridSpan w:val="2"/>
          </w:tcPr>
          <w:p>
            <w:pPr>
              <w:ind w:left="20"/>
              <w:spacing w:after="0"/>
              <w:rPr>
                <w:sz w:val="20"/>
                <w:szCs w:val="20"/>
                <w:color w:val="auto"/>
              </w:rPr>
            </w:pPr>
            <w:r>
              <w:rPr>
                <w:rFonts w:ascii="Arial" w:cs="Arial" w:eastAsia="Arial" w:hAnsi="Arial"/>
                <w:sz w:val="13"/>
                <w:szCs w:val="13"/>
                <w:color w:val="auto"/>
              </w:rPr>
              <w:t>Lamar Advertising Company Class B common stock, $0.001 par value per share</w:t>
            </w:r>
          </w:p>
        </w:tc>
        <w:tc>
          <w:tcPr>
            <w:tcW w:w="2420" w:type="dxa"/>
            <w:vAlign w:val="bottom"/>
          </w:tcPr>
          <w:p>
            <w:pPr>
              <w:jc w:val="center"/>
              <w:spacing w:after="0"/>
              <w:rPr>
                <w:sz w:val="20"/>
                <w:szCs w:val="20"/>
                <w:color w:val="auto"/>
              </w:rPr>
            </w:pPr>
            <w:r>
              <w:rPr>
                <w:rFonts w:ascii="Arial" w:cs="Arial" w:eastAsia="Arial" w:hAnsi="Arial"/>
                <w:sz w:val="13"/>
                <w:szCs w:val="13"/>
                <w:color w:val="auto"/>
                <w:w w:val="85"/>
              </w:rPr>
              <w:t>14,420,085 shares</w:t>
            </w:r>
          </w:p>
        </w:tc>
      </w:tr>
      <w:tr>
        <w:trPr>
          <w:trHeight w:val="175"/>
        </w:trPr>
        <w:tc>
          <w:tcPr>
            <w:tcW w:w="8800" w:type="dxa"/>
            <w:vAlign w:val="bottom"/>
            <w:gridSpan w:val="2"/>
          </w:tcPr>
          <w:p>
            <w:pPr>
              <w:ind w:left="20"/>
              <w:spacing w:after="0"/>
              <w:rPr>
                <w:sz w:val="20"/>
                <w:szCs w:val="20"/>
                <w:color w:val="auto"/>
              </w:rPr>
            </w:pPr>
            <w:r>
              <w:rPr>
                <w:rFonts w:ascii="Arial" w:cs="Arial" w:eastAsia="Arial" w:hAnsi="Arial"/>
                <w:sz w:val="13"/>
                <w:szCs w:val="13"/>
                <w:color w:val="auto"/>
              </w:rPr>
              <w:t>Lamar Media Corp. common stock, $0.001 par value per share</w:t>
            </w:r>
          </w:p>
        </w:tc>
        <w:tc>
          <w:tcPr>
            <w:tcW w:w="2420" w:type="dxa"/>
            <w:vAlign w:val="bottom"/>
          </w:tcPr>
          <w:p>
            <w:pPr>
              <w:jc w:val="center"/>
              <w:spacing w:after="0"/>
              <w:rPr>
                <w:sz w:val="20"/>
                <w:szCs w:val="20"/>
                <w:color w:val="auto"/>
              </w:rPr>
            </w:pPr>
            <w:r>
              <w:rPr>
                <w:rFonts w:ascii="Arial" w:cs="Arial" w:eastAsia="Arial" w:hAnsi="Arial"/>
                <w:sz w:val="13"/>
                <w:szCs w:val="13"/>
                <w:color w:val="auto"/>
                <w:w w:val="83"/>
              </w:rPr>
              <w:t>100 shares</w:t>
            </w:r>
          </w:p>
        </w:tc>
      </w:tr>
    </w:tbl>
    <w:p>
      <w:pPr>
        <w:sectPr>
          <w:pgSz w:w="11900" w:h="16838" w:orient="portrait"/>
          <w:cols w:equalWidth="0" w:num="1">
            <w:col w:w="11220"/>
          </w:cols>
          <w:pgMar w:left="320" w:top="233" w:right="35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0" w:type="dxa"/>
            <w:vAlign w:val="bottom"/>
            <w:gridSpan w:val="2"/>
          </w:tcPr>
          <w:p>
            <w:pPr>
              <w:ind w:left="4180"/>
              <w:spacing w:after="0"/>
              <w:rPr>
                <w:sz w:val="20"/>
                <w:szCs w:val="20"/>
                <w:color w:val="auto"/>
              </w:rPr>
            </w:pPr>
            <w:r>
              <w:rPr>
                <w:rFonts w:ascii="Arial" w:cs="Arial" w:eastAsia="Arial" w:hAnsi="Arial"/>
                <w:sz w:val="13"/>
                <w:szCs w:val="13"/>
                <w:b w:val="1"/>
                <w:bCs w:val="1"/>
                <w:color w:val="auto"/>
              </w:rPr>
              <w:t>DOCUMENTS INCORPORATED BY REFERENCE</w:t>
            </w:r>
          </w:p>
        </w:tc>
        <w:tc>
          <w:tcPr>
            <w:tcW w:w="2420" w:type="dxa"/>
            <w:vAlign w:val="bottom"/>
          </w:tcPr>
          <w:p>
            <w:pPr>
              <w:spacing w:after="0"/>
              <w:rPr>
                <w:sz w:val="14"/>
                <w:szCs w:val="14"/>
                <w:color w:val="auto"/>
              </w:rPr>
            </w:pPr>
          </w:p>
        </w:tc>
      </w:tr>
      <w:tr>
        <w:trPr>
          <w:trHeight w:val="293"/>
        </w:trPr>
        <w:tc>
          <w:tcPr>
            <w:tcW w:w="8800" w:type="dxa"/>
            <w:vAlign w:val="bottom"/>
            <w:gridSpan w:val="2"/>
          </w:tcPr>
          <w:p>
            <w:pPr>
              <w:ind w:left="20"/>
              <w:spacing w:after="0"/>
              <w:rPr>
                <w:sz w:val="20"/>
                <w:szCs w:val="20"/>
                <w:color w:val="auto"/>
              </w:rPr>
            </w:pPr>
            <w:r>
              <w:rPr>
                <w:rFonts w:ascii="Arial" w:cs="Arial" w:eastAsia="Arial" w:hAnsi="Arial"/>
                <w:sz w:val="13"/>
                <w:szCs w:val="13"/>
                <w:b w:val="1"/>
                <w:bCs w:val="1"/>
                <w:color w:val="auto"/>
              </w:rPr>
              <w:t>Document</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89"/>
              </w:rPr>
              <w:t>Parts into Which Incorporated</w:t>
            </w:r>
          </w:p>
        </w:tc>
      </w:tr>
      <w:tr>
        <w:trPr>
          <w:trHeight w:val="160"/>
        </w:trPr>
        <w:tc>
          <w:tcPr>
            <w:tcW w:w="86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Proxy Statement for the Annual Meeting of Stockholders scheduled to be held on May 19, 2022 (Proxy Statement)</w:t>
            </w:r>
          </w:p>
        </w:tc>
        <w:tc>
          <w:tcPr>
            <w:tcW w:w="120" w:type="dxa"/>
            <w:vAlign w:val="bottom"/>
          </w:tcPr>
          <w:p>
            <w:pPr>
              <w:spacing w:after="0"/>
              <w:rPr>
                <w:sz w:val="13"/>
                <w:szCs w:val="13"/>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Part III</w:t>
            </w:r>
          </w:p>
        </w:tc>
      </w:tr>
    </w:tbl>
    <w:p>
      <w:pPr>
        <w:spacing w:after="0" w:line="110" w:lineRule="exact"/>
        <w:rPr>
          <w:sz w:val="20"/>
          <w:szCs w:val="20"/>
          <w:color w:val="auto"/>
        </w:rPr>
      </w:pPr>
    </w:p>
    <w:p>
      <w:pPr>
        <w:jc w:val="both"/>
        <w:ind w:right="20" w:firstLine="567"/>
        <w:spacing w:after="0" w:line="256" w:lineRule="auto"/>
        <w:rPr>
          <w:sz w:val="20"/>
          <w:szCs w:val="20"/>
          <w:color w:val="auto"/>
        </w:rPr>
      </w:pPr>
      <w:r>
        <w:rPr>
          <w:rFonts w:ascii="Arial" w:cs="Arial" w:eastAsia="Arial" w:hAnsi="Arial"/>
          <w:sz w:val="11"/>
          <w:szCs w:val="11"/>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p>
      <w:pPr>
        <w:jc w:val="center"/>
        <w:ind w:left="100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Note Regarding Forward-Looking Statements</w:t>
      </w:r>
    </w:p>
    <w:p>
      <w:pPr>
        <w:spacing w:after="0" w:line="23" w:lineRule="exact"/>
        <w:rPr>
          <w:sz w:val="20"/>
          <w:szCs w:val="20"/>
          <w:color w:val="auto"/>
        </w:rPr>
      </w:pPr>
    </w:p>
    <w:p>
      <w:pPr>
        <w:ind w:left="20"/>
        <w:spacing w:after="0"/>
        <w:tabs>
          <w:tab w:leader="none" w:pos="1400" w:val="left"/>
        </w:tabs>
        <w:rPr>
          <w:rFonts w:ascii="Arial" w:cs="Arial" w:eastAsia="Arial" w:hAnsi="Arial"/>
          <w:sz w:val="15"/>
          <w:szCs w:val="15"/>
          <w:u w:val="single" w:color="auto"/>
          <w:color w:val="0000EE"/>
        </w:rPr>
      </w:pPr>
      <w:hyperlink w:anchor="page6">
        <w:r>
          <w:rPr>
            <w:rFonts w:ascii="Arial" w:cs="Arial" w:eastAsia="Arial" w:hAnsi="Arial"/>
            <w:sz w:val="18"/>
            <w:szCs w:val="18"/>
            <w:color w:val="auto"/>
          </w:rPr>
          <w:t>ITEM 1.</w:t>
        </w:r>
      </w:hyperlink>
      <w:r>
        <w:rPr>
          <w:rFonts w:ascii="Arial" w:cs="Arial" w:eastAsia="Arial" w:hAnsi="Arial"/>
          <w:sz w:val="18"/>
          <w:szCs w:val="18"/>
          <w:color w:val="auto"/>
        </w:rPr>
        <w:tab/>
      </w:r>
      <w:hyperlink w:anchor="page6">
        <w:r>
          <w:rPr>
            <w:rFonts w:ascii="Arial" w:cs="Arial" w:eastAsia="Arial" w:hAnsi="Arial"/>
            <w:sz w:val="15"/>
            <w:szCs w:val="15"/>
            <w:u w:val="single" w:color="auto"/>
            <w:color w:val="0000EE"/>
          </w:rPr>
          <w:t>Business</w:t>
        </w:r>
      </w:hyperlink>
    </w:p>
    <w:p>
      <w:pPr>
        <w:spacing w:after="0" w:line="62" w:lineRule="exact"/>
        <w:rPr>
          <w:sz w:val="20"/>
          <w:szCs w:val="20"/>
          <w:color w:val="auto"/>
        </w:rPr>
      </w:pPr>
    </w:p>
    <w:p>
      <w:pPr>
        <w:ind w:left="18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Corporate History</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Operating Strategies</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Capital Allocation Strategy</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Company Operations</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Competition</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Geographic Diversification</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Taxable REIT Subsidiaries</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Advertising Tenants</w:t>
        </w:r>
      </w:hyperlink>
    </w:p>
    <w:p>
      <w:pPr>
        <w:spacing w:after="0" w:line="63" w:lineRule="exact"/>
        <w:rPr>
          <w:sz w:val="20"/>
          <w:szCs w:val="20"/>
          <w:color w:val="auto"/>
        </w:rPr>
      </w:pPr>
    </w:p>
    <w:p>
      <w:pPr>
        <w:ind w:left="18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Regulation</w:t>
        </w:r>
      </w:hyperlink>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6300" w:type="dxa"/>
            <w:vAlign w:val="bottom"/>
            <w:gridSpan w:val="16"/>
          </w:tcPr>
          <w:p>
            <w:pPr>
              <w:spacing w:after="0"/>
              <w:rPr>
                <w:sz w:val="17"/>
                <w:szCs w:val="17"/>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Real Estate Portfolio</w:t>
              </w:r>
            </w:hyperlink>
          </w:p>
        </w:tc>
        <w:tc>
          <w:tcPr>
            <w:tcW w:w="6120" w:type="dxa"/>
            <w:vAlign w:val="bottom"/>
            <w:gridSpan w:val="1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Contract Expirations</w:t>
              </w:r>
            </w:hyperlink>
          </w:p>
        </w:tc>
        <w:tc>
          <w:tcPr>
            <w:tcW w:w="6140" w:type="dxa"/>
            <w:vAlign w:val="bottom"/>
            <w:gridSpan w:val="15"/>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gridSpan w:val="2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Human Capital Resources</w:t>
              </w:r>
            </w:hyperlink>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Borders>
              <w:top w:val="single" w:sz="8" w:color="0000EE"/>
            </w:tcBorders>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Inflation</w:t>
              </w:r>
            </w:hyperlink>
          </w:p>
        </w:tc>
        <w:tc>
          <w:tcPr>
            <w:tcW w:w="5760" w:type="dxa"/>
            <w:vAlign w:val="bottom"/>
            <w:gridSpan w:val="12"/>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Seasonality</w:t>
              </w:r>
            </w:hyperlink>
          </w:p>
        </w:tc>
        <w:tc>
          <w:tcPr>
            <w:tcW w:w="6800" w:type="dxa"/>
            <w:vAlign w:val="bottom"/>
            <w:gridSpan w:val="2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Available Information</w:t>
              </w:r>
            </w:hyperlink>
          </w:p>
        </w:tc>
        <w:tc>
          <w:tcPr>
            <w:tcW w:w="6040" w:type="dxa"/>
            <w:vAlign w:val="bottom"/>
            <w:gridSpan w:val="13"/>
          </w:tcPr>
          <w:p>
            <w:pPr>
              <w:spacing w:after="0"/>
              <w:rPr>
                <w:sz w:val="21"/>
                <w:szCs w:val="2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 1A.</w:t>
              </w:r>
            </w:hyperlink>
          </w:p>
        </w:tc>
        <w:tc>
          <w:tcPr>
            <w:tcW w:w="808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1B.</w:t>
              </w:r>
            </w:hyperlink>
          </w:p>
        </w:tc>
        <w:tc>
          <w:tcPr>
            <w:tcW w:w="808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r>
      <w:tr>
        <w:trPr>
          <w:trHeight w:val="250"/>
        </w:trPr>
        <w:tc>
          <w:tcPr>
            <w:tcW w:w="1400" w:type="dxa"/>
            <w:vAlign w:val="bottom"/>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2040" w:type="dxa"/>
            <w:vAlign w:val="bottom"/>
            <w:tcBorders>
              <w:top w:val="single" w:sz="8" w:color="0000EE"/>
            </w:tcBorders>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6040" w:type="dxa"/>
            <w:vAlign w:val="bottom"/>
            <w:gridSpan w:val="13"/>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3.</w:t>
              </w:r>
            </w:hyperlink>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6740" w:type="dxa"/>
            <w:vAlign w:val="bottom"/>
            <w:gridSpan w:val="21"/>
          </w:tcPr>
          <w:p>
            <w:pPr>
              <w:spacing w:after="0"/>
              <w:rPr>
                <w:sz w:val="21"/>
                <w:szCs w:val="2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4.</w:t>
              </w:r>
            </w:hyperlink>
          </w:p>
        </w:tc>
        <w:tc>
          <w:tcPr>
            <w:tcW w:w="8080" w:type="dxa"/>
            <w:vAlign w:val="bottom"/>
            <w:gridSpan w:val="2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r>
      <w:tr>
        <w:trPr>
          <w:trHeight w:val="290"/>
        </w:trPr>
        <w:tc>
          <w:tcPr>
            <w:tcW w:w="14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8"/>
          </w:tcPr>
          <w:p>
            <w:pPr>
              <w:jc w:val="center"/>
              <w:ind w:right="2880"/>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PART II</w:t>
              </w:r>
            </w:hyperlink>
          </w:p>
        </w:tc>
      </w:tr>
      <w:tr>
        <w:trPr>
          <w:trHeight w:val="190"/>
        </w:trPr>
        <w:tc>
          <w:tcPr>
            <w:tcW w:w="1400" w:type="dxa"/>
            <w:vAlign w:val="bottom"/>
          </w:tcPr>
          <w:p>
            <w:pPr>
              <w:spacing w:after="0" w:line="190" w:lineRule="exact"/>
              <w:rPr>
                <w:rFonts w:ascii="Arial" w:cs="Arial" w:eastAsia="Arial" w:hAnsi="Arial"/>
                <w:sz w:val="18"/>
                <w:szCs w:val="18"/>
                <w:color w:val="auto"/>
              </w:rPr>
            </w:pPr>
            <w:hyperlink w:anchor="page26">
              <w:r>
                <w:rPr>
                  <w:rFonts w:ascii="Arial" w:cs="Arial" w:eastAsia="Arial" w:hAnsi="Arial"/>
                  <w:sz w:val="18"/>
                  <w:szCs w:val="18"/>
                  <w:color w:val="auto"/>
                </w:rPr>
                <w:t>ITEM 5.</w:t>
              </w:r>
            </w:hyperlink>
          </w:p>
        </w:tc>
        <w:tc>
          <w:tcPr>
            <w:tcW w:w="8080" w:type="dxa"/>
            <w:vAlign w:val="bottom"/>
            <w:gridSpan w:val="28"/>
          </w:tcPr>
          <w:p>
            <w:pPr>
              <w:spacing w:after="0" w:line="190"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 Securities</w:t>
              </w:r>
            </w:hyperlink>
          </w:p>
        </w:tc>
      </w:tr>
      <w:tr>
        <w:trPr>
          <w:trHeight w:val="250"/>
        </w:trPr>
        <w:tc>
          <w:tcPr>
            <w:tcW w:w="140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Reserved</w:t>
              </w:r>
            </w:hyperlink>
          </w:p>
        </w:tc>
        <w:tc>
          <w:tcPr>
            <w:tcW w:w="2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26">
              <w:r>
                <w:rPr>
                  <w:rFonts w:ascii="Arial" w:cs="Arial" w:eastAsia="Arial" w:hAnsi="Arial"/>
                  <w:sz w:val="18"/>
                  <w:szCs w:val="18"/>
                  <w:color w:val="auto"/>
                </w:rPr>
                <w:t>ITEM 7.</w:t>
              </w:r>
            </w:hyperlink>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Lamar Advertising Company</w:t>
              </w:r>
            </w:hyperlink>
          </w:p>
        </w:tc>
        <w:tc>
          <w:tcPr>
            <w:tcW w:w="5520" w:type="dxa"/>
            <w:vAlign w:val="bottom"/>
            <w:gridSpan w:val="1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Overview</w:t>
              </w:r>
            </w:hyperlink>
          </w:p>
        </w:tc>
        <w:tc>
          <w:tcPr>
            <w:tcW w:w="6520" w:type="dxa"/>
            <w:vAlign w:val="bottom"/>
            <w:gridSpan w:val="1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Non-GAAP Financial Measures</w:t>
              </w:r>
            </w:hyperlink>
          </w:p>
        </w:tc>
        <w:tc>
          <w:tcPr>
            <w:tcW w:w="4920" w:type="dxa"/>
            <w:vAlign w:val="bottom"/>
            <w:gridSpan w:val="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 xml:space="preserve">Results of Operations: Years Ended December 31, </w:t>
              </w:r>
            </w:hyperlink>
            <w:r>
              <w:rPr>
                <w:rFonts w:ascii="Arial" w:cs="Arial" w:eastAsia="Arial" w:hAnsi="Arial"/>
                <w:sz w:val="18"/>
                <w:szCs w:val="18"/>
                <w:color w:val="0000EE"/>
                <w:w w:val="87"/>
              </w:rPr>
              <w:t xml:space="preserve">2021 </w:t>
            </w:r>
            <w:hyperlink w:anchor="page29">
              <w:r>
                <w:rPr>
                  <w:rFonts w:ascii="Arial" w:cs="Arial" w:eastAsia="Arial" w:hAnsi="Arial"/>
                  <w:sz w:val="18"/>
                  <w:szCs w:val="18"/>
                  <w:color w:val="0000EE"/>
                  <w:w w:val="87"/>
                </w:rPr>
                <w:t xml:space="preserve">and </w:t>
              </w:r>
            </w:hyperlink>
            <w:r>
              <w:rPr>
                <w:rFonts w:ascii="Arial" w:cs="Arial" w:eastAsia="Arial" w:hAnsi="Arial"/>
                <w:sz w:val="18"/>
                <w:szCs w:val="18"/>
                <w:color w:val="0000EE"/>
                <w:w w:val="87"/>
              </w:rPr>
              <w:t>2020</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Liquidity and Capital Resources</w:t>
              </w:r>
            </w:hyperlink>
          </w:p>
        </w:tc>
        <w:tc>
          <w:tcPr>
            <w:tcW w:w="4900" w:type="dxa"/>
            <w:vAlign w:val="bottom"/>
            <w:gridSpan w:val="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Critical Accounting Estimates</w:t>
              </w:r>
            </w:hyperlink>
          </w:p>
        </w:tc>
        <w:tc>
          <w:tcPr>
            <w:tcW w:w="5060" w:type="dxa"/>
            <w:vAlign w:val="bottom"/>
            <w:gridSpan w:val="1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6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Accounting Standards and Regulatory Update</w:t>
              </w:r>
            </w:hyperlink>
          </w:p>
        </w:tc>
        <w:tc>
          <w:tcPr>
            <w:tcW w:w="3920" w:type="dxa"/>
            <w:vAlign w:val="bottom"/>
            <w:gridSpan w:val="6"/>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Lamar Media</w:t>
              </w:r>
            </w:hyperlink>
          </w:p>
        </w:tc>
        <w:tc>
          <w:tcPr>
            <w:tcW w:w="6660" w:type="dxa"/>
            <w:vAlign w:val="bottom"/>
            <w:gridSpan w:val="2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7"/>
              </w:rPr>
              <w:t>Results of Operations: Years Ended December 31, 2021 and 2020</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7A.</w:t>
              </w:r>
            </w:hyperlink>
          </w:p>
        </w:tc>
        <w:tc>
          <w:tcPr>
            <w:tcW w:w="43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3720" w:type="dxa"/>
            <w:vAlign w:val="bottom"/>
            <w:gridSpan w:val="5"/>
          </w:tcPr>
          <w:p>
            <w:pPr>
              <w:spacing w:after="0"/>
              <w:rPr>
                <w:sz w:val="21"/>
                <w:szCs w:val="2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8.</w:t>
              </w:r>
            </w:hyperlink>
          </w:p>
        </w:tc>
        <w:tc>
          <w:tcPr>
            <w:tcW w:w="8080" w:type="dxa"/>
            <w:vAlign w:val="bottom"/>
            <w:gridSpan w:val="2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Financial Statements</w:t>
              </w:r>
            </w:hyperlink>
          </w:p>
        </w:tc>
      </w:tr>
      <w:tr>
        <w:trPr>
          <w:trHeight w:val="20"/>
        </w:trPr>
        <w:tc>
          <w:tcPr>
            <w:tcW w:w="14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102">
              <w:r>
                <w:rPr>
                  <w:rFonts w:ascii="Arial" w:cs="Arial" w:eastAsia="Arial" w:hAnsi="Arial"/>
                  <w:sz w:val="18"/>
                  <w:szCs w:val="18"/>
                  <w:color w:val="auto"/>
                </w:rPr>
                <w:t>ITEM 9.</w:t>
              </w:r>
            </w:hyperlink>
          </w:p>
        </w:tc>
        <w:tc>
          <w:tcPr>
            <w:tcW w:w="64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Changes in and Disagreements with Accountants on Accounting and Financial Disclosure</w:t>
              </w:r>
            </w:hyperlink>
          </w:p>
        </w:tc>
        <w:tc>
          <w:tcPr>
            <w:tcW w:w="1600" w:type="dxa"/>
            <w:vAlign w:val="bottom"/>
            <w:gridSpan w:val="2"/>
          </w:tcPr>
          <w:p>
            <w:pPr>
              <w:spacing w:after="0"/>
              <w:rPr>
                <w:sz w:val="21"/>
                <w:szCs w:val="21"/>
                <w:color w:val="auto"/>
              </w:rPr>
            </w:pPr>
          </w:p>
        </w:tc>
      </w:tr>
      <w:tr>
        <w:trPr>
          <w:trHeight w:val="250"/>
        </w:trPr>
        <w:tc>
          <w:tcPr>
            <w:tcW w:w="1400" w:type="dxa"/>
            <w:vAlign w:val="bottom"/>
          </w:tcPr>
          <w:p>
            <w:pPr>
              <w:spacing w:after="0"/>
              <w:rPr>
                <w:rFonts w:ascii="Arial" w:cs="Arial" w:eastAsia="Arial" w:hAnsi="Arial"/>
                <w:sz w:val="18"/>
                <w:szCs w:val="18"/>
                <w:color w:val="auto"/>
              </w:rPr>
            </w:pPr>
            <w:hyperlink w:anchor="page103">
              <w:r>
                <w:rPr>
                  <w:rFonts w:ascii="Arial" w:cs="Arial" w:eastAsia="Arial" w:hAnsi="Arial"/>
                  <w:sz w:val="18"/>
                  <w:szCs w:val="18"/>
                  <w:color w:val="auto"/>
                </w:rPr>
                <w:t>ITEM 9A.</w:t>
              </w:r>
            </w:hyperlink>
          </w:p>
        </w:tc>
        <w:tc>
          <w:tcPr>
            <w:tcW w:w="8080" w:type="dxa"/>
            <w:vAlign w:val="bottom"/>
            <w:gridSpan w:val="2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r>
      <w:tr>
        <w:trPr>
          <w:trHeight w:val="250"/>
        </w:trPr>
        <w:tc>
          <w:tcPr>
            <w:tcW w:w="1400" w:type="dxa"/>
            <w:vAlign w:val="bottom"/>
          </w:tcPr>
          <w:p>
            <w:pPr>
              <w:spacing w:after="0"/>
              <w:rPr>
                <w:rFonts w:ascii="Arial" w:cs="Arial" w:eastAsia="Arial" w:hAnsi="Arial"/>
                <w:sz w:val="18"/>
                <w:szCs w:val="18"/>
                <w:color w:val="auto"/>
              </w:rPr>
            </w:pPr>
            <w:hyperlink w:anchor="page103">
              <w:r>
                <w:rPr>
                  <w:rFonts w:ascii="Arial" w:cs="Arial" w:eastAsia="Arial" w:hAnsi="Arial"/>
                  <w:sz w:val="18"/>
                  <w:szCs w:val="18"/>
                  <w:color w:val="auto"/>
                </w:rPr>
                <w:t>ITEM 9B.</w:t>
              </w:r>
            </w:hyperlink>
          </w:p>
        </w:tc>
        <w:tc>
          <w:tcPr>
            <w:tcW w:w="1760" w:type="dxa"/>
            <w:vAlign w:val="bottom"/>
            <w:tcBorders>
              <w:top w:val="single" w:sz="8" w:color="0000EE"/>
            </w:tcBorders>
            <w:gridSpan w:val="11"/>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6320" w:type="dxa"/>
            <w:vAlign w:val="bottom"/>
            <w:gridSpan w:val="17"/>
          </w:tcPr>
          <w:p>
            <w:pPr>
              <w:spacing w:after="0"/>
              <w:rPr>
                <w:sz w:val="21"/>
                <w:szCs w:val="21"/>
                <w:color w:val="auto"/>
              </w:rPr>
            </w:pPr>
          </w:p>
        </w:tc>
      </w:tr>
      <w:tr>
        <w:trPr>
          <w:trHeight w:val="290"/>
        </w:trPr>
        <w:tc>
          <w:tcPr>
            <w:tcW w:w="14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8"/>
          </w:tcPr>
          <w:p>
            <w:pPr>
              <w:jc w:val="center"/>
              <w:ind w:right="2900"/>
              <w:spacing w:after="0"/>
              <w:rPr>
                <w:rFonts w:ascii="Arial" w:cs="Arial" w:eastAsia="Arial" w:hAnsi="Arial"/>
                <w:sz w:val="18"/>
                <w:szCs w:val="18"/>
                <w:b w:val="1"/>
                <w:bCs w:val="1"/>
                <w:color w:val="auto"/>
              </w:rPr>
            </w:pPr>
            <w:hyperlink w:anchor="page104">
              <w:r>
                <w:rPr>
                  <w:rFonts w:ascii="Arial" w:cs="Arial" w:eastAsia="Arial" w:hAnsi="Arial"/>
                  <w:sz w:val="18"/>
                  <w:szCs w:val="18"/>
                  <w:b w:val="1"/>
                  <w:bCs w:val="1"/>
                  <w:color w:val="auto"/>
                </w:rPr>
                <w:t>PART III</w:t>
              </w:r>
            </w:hyperlink>
          </w:p>
        </w:tc>
      </w:tr>
      <w:tr>
        <w:trPr>
          <w:trHeight w:val="190"/>
        </w:trPr>
        <w:tc>
          <w:tcPr>
            <w:tcW w:w="1400" w:type="dxa"/>
            <w:vAlign w:val="bottom"/>
          </w:tcPr>
          <w:p>
            <w:pPr>
              <w:spacing w:after="0" w:line="190" w:lineRule="exact"/>
              <w:rPr>
                <w:rFonts w:ascii="Arial" w:cs="Arial" w:eastAsia="Arial" w:hAnsi="Arial"/>
                <w:sz w:val="18"/>
                <w:szCs w:val="18"/>
                <w:color w:val="auto"/>
              </w:rPr>
            </w:pPr>
            <w:hyperlink w:anchor="page105">
              <w:r>
                <w:rPr>
                  <w:rFonts w:ascii="Arial" w:cs="Arial" w:eastAsia="Arial" w:hAnsi="Arial"/>
                  <w:sz w:val="18"/>
                  <w:szCs w:val="18"/>
                  <w:color w:val="auto"/>
                </w:rPr>
                <w:t>ITEM 10.</w:t>
              </w:r>
            </w:hyperlink>
          </w:p>
        </w:tc>
        <w:tc>
          <w:tcPr>
            <w:tcW w:w="8080" w:type="dxa"/>
            <w:vAlign w:val="bottom"/>
            <w:gridSpan w:val="28"/>
          </w:tcPr>
          <w:p>
            <w:pPr>
              <w:spacing w:after="0" w:line="190"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r>
      <w:tr>
        <w:trPr>
          <w:trHeight w:val="20"/>
        </w:trPr>
        <w:tc>
          <w:tcPr>
            <w:tcW w:w="14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10</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13</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13</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p>
      <w:pPr>
        <w:spacing w:after="0" w:line="293" w:lineRule="exact"/>
        <w:rPr>
          <w:sz w:val="20"/>
          <w:szCs w:val="20"/>
          <w:color w:val="auto"/>
        </w:rPr>
      </w:pPr>
    </w:p>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25</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p>
      <w:pPr>
        <w:spacing w:after="0" w:line="63" w:lineRule="exact"/>
        <w:rPr>
          <w:sz w:val="20"/>
          <w:szCs w:val="20"/>
          <w:color w:val="auto"/>
        </w:rPr>
      </w:pPr>
    </w:p>
    <w:p>
      <w:pPr>
        <w:jc w:val="right"/>
        <w:spacing w:after="0"/>
        <w:rPr>
          <w:rFonts w:ascii="Arial" w:cs="Arial" w:eastAsia="Arial" w:hAnsi="Arial"/>
          <w:sz w:val="15"/>
          <w:szCs w:val="15"/>
          <w:color w:val="auto"/>
        </w:rPr>
      </w:pPr>
      <w:hyperlink w:anchor="page102">
        <w:r>
          <w:rPr>
            <w:rFonts w:ascii="Arial" w:cs="Arial" w:eastAsia="Arial" w:hAnsi="Arial"/>
            <w:sz w:val="15"/>
            <w:szCs w:val="15"/>
            <w:color w:val="auto"/>
          </w:rPr>
          <w:t>102</w:t>
        </w:r>
      </w:hyperlink>
    </w:p>
    <w:p>
      <w:pPr>
        <w:spacing w:after="0" w:line="98" w:lineRule="exact"/>
        <w:rPr>
          <w:sz w:val="20"/>
          <w:szCs w:val="20"/>
          <w:color w:val="auto"/>
        </w:rPr>
      </w:pPr>
    </w:p>
    <w:p>
      <w:pPr>
        <w:jc w:val="right"/>
        <w:spacing w:after="0"/>
        <w:rPr>
          <w:rFonts w:ascii="Arial" w:cs="Arial" w:eastAsia="Arial" w:hAnsi="Arial"/>
          <w:sz w:val="15"/>
          <w:szCs w:val="15"/>
          <w:color w:val="auto"/>
        </w:rPr>
      </w:pPr>
      <w:hyperlink w:anchor="page103">
        <w:r>
          <w:rPr>
            <w:rFonts w:ascii="Arial" w:cs="Arial" w:eastAsia="Arial" w:hAnsi="Arial"/>
            <w:sz w:val="15"/>
            <w:szCs w:val="15"/>
            <w:color w:val="auto"/>
          </w:rPr>
          <w:t>102</w:t>
        </w:r>
      </w:hyperlink>
    </w:p>
    <w:p>
      <w:pPr>
        <w:spacing w:after="0" w:line="98" w:lineRule="exact"/>
        <w:rPr>
          <w:sz w:val="20"/>
          <w:szCs w:val="20"/>
          <w:color w:val="auto"/>
        </w:rPr>
      </w:pPr>
    </w:p>
    <w:p>
      <w:pPr>
        <w:jc w:val="right"/>
        <w:spacing w:after="0"/>
        <w:rPr>
          <w:rFonts w:ascii="Arial" w:cs="Arial" w:eastAsia="Arial" w:hAnsi="Arial"/>
          <w:sz w:val="15"/>
          <w:szCs w:val="15"/>
          <w:color w:val="auto"/>
        </w:rPr>
      </w:pPr>
      <w:hyperlink w:anchor="page103">
        <w:r>
          <w:rPr>
            <w:rFonts w:ascii="Arial" w:cs="Arial" w:eastAsia="Arial" w:hAnsi="Arial"/>
            <w:sz w:val="15"/>
            <w:szCs w:val="15"/>
            <w:color w:val="auto"/>
          </w:rPr>
          <w:t>103</w:t>
        </w:r>
      </w:hyperlink>
    </w:p>
    <w:p>
      <w:pPr>
        <w:spacing w:after="0" w:line="327" w:lineRule="exact"/>
        <w:rPr>
          <w:sz w:val="20"/>
          <w:szCs w:val="20"/>
          <w:color w:val="auto"/>
        </w:rPr>
      </w:pPr>
    </w:p>
    <w:p>
      <w:pPr>
        <w:spacing w:after="0"/>
        <w:rPr>
          <w:rFonts w:ascii="Arial" w:cs="Arial" w:eastAsia="Arial" w:hAnsi="Arial"/>
          <w:sz w:val="15"/>
          <w:szCs w:val="15"/>
          <w:color w:val="auto"/>
        </w:rPr>
      </w:pPr>
      <w:hyperlink w:anchor="page105">
        <w:r>
          <w:rPr>
            <w:rFonts w:ascii="Arial" w:cs="Arial" w:eastAsia="Arial" w:hAnsi="Arial"/>
            <w:sz w:val="15"/>
            <w:szCs w:val="15"/>
            <w:color w:val="auto"/>
          </w:rPr>
          <w:t>104</w:t>
        </w:r>
      </w:hyperlink>
    </w:p>
    <w:p>
      <w:pPr>
        <w:spacing w:after="0" w:line="217" w:lineRule="exact"/>
        <w:rPr>
          <w:sz w:val="20"/>
          <w:szCs w:val="20"/>
          <w:color w:val="auto"/>
        </w:rPr>
      </w:pPr>
    </w:p>
    <w:p>
      <w:pPr>
        <w:sectPr>
          <w:pgSz w:w="11900" w:h="16838" w:orient="portrait"/>
          <w:cols w:equalWidth="0" w:num="2">
            <w:col w:w="10200" w:space="720"/>
            <w:col w:w="260"/>
          </w:cols>
          <w:pgMar w:left="320" w:top="125" w:right="3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5">
        <w:r>
          <w:rPr>
            <w:rFonts w:ascii="Arial" w:cs="Arial" w:eastAsia="Arial" w:hAnsi="Arial"/>
            <w:sz w:val="18"/>
            <w:szCs w:val="18"/>
            <w:color w:val="auto"/>
          </w:rPr>
          <w:t>ITEM 11.</w:t>
        </w:r>
      </w:hyperlink>
      <w:r>
        <w:rPr>
          <w:rFonts w:ascii="Arial" w:cs="Arial" w:eastAsia="Arial" w:hAnsi="Arial"/>
          <w:sz w:val="18"/>
          <w:szCs w:val="18"/>
          <w:color w:val="auto"/>
        </w:rPr>
        <w:tab/>
      </w:r>
      <w:hyperlink w:anchor="page105">
        <w:r>
          <w:rPr>
            <w:rFonts w:ascii="Arial" w:cs="Arial" w:eastAsia="Arial" w:hAnsi="Arial"/>
            <w:sz w:val="16"/>
            <w:szCs w:val="16"/>
            <w:u w:val="single" w:color="auto"/>
            <w:color w:val="0000EE"/>
          </w:rPr>
          <w:t>Executive Compensation</w:t>
        </w:r>
      </w:hyperlink>
    </w:p>
    <w:p>
      <w:pPr>
        <w:spacing w:after="0" w:line="63"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5">
        <w:r>
          <w:rPr>
            <w:rFonts w:ascii="Arial" w:cs="Arial" w:eastAsia="Arial" w:hAnsi="Arial"/>
            <w:sz w:val="18"/>
            <w:szCs w:val="18"/>
            <w:color w:val="auto"/>
          </w:rPr>
          <w:t>ITEM 12.</w:t>
        </w:r>
      </w:hyperlink>
      <w:r>
        <w:rPr>
          <w:rFonts w:ascii="Arial" w:cs="Arial" w:eastAsia="Arial" w:hAnsi="Arial"/>
          <w:sz w:val="18"/>
          <w:szCs w:val="18"/>
          <w:color w:val="auto"/>
        </w:rPr>
        <w:tab/>
      </w:r>
      <w:hyperlink w:anchor="page105">
        <w:r>
          <w:rPr>
            <w:rFonts w:ascii="Arial" w:cs="Arial" w:eastAsia="Arial" w:hAnsi="Arial"/>
            <w:sz w:val="16"/>
            <w:szCs w:val="16"/>
            <w:u w:val="single" w:color="auto"/>
            <w:color w:val="0000EE"/>
          </w:rPr>
          <w:t>Security Ownership of Certain Beneficial Owners and Management and Related Stockholder Matters</w:t>
        </w:r>
      </w:hyperlink>
    </w:p>
    <w:p>
      <w:pPr>
        <w:spacing w:after="0" w:line="63"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5">
        <w:r>
          <w:rPr>
            <w:rFonts w:ascii="Arial" w:cs="Arial" w:eastAsia="Arial" w:hAnsi="Arial"/>
            <w:sz w:val="18"/>
            <w:szCs w:val="18"/>
            <w:color w:val="auto"/>
          </w:rPr>
          <w:t>ITEM 13.</w:t>
        </w:r>
      </w:hyperlink>
      <w:r>
        <w:rPr>
          <w:rFonts w:ascii="Arial" w:cs="Arial" w:eastAsia="Arial" w:hAnsi="Arial"/>
          <w:sz w:val="18"/>
          <w:szCs w:val="18"/>
          <w:color w:val="auto"/>
        </w:rPr>
        <w:tab/>
      </w:r>
      <w:hyperlink w:anchor="page105">
        <w:r>
          <w:rPr>
            <w:rFonts w:ascii="Arial" w:cs="Arial" w:eastAsia="Arial" w:hAnsi="Arial"/>
            <w:sz w:val="16"/>
            <w:szCs w:val="16"/>
            <w:u w:val="single" w:color="auto"/>
            <w:color w:val="0000EE"/>
          </w:rPr>
          <w:t>Certain Relationships and Related Transactions, and Director Independence</w:t>
        </w:r>
      </w:hyperlink>
    </w:p>
    <w:p>
      <w:pPr>
        <w:spacing w:after="0" w:line="63"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5">
        <w:r>
          <w:rPr>
            <w:rFonts w:ascii="Arial" w:cs="Arial" w:eastAsia="Arial" w:hAnsi="Arial"/>
            <w:sz w:val="18"/>
            <w:szCs w:val="18"/>
            <w:color w:val="auto"/>
          </w:rPr>
          <w:t>ITEM 14.</w:t>
        </w:r>
      </w:hyperlink>
      <w:r>
        <w:rPr>
          <w:rFonts w:ascii="Arial" w:cs="Arial" w:eastAsia="Arial" w:hAnsi="Arial"/>
          <w:sz w:val="18"/>
          <w:szCs w:val="18"/>
          <w:color w:val="auto"/>
        </w:rPr>
        <w:tab/>
      </w:r>
      <w:hyperlink w:anchor="page105">
        <w:r>
          <w:rPr>
            <w:rFonts w:ascii="Arial" w:cs="Arial" w:eastAsia="Arial" w:hAnsi="Arial"/>
            <w:sz w:val="16"/>
            <w:szCs w:val="16"/>
            <w:u w:val="single" w:color="auto"/>
            <w:color w:val="0000EE"/>
          </w:rPr>
          <w:t>Principal Accounting Fees and Services</w:t>
        </w:r>
      </w:hyperlink>
    </w:p>
    <w:p>
      <w:pPr>
        <w:spacing w:after="0" w:line="59" w:lineRule="exact"/>
        <w:rPr>
          <w:sz w:val="20"/>
          <w:szCs w:val="20"/>
          <w:color w:val="auto"/>
        </w:rPr>
      </w:pPr>
    </w:p>
    <w:p>
      <w:pPr>
        <w:jc w:val="center"/>
        <w:ind w:left="1000"/>
        <w:spacing w:after="0"/>
        <w:rPr>
          <w:rFonts w:ascii="Arial" w:cs="Arial" w:eastAsia="Arial" w:hAnsi="Arial"/>
          <w:sz w:val="18"/>
          <w:szCs w:val="18"/>
          <w:b w:val="1"/>
          <w:bCs w:val="1"/>
          <w:color w:val="auto"/>
        </w:rPr>
      </w:pPr>
      <w:hyperlink w:anchor="page105">
        <w:r>
          <w:rPr>
            <w:rFonts w:ascii="Arial" w:cs="Arial" w:eastAsia="Arial" w:hAnsi="Arial"/>
            <w:sz w:val="18"/>
            <w:szCs w:val="18"/>
            <w:b w:val="1"/>
            <w:bCs w:val="1"/>
            <w:color w:val="auto"/>
          </w:rPr>
          <w:t>PART IV</w:t>
        </w:r>
      </w:hyperlink>
    </w:p>
    <w:p>
      <w:pPr>
        <w:spacing w:after="0" w:line="27"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6">
        <w:r>
          <w:rPr>
            <w:rFonts w:ascii="Arial" w:cs="Arial" w:eastAsia="Arial" w:hAnsi="Arial"/>
            <w:sz w:val="18"/>
            <w:szCs w:val="18"/>
            <w:color w:val="auto"/>
          </w:rPr>
          <w:t>ITEM 15.</w:t>
        </w:r>
      </w:hyperlink>
      <w:r>
        <w:rPr>
          <w:rFonts w:ascii="Arial" w:cs="Arial" w:eastAsia="Arial" w:hAnsi="Arial"/>
          <w:sz w:val="18"/>
          <w:szCs w:val="18"/>
          <w:color w:val="auto"/>
        </w:rPr>
        <w:tab/>
      </w:r>
      <w:hyperlink w:anchor="page106">
        <w:r>
          <w:rPr>
            <w:rFonts w:ascii="Arial" w:cs="Arial" w:eastAsia="Arial" w:hAnsi="Arial"/>
            <w:sz w:val="16"/>
            <w:szCs w:val="16"/>
            <w:u w:val="single" w:color="auto"/>
            <w:color w:val="0000EE"/>
          </w:rPr>
          <w:t>Exhibits, Financial Statement Schedules</w:t>
        </w:r>
      </w:hyperlink>
    </w:p>
    <w:p>
      <w:pPr>
        <w:spacing w:after="0" w:line="62" w:lineRule="exact"/>
        <w:rPr>
          <w:sz w:val="20"/>
          <w:szCs w:val="20"/>
          <w:color w:val="auto"/>
        </w:rPr>
      </w:pPr>
    </w:p>
    <w:p>
      <w:pPr>
        <w:ind w:left="20"/>
        <w:spacing w:after="0"/>
        <w:tabs>
          <w:tab w:leader="none" w:pos="1400" w:val="left"/>
        </w:tabs>
        <w:rPr>
          <w:rFonts w:ascii="Arial" w:cs="Arial" w:eastAsia="Arial" w:hAnsi="Arial"/>
          <w:sz w:val="16"/>
          <w:szCs w:val="16"/>
          <w:u w:val="single" w:color="auto"/>
          <w:color w:val="0000EE"/>
        </w:rPr>
      </w:pPr>
      <w:hyperlink w:anchor="page106">
        <w:r>
          <w:rPr>
            <w:rFonts w:ascii="Arial" w:cs="Arial" w:eastAsia="Arial" w:hAnsi="Arial"/>
            <w:sz w:val="18"/>
            <w:szCs w:val="18"/>
            <w:color w:val="auto"/>
          </w:rPr>
          <w:t>ITEM 16.</w:t>
        </w:r>
      </w:hyperlink>
      <w:r>
        <w:rPr>
          <w:rFonts w:ascii="Arial" w:cs="Arial" w:eastAsia="Arial" w:hAnsi="Arial"/>
          <w:sz w:val="18"/>
          <w:szCs w:val="18"/>
          <w:color w:val="auto"/>
        </w:rPr>
        <w:tab/>
      </w:r>
      <w:hyperlink w:anchor="page106">
        <w:r>
          <w:rPr>
            <w:rFonts w:ascii="Arial" w:cs="Arial" w:eastAsia="Arial" w:hAnsi="Arial"/>
            <w:sz w:val="16"/>
            <w:szCs w:val="16"/>
            <w:u w:val="single" w:color="auto"/>
            <w:color w:val="0000EE"/>
          </w:rPr>
          <w:t>Form 10-K Summary</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Index to Exhibits</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rFonts w:ascii="Arial" w:cs="Arial" w:eastAsia="Arial" w:hAnsi="Arial"/>
          <w:sz w:val="15"/>
          <w:szCs w:val="15"/>
          <w:color w:val="auto"/>
        </w:rPr>
      </w:pPr>
      <w:hyperlink w:anchor="page105">
        <w:r>
          <w:rPr>
            <w:rFonts w:ascii="Arial" w:cs="Arial" w:eastAsia="Arial" w:hAnsi="Arial"/>
            <w:sz w:val="15"/>
            <w:szCs w:val="15"/>
            <w:color w:val="auto"/>
          </w:rPr>
          <w:t>104</w:t>
        </w:r>
      </w:hyperlink>
    </w:p>
    <w:p>
      <w:pPr>
        <w:spacing w:after="0" w:line="98" w:lineRule="exact"/>
        <w:rPr>
          <w:sz w:val="20"/>
          <w:szCs w:val="20"/>
          <w:color w:val="auto"/>
        </w:rPr>
      </w:pPr>
    </w:p>
    <w:p>
      <w:pPr>
        <w:spacing w:after="0"/>
        <w:rPr>
          <w:rFonts w:ascii="Arial" w:cs="Arial" w:eastAsia="Arial" w:hAnsi="Arial"/>
          <w:sz w:val="15"/>
          <w:szCs w:val="15"/>
          <w:color w:val="auto"/>
        </w:rPr>
      </w:pPr>
      <w:hyperlink w:anchor="page105">
        <w:r>
          <w:rPr>
            <w:rFonts w:ascii="Arial" w:cs="Arial" w:eastAsia="Arial" w:hAnsi="Arial"/>
            <w:sz w:val="15"/>
            <w:szCs w:val="15"/>
            <w:color w:val="auto"/>
          </w:rPr>
          <w:t>104</w:t>
        </w:r>
      </w:hyperlink>
    </w:p>
    <w:p>
      <w:pPr>
        <w:spacing w:after="0" w:line="98" w:lineRule="exact"/>
        <w:rPr>
          <w:sz w:val="20"/>
          <w:szCs w:val="20"/>
          <w:color w:val="auto"/>
        </w:rPr>
      </w:pPr>
    </w:p>
    <w:p>
      <w:pPr>
        <w:spacing w:after="0"/>
        <w:rPr>
          <w:rFonts w:ascii="Arial" w:cs="Arial" w:eastAsia="Arial" w:hAnsi="Arial"/>
          <w:sz w:val="15"/>
          <w:szCs w:val="15"/>
          <w:color w:val="auto"/>
        </w:rPr>
      </w:pPr>
      <w:hyperlink w:anchor="page105">
        <w:r>
          <w:rPr>
            <w:rFonts w:ascii="Arial" w:cs="Arial" w:eastAsia="Arial" w:hAnsi="Arial"/>
            <w:sz w:val="15"/>
            <w:szCs w:val="15"/>
            <w:color w:val="auto"/>
          </w:rPr>
          <w:t>104</w:t>
        </w:r>
      </w:hyperlink>
    </w:p>
    <w:p>
      <w:pPr>
        <w:spacing w:after="0" w:line="98" w:lineRule="exact"/>
        <w:rPr>
          <w:sz w:val="20"/>
          <w:szCs w:val="20"/>
          <w:color w:val="auto"/>
        </w:rPr>
      </w:pPr>
    </w:p>
    <w:p>
      <w:pPr>
        <w:spacing w:after="0"/>
        <w:rPr>
          <w:rFonts w:ascii="Arial" w:cs="Arial" w:eastAsia="Arial" w:hAnsi="Arial"/>
          <w:sz w:val="15"/>
          <w:szCs w:val="15"/>
          <w:color w:val="auto"/>
        </w:rPr>
      </w:pPr>
      <w:hyperlink w:anchor="page105">
        <w:r>
          <w:rPr>
            <w:rFonts w:ascii="Arial" w:cs="Arial" w:eastAsia="Arial" w:hAnsi="Arial"/>
            <w:sz w:val="15"/>
            <w:szCs w:val="15"/>
            <w:color w:val="auto"/>
          </w:rPr>
          <w:t>104</w:t>
        </w:r>
      </w:hyperlink>
    </w:p>
    <w:p>
      <w:pPr>
        <w:spacing w:after="0" w:line="327" w:lineRule="exact"/>
        <w:rPr>
          <w:sz w:val="20"/>
          <w:szCs w:val="20"/>
          <w:color w:val="auto"/>
        </w:rPr>
      </w:pPr>
    </w:p>
    <w:p>
      <w:pPr>
        <w:spacing w:after="0"/>
        <w:rPr>
          <w:rFonts w:ascii="Arial" w:cs="Arial" w:eastAsia="Arial" w:hAnsi="Arial"/>
          <w:sz w:val="15"/>
          <w:szCs w:val="15"/>
          <w:color w:val="auto"/>
        </w:rPr>
      </w:pPr>
      <w:hyperlink w:anchor="page106">
        <w:r>
          <w:rPr>
            <w:rFonts w:ascii="Arial" w:cs="Arial" w:eastAsia="Arial" w:hAnsi="Arial"/>
            <w:sz w:val="15"/>
            <w:szCs w:val="15"/>
            <w:color w:val="auto"/>
          </w:rPr>
          <w:t>105</w:t>
        </w:r>
      </w:hyperlink>
    </w:p>
    <w:p>
      <w:pPr>
        <w:spacing w:after="0" w:line="98" w:lineRule="exact"/>
        <w:rPr>
          <w:sz w:val="20"/>
          <w:szCs w:val="20"/>
          <w:color w:val="auto"/>
        </w:rPr>
      </w:pPr>
    </w:p>
    <w:p>
      <w:pPr>
        <w:spacing w:after="0"/>
        <w:rPr>
          <w:rFonts w:ascii="Arial" w:cs="Arial" w:eastAsia="Arial" w:hAnsi="Arial"/>
          <w:sz w:val="15"/>
          <w:szCs w:val="15"/>
          <w:color w:val="auto"/>
        </w:rPr>
      </w:pPr>
      <w:hyperlink w:anchor="page106">
        <w:r>
          <w:rPr>
            <w:rFonts w:ascii="Arial" w:cs="Arial" w:eastAsia="Arial" w:hAnsi="Arial"/>
            <w:sz w:val="15"/>
            <w:szCs w:val="15"/>
            <w:color w:val="auto"/>
          </w:rPr>
          <w:t>105</w:t>
        </w:r>
      </w:hyperlink>
    </w:p>
    <w:p>
      <w:pPr>
        <w:spacing w:after="0" w:line="314" w:lineRule="exact"/>
        <w:rPr>
          <w:sz w:val="20"/>
          <w:szCs w:val="20"/>
          <w:color w:val="auto"/>
        </w:rPr>
      </w:pPr>
    </w:p>
    <w:p>
      <w:pPr>
        <w:spacing w:after="0"/>
        <w:rPr>
          <w:rFonts w:ascii="Arial" w:cs="Arial" w:eastAsia="Arial" w:hAnsi="Arial"/>
          <w:sz w:val="15"/>
          <w:szCs w:val="15"/>
          <w:color w:val="auto"/>
        </w:rPr>
      </w:pPr>
      <w:hyperlink w:anchor="page106">
        <w:r>
          <w:rPr>
            <w:rFonts w:ascii="Arial" w:cs="Arial" w:eastAsia="Arial" w:hAnsi="Arial"/>
            <w:sz w:val="15"/>
            <w:szCs w:val="15"/>
            <w:color w:val="auto"/>
          </w:rPr>
          <w:t>106</w:t>
        </w:r>
      </w:hyperlink>
    </w:p>
    <w:p>
      <w:pPr>
        <w:spacing w:after="0" w:line="98" w:lineRule="exact"/>
        <w:rPr>
          <w:sz w:val="20"/>
          <w:szCs w:val="20"/>
          <w:color w:val="auto"/>
        </w:rPr>
      </w:pPr>
    </w:p>
    <w:p>
      <w:pPr>
        <w:spacing w:after="0"/>
        <w:rPr>
          <w:rFonts w:ascii="Arial" w:cs="Arial" w:eastAsia="Arial" w:hAnsi="Arial"/>
          <w:sz w:val="15"/>
          <w:szCs w:val="15"/>
          <w:color w:val="auto"/>
        </w:rPr>
      </w:pPr>
      <w:hyperlink w:anchor="page118">
        <w:r>
          <w:rPr>
            <w:rFonts w:ascii="Arial" w:cs="Arial" w:eastAsia="Arial" w:hAnsi="Arial"/>
            <w:sz w:val="15"/>
            <w:szCs w:val="15"/>
            <w:color w:val="auto"/>
          </w:rPr>
          <w:t>118</w:t>
        </w:r>
      </w:hyperlink>
    </w:p>
    <w:p>
      <w:pPr>
        <w:sectPr>
          <w:pgSz w:w="11900" w:h="16838" w:orient="portrait"/>
          <w:cols w:equalWidth="0" w:num="2">
            <w:col w:w="10200" w:space="720"/>
            <w:col w:w="26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stock price; and (xi) our ability to remain qualified as a real estate investment trust (“REIT”).</w:t>
      </w:r>
    </w:p>
    <w:p>
      <w:pPr>
        <w:spacing w:after="0" w:line="194" w:lineRule="exact"/>
        <w:rPr>
          <w:sz w:val="20"/>
          <w:szCs w:val="20"/>
          <w:color w:val="auto"/>
        </w:rPr>
      </w:pPr>
    </w:p>
    <w:p>
      <w:pPr>
        <w:jc w:val="both"/>
        <w:ind w:firstLine="567"/>
        <w:spacing w:after="0" w:line="268" w:lineRule="auto"/>
        <w:rPr>
          <w:sz w:val="20"/>
          <w:szCs w:val="20"/>
          <w:color w:val="auto"/>
        </w:rPr>
      </w:pPr>
      <w:r>
        <w:rPr>
          <w:rFonts w:ascii="Arial" w:cs="Arial" w:eastAsia="Arial" w:hAnsi="Arial"/>
          <w:sz w:val="17"/>
          <w:szCs w:val="17"/>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continued impact of the COVID-19 pandemic on our business, financial condition and results of operations and on general economic conditions, including inflationary pressures; (ii) the state of the economy and financial markets generally (including the impact caused by the COVID-19 pandemic) and their effects on the markets in which we operate and the broader demand for advertising; (iii) the levels of expenditures on advertising in general and outdoor advertising in particular; (iv) risks and uncertainties relating to our significant indebtedness; (v) the demand for outdoor advertising and its continued popularity as an advertising medium; (vi) our need for, and ability to obtain, additional funding for acquisitions, operations and debt refinancing; (vii) increased competition within the outdoor advertising industry; (viii) the regulation of the outdoor advertising industry by federal, state and local governments; (ix) our ability to renew expiring contracts at favorable rates; (x) the integration of businesses and assets that we acquire and our ability to recognize cost savings and operating efficiencies as a result of these acquisitions; (xi) our ability to successfully implement our digital deployment strategy; (xii) the market for our Class A common stock; (xiii) changes in accounting principles, policies or guidelines; (xiv) our ability to effectively mitigate the threat of and damages caused by hurricanes and other kinds of severe weather; (xv) our ability to maintain our status as a REIT; and (xvi) changes in tax laws applicable to REITs or in the interpretation of those laws.</w:t>
      </w:r>
    </w:p>
    <w:p>
      <w:pPr>
        <w:spacing w:after="0" w:line="186"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567"/>
        <w:spacing w:after="0" w:line="259" w:lineRule="auto"/>
        <w:rPr>
          <w:sz w:val="20"/>
          <w:szCs w:val="20"/>
          <w:color w:val="auto"/>
        </w:rPr>
      </w:pPr>
      <w:r>
        <w:rPr>
          <w:rFonts w:ascii="Arial" w:cs="Arial" w:eastAsia="Arial" w:hAnsi="Arial"/>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rent space for 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operate three types of outdoor advertising displays: billboards, logo signs and transit advertising displays.</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Billboards. </w:t>
      </w:r>
      <w:r>
        <w:rPr>
          <w:rFonts w:ascii="Arial" w:cs="Arial" w:eastAsia="Arial" w:hAnsi="Arial"/>
          <w:sz w:val="18"/>
          <w:szCs w:val="18"/>
          <w:color w:val="auto"/>
        </w:rPr>
        <w:t>As of December 31, 2021, we owned and operated approximately 153,800 billboard advertising displays in 45 states and Canada. We</w:t>
      </w:r>
      <w:r>
        <w:rPr>
          <w:rFonts w:ascii="Arial" w:cs="Arial" w:eastAsia="Arial" w:hAnsi="Arial"/>
          <w:sz w:val="18"/>
          <w:szCs w:val="18"/>
          <w:i w:val="1"/>
          <w:iCs w:val="1"/>
          <w:color w:val="auto"/>
        </w:rPr>
        <w:t xml:space="preserve"> </w:t>
      </w:r>
      <w:r>
        <w:rPr>
          <w:rFonts w:ascii="Arial" w:cs="Arial" w:eastAsia="Arial" w:hAnsi="Arial"/>
          <w:sz w:val="18"/>
          <w:szCs w:val="18"/>
          <w:color w:val="auto"/>
        </w:rPr>
        <w:t>rent most of our advertising space on two types of billboards: bulletins and posters.</w:t>
      </w:r>
    </w:p>
    <w:p>
      <w:pPr>
        <w:spacing w:after="0" w:line="62" w:lineRule="exact"/>
        <w:rPr>
          <w:sz w:val="20"/>
          <w:szCs w:val="20"/>
          <w:color w:val="auto"/>
        </w:rPr>
      </w:pPr>
    </w:p>
    <w:p>
      <w:pPr>
        <w:ind w:left="1140" w:hanging="565"/>
        <w:spacing w:after="0"/>
        <w:tabs>
          <w:tab w:leader="none" w:pos="11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generally large, illuminated advertising structures that are located on major highways and target vehicular traffic.</w:t>
      </w:r>
    </w:p>
    <w:p>
      <w:pPr>
        <w:spacing w:after="0" w:line="117" w:lineRule="exact"/>
        <w:rPr>
          <w:rFonts w:ascii="Arial" w:cs="Arial" w:eastAsia="Arial" w:hAnsi="Arial"/>
          <w:sz w:val="18"/>
          <w:szCs w:val="18"/>
          <w:i w:val="1"/>
          <w:iCs w:val="1"/>
          <w:color w:val="auto"/>
        </w:rPr>
      </w:pPr>
    </w:p>
    <w:p>
      <w:pPr>
        <w:ind w:left="1140" w:right="20" w:hanging="565"/>
        <w:spacing w:after="0" w:line="277" w:lineRule="auto"/>
        <w:tabs>
          <w:tab w:leader="none" w:pos="11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Posters </w:t>
      </w:r>
      <w:r>
        <w:rPr>
          <w:rFonts w:ascii="Arial" w:cs="Arial" w:eastAsia="Arial" w:hAnsi="Arial"/>
          <w:sz w:val="18"/>
          <w:szCs w:val="18"/>
          <w:color w:val="auto"/>
        </w:rPr>
        <w:t>are generally smaller advertising structures that are located on major traffic arteries and city streets and target vehicular and</w:t>
      </w:r>
      <w:r>
        <w:rPr>
          <w:rFonts w:ascii="Arial" w:cs="Arial" w:eastAsia="Arial" w:hAnsi="Arial"/>
          <w:sz w:val="18"/>
          <w:szCs w:val="18"/>
          <w:i w:val="1"/>
          <w:iCs w:val="1"/>
          <w:color w:val="auto"/>
        </w:rPr>
        <w:t xml:space="preserve"> </w:t>
      </w:r>
      <w:r>
        <w:rPr>
          <w:rFonts w:ascii="Arial" w:cs="Arial" w:eastAsia="Arial" w:hAnsi="Arial"/>
          <w:sz w:val="18"/>
          <w:szCs w:val="18"/>
          <w:color w:val="auto"/>
        </w:rPr>
        <w:t>pedestrian traffic.</w:t>
      </w:r>
    </w:p>
    <w:p>
      <w:pPr>
        <w:spacing w:after="0" w:line="170" w:lineRule="exact"/>
        <w:rPr>
          <w:sz w:val="20"/>
          <w:szCs w:val="20"/>
          <w:color w:val="auto"/>
        </w:rPr>
      </w:pPr>
    </w:p>
    <w:p>
      <w:pPr>
        <w:ind w:firstLine="567"/>
        <w:spacing w:after="0" w:line="308" w:lineRule="auto"/>
        <w:rPr>
          <w:sz w:val="20"/>
          <w:szCs w:val="20"/>
          <w:color w:val="auto"/>
        </w:rPr>
      </w:pPr>
      <w:r>
        <w:rPr>
          <w:rFonts w:ascii="Arial" w:cs="Arial" w:eastAsia="Arial" w:hAnsi="Arial"/>
          <w:sz w:val="17"/>
          <w:szCs w:val="17"/>
          <w:color w:val="auto"/>
        </w:rPr>
        <w:t>In addition to traditional billboards, we also rent space on digital billboards, which are generally located on major traffic arteries and city streets. As of December 31, 2021, we owned and operated approximately 3,900 digital billboard advertising displays in 43 states and Canada.</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We rent advertising space on logo signs located near highway exits.</w:t>
      </w:r>
    </w:p>
    <w:p>
      <w:pPr>
        <w:spacing w:after="0" w:line="117"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generally advertise nearby gas, food, camping, lodging and other attractions.</w:t>
      </w:r>
    </w:p>
    <w:p>
      <w:pPr>
        <w:spacing w:after="0" w:line="22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We are the largest provider of logo signs in the United States, operating 23 of the 26 privatized state logo sign contracts. As of December 31, 2021, we operated over 137,800 logo sign advertising displays in 23 states and the province of Ontario, Canada.</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i w:val="1"/>
          <w:iCs w:val="1"/>
          <w:color w:val="auto"/>
        </w:rPr>
        <w:t xml:space="preserve">Transit advertising displays. </w:t>
      </w:r>
      <w:r>
        <w:rPr>
          <w:rFonts w:ascii="Arial" w:cs="Arial" w:eastAsia="Arial" w:hAnsi="Arial"/>
          <w:sz w:val="18"/>
          <w:szCs w:val="18"/>
          <w:color w:val="auto"/>
        </w:rPr>
        <w:t>We also rent advertising space on the exterior and interior of public transportation vehicles, in airport terminals, and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shelters and benches in over 80 markets. As of December 31, 2021, we operated approximately 46,600 transit advertising displays in 23 states and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operated under the Lamar name since our founding in 1902 and have been publicly traded on NASDAQ under the symbol “LAMR” since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During 2014, we completed a reorganization in order to qualify as a real estate investment trust (a “REIT”) for federal income tax purposes.</w:t>
      </w:r>
    </w:p>
    <w:p>
      <w:pPr>
        <w:spacing w:after="0" w:line="23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strive to be a leading provider of outdoor advertising services in each of the markets that we serve, and our operating strategies for achieving that goal include:</w:t>
      </w:r>
    </w:p>
    <w:p>
      <w:pPr>
        <w:spacing w:after="0" w:line="170"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b w:val="1"/>
          <w:bCs w:val="1"/>
          <w:i w:val="1"/>
          <w:iCs w:val="1"/>
          <w:color w:val="auto"/>
        </w:rPr>
        <w:t xml:space="preserve">Continuing to provide high quality local sales and service. </w:t>
      </w:r>
      <w:r>
        <w:rPr>
          <w:rFonts w:ascii="Arial" w:cs="Arial" w:eastAsia="Arial" w:hAnsi="Arial"/>
          <w:sz w:val="16"/>
          <w:szCs w:val="16"/>
          <w:color w:val="auto"/>
        </w:rPr>
        <w:t>We seek to identify and closely monitor the needs of our tenants and to provide them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full complement of high quality advertising services. Local advertising constituted approximately 77% of our outdoor net revenues for the year ended December 31, 2021, which management believes is higher than the industry average. We believe that the experience of our regional, territory and local managers has contributed greatly to our success. For example, our regional managers have been with us for an average of 31 years. In an effort to provide high quality sales and service at the local level, we employed approximately 930 local account executives as of December 31, 2021.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166"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b w:val="1"/>
          <w:bCs w:val="1"/>
          <w:i w:val="1"/>
          <w:iCs w:val="1"/>
          <w:color w:val="auto"/>
        </w:rPr>
        <w:t xml:space="preserve">Continuing a centralized control and decentralized management structure. </w:t>
      </w:r>
      <w:r>
        <w:rPr>
          <w:rFonts w:ascii="Arial" w:cs="Arial" w:eastAsia="Arial" w:hAnsi="Arial"/>
          <w:sz w:val="18"/>
          <w:szCs w:val="18"/>
          <w:color w:val="auto"/>
        </w:rPr>
        <w:t>Our management believes that, for our particular business, centralized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b w:val="1"/>
          <w:bCs w:val="1"/>
          <w:i w:val="1"/>
          <w:iCs w:val="1"/>
          <w:color w:val="auto"/>
        </w:rPr>
        <w:t xml:space="preserve">Continuing to focus on internal growth. </w:t>
      </w:r>
      <w:r>
        <w:rPr>
          <w:rFonts w:ascii="Arial" w:cs="Arial" w:eastAsia="Arial" w:hAnsi="Arial"/>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addition, we routinely invest in upgrading our existing displays and constructing new displays. Since January 1, 2012, we have invested approximately $1.1 billion in capitalized expenditures, which include improvements to our existing real estate portfolio and the construction of new locations. Our regular improvement and expansion of our advertising display inventory allows us to provide high quality service to our current tenants and to attract new tenants.</w:t>
      </w:r>
    </w:p>
    <w:p>
      <w:pPr>
        <w:spacing w:after="0" w:line="187"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b w:val="1"/>
          <w:bCs w:val="1"/>
          <w:i w:val="1"/>
          <w:iCs w:val="1"/>
          <w:color w:val="auto"/>
        </w:rPr>
        <w:t xml:space="preserve">Continuing to pursue other outdoor advertising opportunities. </w:t>
      </w:r>
      <w:r>
        <w:rPr>
          <w:rFonts w:ascii="Arial" w:cs="Arial" w:eastAsia="Arial" w:hAnsi="Arial"/>
          <w:sz w:val="17"/>
          <w:szCs w:val="17"/>
          <w:color w:val="auto"/>
        </w:rPr>
        <w:t>We plan to renew existing logo sign contracts and pursue additional logo 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advertising opportunities as they become available.</w:t>
      </w:r>
    </w:p>
    <w:p>
      <w:pPr>
        <w:spacing w:after="0" w:line="176"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b w:val="1"/>
          <w:bCs w:val="1"/>
          <w:i w:val="1"/>
          <w:iCs w:val="1"/>
          <w:color w:val="auto"/>
        </w:rPr>
        <w:t xml:space="preserve">Reinvesting in capital expenditures including digital technology. </w:t>
      </w:r>
      <w:r>
        <w:rPr>
          <w:rFonts w:ascii="Arial" w:cs="Arial" w:eastAsia="Arial" w:hAnsi="Arial"/>
          <w:sz w:val="17"/>
          <w:szCs w:val="17"/>
          <w:color w:val="auto"/>
        </w:rPr>
        <w:t>We have a history of investing in capital expenditures, particularly in our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We spent approximately $126.1 million in total capital expenditures in fiscal year 2021, of which approximately $55.3 million was spent on digital technology. We expect our 2022 capitalized expenditures to be approximately $170.0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w:t>
      </w:r>
    </w:p>
    <w:p>
      <w:pPr>
        <w:spacing w:after="0" w:line="121"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2021, we generated $734.4 million of cash from operating activities, which was used to fund capital expenditures, acquisitions, dividends to our stockholders, and a portion of the expenses incurred in connection with financing transactions.</w:t>
      </w:r>
    </w:p>
    <w:p>
      <w:pPr>
        <w:spacing w:after="0" w:line="53" w:lineRule="exact"/>
        <w:rPr>
          <w:sz w:val="20"/>
          <w:szCs w:val="20"/>
          <w:color w:val="auto"/>
        </w:rPr>
      </w:pPr>
    </w:p>
    <w:p>
      <w:pPr>
        <w:jc w:val="both"/>
        <w:ind w:left="1140" w:hanging="565"/>
        <w:spacing w:after="0" w:line="311"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Capital expenditures program. </w:t>
      </w:r>
      <w:r>
        <w:rPr>
          <w:rFonts w:ascii="Arial" w:cs="Arial" w:eastAsia="Arial" w:hAnsi="Arial"/>
          <w:sz w:val="16"/>
          <w:szCs w:val="16"/>
          <w:color w:val="auto"/>
        </w:rPr>
        <w:t>We will continue to reinvest in our existing assets and expand our outdoor advertising display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new construction. This includes growth and maintenance capital expenditures associated with the construction of new and existing billboard displays, the entrance into and renewal of logo sign and transit contracts, and the purchase of real estate and operating equipment.</w:t>
      </w:r>
    </w:p>
    <w:p>
      <w:pPr>
        <w:spacing w:after="0" w:line="40" w:lineRule="exact"/>
        <w:rPr>
          <w:rFonts w:ascii="Arial" w:cs="Arial" w:eastAsia="Arial" w:hAnsi="Arial"/>
          <w:sz w:val="16"/>
          <w:szCs w:val="16"/>
          <w:color w:val="auto"/>
        </w:rPr>
      </w:pPr>
    </w:p>
    <w:p>
      <w:pPr>
        <w:ind w:left="1140" w:hanging="565"/>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We will seek to pursue strategic acquisitions of outdoor advertising businesses and assets. This includes acquisitions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markets and in new markets where we can meet our return on investment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criteria. When evaluating investments in new markets, our return on investment criteria reflects the additional risks inherent to the particular geographic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Billboard Advertising</w:t>
      </w:r>
    </w:p>
    <w:p>
      <w:pPr>
        <w:spacing w:after="0" w:line="11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rent most of our advertising space on two types of billboard advertising displays: bulletins and posters. As of December 31, 2021, we owned and operated approximately 153,800 billboard advertising displays in 45 states and Canada. In 2021, we derived approximately 76% of our billboard advertising net revenues from bulletin rentals and 24% from poster rentals.</w:t>
      </w:r>
    </w:p>
    <w:p>
      <w:pPr>
        <w:spacing w:after="0" w:line="18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large, advertising structures (the most common size is 14 feet high by 48 feet wide, or 672 square feet) consisting of panels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2021, we operated approximately 75,100 bulletin displays.</w:t>
      </w:r>
    </w:p>
    <w:p>
      <w:pPr>
        <w:spacing w:after="0" w:line="18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84"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i w:val="1"/>
          <w:iCs w:val="1"/>
          <w:color w:val="auto"/>
        </w:rPr>
        <w:t xml:space="preserve">Posters </w:t>
      </w:r>
      <w:r>
        <w:rPr>
          <w:rFonts w:ascii="Arial" w:cs="Arial" w:eastAsia="Arial" w:hAnsi="Arial"/>
          <w:sz w:val="17"/>
          <w:szCs w:val="17"/>
          <w:color w:val="auto"/>
        </w:rPr>
        <w:t>are smaller advertising structures (the most common size is 11 feet high by 23 feet wide, or 253 square feet; we also operate junior posters,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2021, we operated approximately 78,700 poster displays.</w:t>
      </w:r>
    </w:p>
    <w:p>
      <w:pPr>
        <w:spacing w:after="0" w:line="17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84"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2021, our inventory included over 3,900 digital display billboards in various markets. These 3,900 digital billboards generated approximately 30% of billboard advertising net revenue.</w:t>
      </w:r>
    </w:p>
    <w:p>
      <w:pPr>
        <w:spacing w:after="0" w:line="164"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46"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7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Logo Sign Advertising</w:t>
      </w:r>
    </w:p>
    <w:p>
      <w:pPr>
        <w:spacing w:after="0" w:line="11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2021, we operated approximately 42,100 logo sign structures containing over 137,800 logo advertising displays in the United States and Canada.</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operate the logo sign contracts in the province of Ontario, Canada and in the following states: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Colorado</w:t>
            </w:r>
          </w:p>
        </w:tc>
        <w:tc>
          <w:tcPr>
            <w:tcW w:w="1600" w:type="dxa"/>
            <w:vAlign w:val="bottom"/>
          </w:tcPr>
          <w:p>
            <w:pPr>
              <w:ind w:left="440"/>
              <w:spacing w:after="0"/>
              <w:rPr>
                <w:sz w:val="20"/>
                <w:szCs w:val="20"/>
                <w:color w:val="auto"/>
              </w:rPr>
            </w:pPr>
            <w:r>
              <w:rPr>
                <w:rFonts w:ascii="Arial" w:cs="Arial" w:eastAsia="Arial" w:hAnsi="Arial"/>
                <w:sz w:val="18"/>
                <w:szCs w:val="18"/>
                <w:color w:val="auto"/>
              </w:rPr>
              <w:t>Georgia</w:t>
            </w:r>
          </w:p>
        </w:tc>
        <w:tc>
          <w:tcPr>
            <w:tcW w:w="1620" w:type="dxa"/>
            <w:vAlign w:val="bottom"/>
          </w:tcPr>
          <w:p>
            <w:pPr>
              <w:ind w:left="440"/>
              <w:spacing w:after="0"/>
              <w:rPr>
                <w:sz w:val="20"/>
                <w:szCs w:val="20"/>
                <w:color w:val="auto"/>
              </w:rPr>
            </w:pPr>
            <w:r>
              <w:rPr>
                <w:rFonts w:ascii="Arial" w:cs="Arial" w:eastAsia="Arial" w:hAnsi="Arial"/>
                <w:sz w:val="18"/>
                <w:szCs w:val="18"/>
                <w:color w:val="auto"/>
              </w:rPr>
              <w:t>Louisiana</w:t>
            </w:r>
          </w:p>
        </w:tc>
        <w:tc>
          <w:tcPr>
            <w:tcW w:w="1620" w:type="dxa"/>
            <w:vAlign w:val="bottom"/>
          </w:tcPr>
          <w:p>
            <w:pPr>
              <w:ind w:left="420"/>
              <w:spacing w:after="0"/>
              <w:rPr>
                <w:sz w:val="20"/>
                <w:szCs w:val="20"/>
                <w:color w:val="auto"/>
              </w:rPr>
            </w:pPr>
            <w:r>
              <w:rPr>
                <w:rFonts w:ascii="Arial" w:cs="Arial" w:eastAsia="Arial" w:hAnsi="Arial"/>
                <w:sz w:val="18"/>
                <w:szCs w:val="18"/>
                <w:color w:val="auto"/>
              </w:rPr>
              <w:t>Mississippi</w:t>
            </w:r>
          </w:p>
        </w:tc>
        <w:tc>
          <w:tcPr>
            <w:tcW w:w="1760" w:type="dxa"/>
            <w:vAlign w:val="bottom"/>
          </w:tcPr>
          <w:p>
            <w:pPr>
              <w:ind w:left="380"/>
              <w:spacing w:after="0"/>
              <w:rPr>
                <w:sz w:val="20"/>
                <w:szCs w:val="20"/>
                <w:color w:val="auto"/>
              </w:rPr>
            </w:pPr>
            <w:r>
              <w:rPr>
                <w:rFonts w:ascii="Arial" w:cs="Arial" w:eastAsia="Arial" w:hAnsi="Arial"/>
                <w:sz w:val="18"/>
                <w:szCs w:val="18"/>
                <w:color w:val="auto"/>
              </w:rPr>
              <w:t>Nebraska</w:t>
            </w:r>
          </w:p>
        </w:tc>
        <w:tc>
          <w:tcPr>
            <w:tcW w:w="1480" w:type="dxa"/>
            <w:vAlign w:val="bottom"/>
          </w:tcPr>
          <w:p>
            <w:pPr>
              <w:ind w:left="220"/>
              <w:spacing w:after="0"/>
              <w:rPr>
                <w:sz w:val="20"/>
                <w:szCs w:val="20"/>
                <w:color w:val="auto"/>
              </w:rPr>
            </w:pPr>
            <w:r>
              <w:rPr>
                <w:rFonts w:ascii="Arial" w:cs="Arial" w:eastAsia="Arial" w:hAnsi="Arial"/>
                <w:sz w:val="18"/>
                <w:szCs w:val="18"/>
                <w:color w:val="auto"/>
              </w:rPr>
              <w:t>New Jersey</w:t>
            </w:r>
          </w:p>
        </w:tc>
        <w:tc>
          <w:tcPr>
            <w:tcW w:w="1420" w:type="dxa"/>
            <w:vAlign w:val="bottom"/>
          </w:tcPr>
          <w:p>
            <w:pPr>
              <w:ind w:left="340"/>
              <w:spacing w:after="0"/>
              <w:rPr>
                <w:sz w:val="20"/>
                <w:szCs w:val="20"/>
                <w:color w:val="auto"/>
              </w:rPr>
            </w:pPr>
            <w:r>
              <w:rPr>
                <w:rFonts w:ascii="Arial" w:cs="Arial" w:eastAsia="Arial" w:hAnsi="Arial"/>
                <w:sz w:val="18"/>
                <w:szCs w:val="18"/>
                <w:color w:val="auto"/>
                <w:w w:val="88"/>
              </w:rPr>
              <w:t>South Carolina</w:t>
            </w:r>
          </w:p>
        </w:tc>
      </w:tr>
      <w:tr>
        <w:trPr>
          <w:trHeight w:val="271"/>
        </w:trPr>
        <w:tc>
          <w:tcPr>
            <w:tcW w:w="1140" w:type="dxa"/>
            <w:vAlign w:val="bottom"/>
          </w:tcPr>
          <w:p>
            <w:pPr>
              <w:spacing w:after="0"/>
              <w:rPr>
                <w:sz w:val="20"/>
                <w:szCs w:val="20"/>
                <w:color w:val="auto"/>
              </w:rPr>
            </w:pPr>
            <w:r>
              <w:rPr>
                <w:rFonts w:ascii="Arial" w:cs="Arial" w:eastAsia="Arial" w:hAnsi="Arial"/>
                <w:sz w:val="18"/>
                <w:szCs w:val="18"/>
                <w:color w:val="auto"/>
              </w:rPr>
              <w:t>Delaware</w:t>
            </w:r>
          </w:p>
        </w:tc>
        <w:tc>
          <w:tcPr>
            <w:tcW w:w="1600" w:type="dxa"/>
            <w:vAlign w:val="bottom"/>
          </w:tcPr>
          <w:p>
            <w:pPr>
              <w:ind w:left="440"/>
              <w:spacing w:after="0"/>
              <w:rPr>
                <w:sz w:val="20"/>
                <w:szCs w:val="20"/>
                <w:color w:val="auto"/>
              </w:rPr>
            </w:pPr>
            <w:r>
              <w:rPr>
                <w:rFonts w:ascii="Arial" w:cs="Arial" w:eastAsia="Arial" w:hAnsi="Arial"/>
                <w:sz w:val="18"/>
                <w:szCs w:val="18"/>
                <w:color w:val="auto"/>
              </w:rPr>
              <w:t>Kansas</w:t>
            </w:r>
          </w:p>
        </w:tc>
        <w:tc>
          <w:tcPr>
            <w:tcW w:w="1620" w:type="dxa"/>
            <w:vAlign w:val="bottom"/>
          </w:tcPr>
          <w:p>
            <w:pPr>
              <w:ind w:left="440"/>
              <w:spacing w:after="0"/>
              <w:rPr>
                <w:sz w:val="20"/>
                <w:szCs w:val="20"/>
                <w:color w:val="auto"/>
              </w:rPr>
            </w:pPr>
            <w:r>
              <w:rPr>
                <w:rFonts w:ascii="Arial" w:cs="Arial" w:eastAsia="Arial" w:hAnsi="Arial"/>
                <w:sz w:val="18"/>
                <w:szCs w:val="18"/>
                <w:color w:val="auto"/>
              </w:rPr>
              <w:t>Michigan</w:t>
            </w:r>
          </w:p>
        </w:tc>
        <w:tc>
          <w:tcPr>
            <w:tcW w:w="1620" w:type="dxa"/>
            <w:vAlign w:val="bottom"/>
          </w:tcPr>
          <w:p>
            <w:pPr>
              <w:ind w:left="420"/>
              <w:spacing w:after="0" w:line="272" w:lineRule="exact"/>
              <w:rPr>
                <w:sz w:val="20"/>
                <w:szCs w:val="20"/>
                <w:color w:val="auto"/>
              </w:rPr>
            </w:pPr>
            <w:r>
              <w:rPr>
                <w:rFonts w:ascii="Arial" w:cs="Arial" w:eastAsia="Arial" w:hAnsi="Arial"/>
                <w:sz w:val="18"/>
                <w:szCs w:val="18"/>
                <w:color w:val="auto"/>
              </w:rPr>
              <w:t>Missouri</w:t>
            </w:r>
            <w:r>
              <w:rPr>
                <w:rFonts w:ascii="Arial" w:cs="Arial" w:eastAsia="Arial" w:hAnsi="Arial"/>
                <w:sz w:val="28"/>
                <w:szCs w:val="28"/>
                <w:color w:val="auto"/>
                <w:vertAlign w:val="superscript"/>
              </w:rPr>
              <w:t>(1)</w:t>
            </w:r>
          </w:p>
        </w:tc>
        <w:tc>
          <w:tcPr>
            <w:tcW w:w="1760" w:type="dxa"/>
            <w:vAlign w:val="bottom"/>
          </w:tcPr>
          <w:p>
            <w:pPr>
              <w:ind w:left="380"/>
              <w:spacing w:after="0"/>
              <w:rPr>
                <w:sz w:val="20"/>
                <w:szCs w:val="20"/>
                <w:color w:val="auto"/>
              </w:rPr>
            </w:pPr>
            <w:r>
              <w:rPr>
                <w:rFonts w:ascii="Arial" w:cs="Arial" w:eastAsia="Arial" w:hAnsi="Arial"/>
                <w:sz w:val="18"/>
                <w:szCs w:val="18"/>
                <w:color w:val="auto"/>
              </w:rPr>
              <w:t>Nevada</w:t>
            </w:r>
          </w:p>
        </w:tc>
        <w:tc>
          <w:tcPr>
            <w:tcW w:w="1480" w:type="dxa"/>
            <w:vAlign w:val="bottom"/>
          </w:tcPr>
          <w:p>
            <w:pPr>
              <w:ind w:left="220"/>
              <w:spacing w:after="0"/>
              <w:rPr>
                <w:sz w:val="20"/>
                <w:szCs w:val="20"/>
                <w:color w:val="auto"/>
              </w:rPr>
            </w:pPr>
            <w:r>
              <w:rPr>
                <w:rFonts w:ascii="Arial" w:cs="Arial" w:eastAsia="Arial" w:hAnsi="Arial"/>
                <w:sz w:val="18"/>
                <w:szCs w:val="18"/>
                <w:color w:val="auto"/>
              </w:rPr>
              <w:t>New Mexico</w:t>
            </w:r>
          </w:p>
        </w:tc>
        <w:tc>
          <w:tcPr>
            <w:tcW w:w="1420" w:type="dxa"/>
            <w:vAlign w:val="bottom"/>
          </w:tcPr>
          <w:p>
            <w:pPr>
              <w:ind w:left="340"/>
              <w:spacing w:after="0"/>
              <w:rPr>
                <w:sz w:val="20"/>
                <w:szCs w:val="20"/>
                <w:color w:val="auto"/>
              </w:rPr>
            </w:pPr>
            <w:r>
              <w:rPr>
                <w:rFonts w:ascii="Arial" w:cs="Arial" w:eastAsia="Arial" w:hAnsi="Arial"/>
                <w:sz w:val="18"/>
                <w:szCs w:val="18"/>
                <w:color w:val="auto"/>
              </w:rPr>
              <w:t>Tennessee</w:t>
            </w: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Florida</w:t>
            </w:r>
          </w:p>
        </w:tc>
        <w:tc>
          <w:tcPr>
            <w:tcW w:w="1600" w:type="dxa"/>
            <w:vAlign w:val="bottom"/>
          </w:tcPr>
          <w:p>
            <w:pPr>
              <w:ind w:left="440"/>
              <w:spacing w:after="0"/>
              <w:rPr>
                <w:sz w:val="20"/>
                <w:szCs w:val="20"/>
                <w:color w:val="auto"/>
              </w:rPr>
            </w:pPr>
            <w:r>
              <w:rPr>
                <w:rFonts w:ascii="Arial" w:cs="Arial" w:eastAsia="Arial" w:hAnsi="Arial"/>
                <w:sz w:val="18"/>
                <w:szCs w:val="18"/>
                <w:color w:val="auto"/>
              </w:rPr>
              <w:t>Kentucky</w:t>
            </w:r>
          </w:p>
        </w:tc>
        <w:tc>
          <w:tcPr>
            <w:tcW w:w="1620" w:type="dxa"/>
            <w:vAlign w:val="bottom"/>
          </w:tcPr>
          <w:p>
            <w:pPr>
              <w:ind w:left="440"/>
              <w:spacing w:after="0"/>
              <w:rPr>
                <w:sz w:val="20"/>
                <w:szCs w:val="20"/>
                <w:color w:val="auto"/>
              </w:rPr>
            </w:pPr>
            <w:r>
              <w:rPr>
                <w:rFonts w:ascii="Arial" w:cs="Arial" w:eastAsia="Arial" w:hAnsi="Arial"/>
                <w:sz w:val="18"/>
                <w:szCs w:val="18"/>
                <w:color w:val="auto"/>
              </w:rPr>
              <w:t>Minnesota</w:t>
            </w:r>
          </w:p>
        </w:tc>
        <w:tc>
          <w:tcPr>
            <w:tcW w:w="1620" w:type="dxa"/>
            <w:vAlign w:val="bottom"/>
          </w:tcPr>
          <w:p>
            <w:pPr>
              <w:ind w:left="420"/>
              <w:spacing w:after="0"/>
              <w:rPr>
                <w:sz w:val="20"/>
                <w:szCs w:val="20"/>
                <w:color w:val="auto"/>
              </w:rPr>
            </w:pPr>
            <w:r>
              <w:rPr>
                <w:rFonts w:ascii="Arial" w:cs="Arial" w:eastAsia="Arial" w:hAnsi="Arial"/>
                <w:sz w:val="18"/>
                <w:szCs w:val="18"/>
                <w:color w:val="auto"/>
              </w:rPr>
              <w:t>Montana</w:t>
            </w:r>
          </w:p>
        </w:tc>
        <w:tc>
          <w:tcPr>
            <w:tcW w:w="1760" w:type="dxa"/>
            <w:vAlign w:val="bottom"/>
          </w:tcPr>
          <w:p>
            <w:pPr>
              <w:ind w:left="380"/>
              <w:spacing w:after="0"/>
              <w:rPr>
                <w:sz w:val="20"/>
                <w:szCs w:val="20"/>
                <w:color w:val="auto"/>
              </w:rPr>
            </w:pPr>
            <w:r>
              <w:rPr>
                <w:rFonts w:ascii="Arial" w:cs="Arial" w:eastAsia="Arial" w:hAnsi="Arial"/>
                <w:sz w:val="18"/>
                <w:szCs w:val="18"/>
                <w:color w:val="auto"/>
              </w:rPr>
              <w:t>New Hampshire</w:t>
            </w:r>
          </w:p>
        </w:tc>
        <w:tc>
          <w:tcPr>
            <w:tcW w:w="1480" w:type="dxa"/>
            <w:vAlign w:val="bottom"/>
          </w:tcPr>
          <w:p>
            <w:pPr>
              <w:ind w:left="220"/>
              <w:spacing w:after="0"/>
              <w:rPr>
                <w:sz w:val="20"/>
                <w:szCs w:val="20"/>
                <w:color w:val="auto"/>
              </w:rPr>
            </w:pPr>
            <w:r>
              <w:rPr>
                <w:rFonts w:ascii="Arial" w:cs="Arial" w:eastAsia="Arial" w:hAnsi="Arial"/>
                <w:sz w:val="18"/>
                <w:szCs w:val="18"/>
                <w:color w:val="auto"/>
              </w:rPr>
              <w:t>Ohio</w:t>
            </w:r>
          </w:p>
        </w:tc>
        <w:tc>
          <w:tcPr>
            <w:tcW w:w="1420" w:type="dxa"/>
            <w:vAlign w:val="bottom"/>
          </w:tcPr>
          <w:p>
            <w:pPr>
              <w:ind w:left="340"/>
              <w:spacing w:after="0"/>
              <w:rPr>
                <w:sz w:val="20"/>
                <w:szCs w:val="20"/>
                <w:color w:val="auto"/>
              </w:rPr>
            </w:pPr>
            <w:r>
              <w:rPr>
                <w:rFonts w:ascii="Arial" w:cs="Arial" w:eastAsia="Arial" w:hAnsi="Arial"/>
                <w:sz w:val="18"/>
                <w:szCs w:val="18"/>
                <w:color w:val="auto"/>
              </w:rPr>
              <w:t>Utah</w:t>
            </w:r>
          </w:p>
        </w:tc>
      </w:tr>
      <w:tr>
        <w:trPr>
          <w:trHeight w:val="230"/>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Pr>
          <w:p>
            <w:pPr>
              <w:ind w:left="220"/>
              <w:spacing w:after="0"/>
              <w:rPr>
                <w:sz w:val="20"/>
                <w:szCs w:val="20"/>
                <w:color w:val="auto"/>
              </w:rPr>
            </w:pPr>
            <w:r>
              <w:rPr>
                <w:rFonts w:ascii="Arial" w:cs="Arial" w:eastAsia="Arial" w:hAnsi="Arial"/>
                <w:sz w:val="18"/>
                <w:szCs w:val="18"/>
                <w:color w:val="auto"/>
              </w:rPr>
              <w:t>Oklahoma</w:t>
            </w:r>
          </w:p>
        </w:tc>
        <w:tc>
          <w:tcPr>
            <w:tcW w:w="1420" w:type="dxa"/>
            <w:vAlign w:val="bottom"/>
          </w:tcPr>
          <w:p>
            <w:pPr>
              <w:ind w:left="340"/>
              <w:spacing w:after="0"/>
              <w:rPr>
                <w:sz w:val="20"/>
                <w:szCs w:val="20"/>
                <w:color w:val="auto"/>
              </w:rPr>
            </w:pPr>
            <w:r>
              <w:rPr>
                <w:rFonts w:ascii="Arial" w:cs="Arial" w:eastAsia="Arial" w:hAnsi="Arial"/>
                <w:sz w:val="18"/>
                <w:szCs w:val="18"/>
                <w:color w:val="auto"/>
              </w:rPr>
              <w:t>Wisconsin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43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4" w:lineRule="exact"/>
        <w:rPr>
          <w:sz w:val="20"/>
          <w:szCs w:val="20"/>
          <w:color w:val="auto"/>
        </w:rPr>
      </w:pPr>
    </w:p>
    <w:p>
      <w:pPr>
        <w:ind w:left="560" w:hanging="552"/>
        <w:spacing w:after="0"/>
        <w:tabs>
          <w:tab w:leader="none" w:pos="56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The logo sign contract in Missouri is operated by a 66 2/3% owned partnership.</w:t>
      </w:r>
    </w:p>
    <w:p>
      <w:pPr>
        <w:spacing w:after="0" w:line="202"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15,900 advertising displays.</w:t>
      </w:r>
    </w:p>
    <w:p>
      <w:pPr>
        <w:spacing w:after="0" w:line="18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8"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2021, five are subject to renewal or expiration in 2022.</w:t>
      </w:r>
    </w:p>
    <w:p>
      <w:pPr>
        <w:spacing w:after="0" w:line="16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 Advertising</w:t>
      </w:r>
    </w:p>
    <w:p>
      <w:pPr>
        <w:spacing w:after="0" w:line="11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3-15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2021, we operated over 46,600 transit advertising displays in 23 states and Canada.</w:t>
      </w:r>
    </w:p>
    <w:p>
      <w:pPr>
        <w:spacing w:after="0" w:line="19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84"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62" w:lineRule="exact"/>
        <w:rPr>
          <w:sz w:val="20"/>
          <w:szCs w:val="20"/>
          <w:color w:val="auto"/>
        </w:rPr>
      </w:pPr>
    </w:p>
    <w:p>
      <w:pPr>
        <w:jc w:val="both"/>
        <w:ind w:left="1140" w:hanging="565"/>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Larger outdoor advertising providers, such as (i) Clear Channel Outdoor Holdings, Inc., which operates billboards, street furniture displays, transit displays and other out-of-home advertising displays and (ii) Outfront Media, Inc. (formerly CBS Outdoor), which operates traditional outdoor, street furniture and transit advertising properties.</w:t>
      </w:r>
    </w:p>
    <w:p>
      <w:pPr>
        <w:spacing w:after="0" w:line="75"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Broadcast and cable television, radio, print media, direct mail marketing, the internet, social media and applications used in conjunction with wireless devices.</w:t>
      </w:r>
    </w:p>
    <w:p>
      <w:pPr>
        <w:spacing w:after="0" w:line="62" w:lineRule="exact"/>
        <w:rPr>
          <w:rFonts w:ascii="Arial" w:cs="Arial" w:eastAsia="Arial" w:hAnsi="Arial"/>
          <w:sz w:val="18"/>
          <w:szCs w:val="18"/>
          <w:color w:val="auto"/>
        </w:rPr>
      </w:pPr>
    </w:p>
    <w:p>
      <w:pPr>
        <w:ind w:left="1140" w:right="160" w:hanging="565"/>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70"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78"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7"/>
          </w:tcPr>
          <w:p>
            <w:pPr>
              <w:ind w:left="100"/>
              <w:spacing w:after="0"/>
              <w:rPr>
                <w:sz w:val="20"/>
                <w:szCs w:val="20"/>
                <w:color w:val="auto"/>
              </w:rPr>
            </w:pPr>
            <w:r>
              <w:rPr>
                <w:rFonts w:ascii="Arial" w:cs="Arial" w:eastAsia="Arial" w:hAnsi="Arial"/>
                <w:sz w:val="13"/>
                <w:szCs w:val="13"/>
                <w:b w:val="1"/>
                <w:bCs w:val="1"/>
                <w:color w:val="auto"/>
                <w:w w:val="95"/>
              </w:rPr>
              <w:t>Percentage of Revenues for the year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gridSpan w:val="8"/>
          </w:tcPr>
          <w:p>
            <w:pPr>
              <w:jc w:val="center"/>
              <w:ind w:left="17"/>
              <w:spacing w:after="0"/>
              <w:rPr>
                <w:sz w:val="20"/>
                <w:szCs w:val="20"/>
                <w:color w:val="auto"/>
              </w:rPr>
            </w:pPr>
            <w:r>
              <w:rPr>
                <w:rFonts w:ascii="Arial" w:cs="Arial" w:eastAsia="Arial" w:hAnsi="Arial"/>
                <w:sz w:val="13"/>
                <w:szCs w:val="13"/>
                <w:b w:val="1"/>
                <w:bCs w:val="1"/>
                <w:color w:val="auto"/>
                <w:w w:val="87"/>
              </w:rPr>
              <w:t>Number of Displays for the year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5"/>
              </w:rPr>
              <w:t>December 31, 2021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December 31, 2021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4"/>
              </w:rPr>
              <w:t>Static</w:t>
            </w:r>
          </w:p>
        </w:tc>
        <w:tc>
          <w:tcPr>
            <w:tcW w:w="140" w:type="dxa"/>
            <w:vAlign w:val="bottom"/>
          </w:tcPr>
          <w:p>
            <w:pPr>
              <w:spacing w:after="0"/>
              <w:rPr>
                <w:sz w:val="10"/>
                <w:szCs w:val="10"/>
                <w:color w:val="auto"/>
              </w:rPr>
            </w:pPr>
          </w:p>
        </w:tc>
        <w:tc>
          <w:tcPr>
            <w:tcW w:w="74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0"/>
              </w:rPr>
              <w:t>Digital</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Transit</w:t>
            </w:r>
          </w:p>
        </w:tc>
        <w:tc>
          <w:tcPr>
            <w:tcW w:w="14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1"/>
              </w:rPr>
              <w:t>Logo</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90"/>
              </w:rPr>
              <w:t>Static</w:t>
            </w:r>
          </w:p>
        </w:tc>
        <w:tc>
          <w:tcPr>
            <w:tcW w:w="92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95"/>
              </w:rPr>
              <w:t>Digital</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Transit</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Logo</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22"/>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Market</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Billboard</w:t>
            </w:r>
          </w:p>
        </w:tc>
        <w:tc>
          <w:tcPr>
            <w:tcW w:w="140" w:type="dxa"/>
            <w:vAlign w:val="bottom"/>
          </w:tcPr>
          <w:p>
            <w:pPr>
              <w:spacing w:after="0"/>
              <w:rPr>
                <w:sz w:val="10"/>
                <w:szCs w:val="10"/>
                <w:color w:val="auto"/>
              </w:rPr>
            </w:pPr>
          </w:p>
        </w:tc>
        <w:tc>
          <w:tcPr>
            <w:tcW w:w="7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8"/>
              </w:rPr>
              <w:t>Billboard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Billboard</w:t>
            </w: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Billboard</w:t>
            </w: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of Total</w:t>
            </w:r>
          </w:p>
        </w:tc>
        <w:tc>
          <w:tcPr>
            <w:tcW w:w="0" w:type="dxa"/>
            <w:vAlign w:val="bottom"/>
          </w:tcPr>
          <w:p>
            <w:pPr>
              <w:spacing w:after="0"/>
              <w:rPr>
                <w:sz w:val="1"/>
                <w:szCs w:val="1"/>
                <w:color w:val="auto"/>
              </w:rPr>
            </w:pPr>
          </w:p>
        </w:tc>
      </w:tr>
      <w:tr>
        <w:trPr>
          <w:trHeight w:val="170"/>
        </w:trPr>
        <w:tc>
          <w:tcPr>
            <w:tcW w:w="1120" w:type="dxa"/>
            <w:vAlign w:val="bottom"/>
            <w:gridSpan w:val="2"/>
            <w:vMerge w:val="continue"/>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Displays</w:t>
            </w:r>
          </w:p>
        </w:tc>
        <w:tc>
          <w:tcPr>
            <w:tcW w:w="14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Arial" w:cs="Arial" w:eastAsia="Arial" w:hAnsi="Arial"/>
                <w:sz w:val="13"/>
                <w:szCs w:val="13"/>
                <w:b w:val="1"/>
                <w:bCs w:val="1"/>
                <w:color w:val="auto"/>
                <w:w w:val="85"/>
              </w:rPr>
              <w:t>Displays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w w:val="89"/>
              </w:rPr>
              <w:t>Displays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Displays</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Displays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Displays</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Displays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Displays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Displays</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Displays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5"/>
              </w:rPr>
              <w:t>Displays</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New York, NY</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Pittsburgh, PA</w:t>
            </w:r>
          </w:p>
        </w:tc>
        <w:tc>
          <w:tcPr>
            <w:tcW w:w="86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0.6 %</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2,894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Las Vegas, NV</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Seattle, WA</w:t>
            </w:r>
          </w:p>
        </w:tc>
        <w:tc>
          <w:tcPr>
            <w:tcW w:w="86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2.5 %</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3,652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Gary, IN</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Cleveland, OH</w:t>
            </w:r>
          </w:p>
        </w:tc>
        <w:tc>
          <w:tcPr>
            <w:tcW w:w="860" w:type="dxa"/>
            <w:vAlign w:val="bottom"/>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1.6 %</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2,284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2,475</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4,817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29"/>
        </w:trPr>
        <w:tc>
          <w:tcPr>
            <w:tcW w:w="11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San Bernardino,</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1.8 %</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7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Nashville, TN</w:t>
            </w:r>
          </w:p>
        </w:tc>
        <w:tc>
          <w:tcPr>
            <w:tcW w:w="860" w:type="dxa"/>
            <w:vAlign w:val="bottom"/>
          </w:tcPr>
          <w:p>
            <w:pPr>
              <w:jc w:val="right"/>
              <w:spacing w:after="0"/>
              <w:rPr>
                <w:sz w:val="20"/>
                <w:szCs w:val="20"/>
                <w:color w:val="auto"/>
              </w:rPr>
            </w:pPr>
            <w:r>
              <w:rPr>
                <w:rFonts w:ascii="Arial" w:cs="Arial" w:eastAsia="Arial" w:hAnsi="Arial"/>
                <w:sz w:val="13"/>
                <w:szCs w:val="13"/>
                <w:color w:val="auto"/>
              </w:rPr>
              <w:t>1.6 %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2,239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Dallas, TX</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Knoxville, TN</w:t>
            </w:r>
          </w:p>
        </w:tc>
        <w:tc>
          <w:tcPr>
            <w:tcW w:w="860" w:type="dxa"/>
            <w:vAlign w:val="bottom"/>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0.9 %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2,376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2,424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Raleigh, NC</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Atlanta, GA</w:t>
            </w:r>
          </w:p>
        </w:tc>
        <w:tc>
          <w:tcPr>
            <w:tcW w:w="86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840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Richmond, 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Reading, PA</w:t>
            </w:r>
          </w:p>
        </w:tc>
        <w:tc>
          <w:tcPr>
            <w:tcW w:w="86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1,323</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29"/>
        </w:trPr>
        <w:tc>
          <w:tcPr>
            <w:tcW w:w="11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Oklahoma City,</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2,094</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2,131</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7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OK</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Hartford, CT</w:t>
            </w:r>
          </w:p>
        </w:tc>
        <w:tc>
          <w:tcPr>
            <w:tcW w:w="86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849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936</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Phoenix, AZ</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7.1 %</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Greenville-</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1.2 %</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1,870</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1,919</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Spartanburg, SC</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Indianapolis, IN</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Birmingham, AL</w:t>
            </w:r>
          </w:p>
        </w:tc>
        <w:tc>
          <w:tcPr>
            <w:tcW w:w="86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0.5 %</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1,859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Baton Rouge, LA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Austin, TX</w:t>
            </w:r>
          </w:p>
        </w:tc>
        <w:tc>
          <w:tcPr>
            <w:tcW w:w="86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Providence, RI</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Cincinnati, OH</w:t>
            </w:r>
          </w:p>
        </w:tc>
        <w:tc>
          <w:tcPr>
            <w:tcW w:w="860" w:type="dxa"/>
            <w:vAlign w:val="bottom"/>
          </w:tcPr>
          <w:p>
            <w:pPr>
              <w:jc w:val="right"/>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1,167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29"/>
        </w:trPr>
        <w:tc>
          <w:tcPr>
            <w:tcW w:w="11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All US Logo</w:t>
            </w: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90.9 %</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142,817</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142,817</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40.4 %</w:t>
            </w:r>
          </w:p>
        </w:tc>
        <w:tc>
          <w:tcPr>
            <w:tcW w:w="0" w:type="dxa"/>
            <w:vAlign w:val="bottom"/>
          </w:tcPr>
          <w:p>
            <w:pPr>
              <w:spacing w:after="0"/>
              <w:rPr>
                <w:sz w:val="1"/>
                <w:szCs w:val="1"/>
                <w:color w:val="auto"/>
              </w:rPr>
            </w:pPr>
          </w:p>
        </w:tc>
      </w:tr>
      <w:tr>
        <w:trPr>
          <w:trHeight w:val="17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Programs*</w:t>
            </w: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All Other United</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65.8 %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59.7 %</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53.0 %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60.2 %</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113,992</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25,084</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141,767</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40.0 %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States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 Other Canada*</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23.4 %</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10,900</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68"/>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860" w:type="dxa"/>
            <w:vAlign w:val="bottom"/>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100.0 %</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149,850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3,932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46,554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153,717</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354,053</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29"/>
        </w:trPr>
        <w:tc>
          <w:tcPr>
            <w:tcW w:w="11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Revenue (in</w:t>
            </w:r>
          </w:p>
        </w:tc>
        <w:tc>
          <w:tcPr>
            <w:tcW w:w="860" w:type="dxa"/>
            <w:vAlign w:val="bottom"/>
            <w:vMerge w:val="restart"/>
            <w:shd w:val="clear" w:color="auto" w:fill="CCEEFF"/>
          </w:tcPr>
          <w:p>
            <w:pPr>
              <w:jc w:val="right"/>
              <w:ind w:right="99"/>
              <w:spacing w:after="0"/>
              <w:rPr>
                <w:sz w:val="20"/>
                <w:szCs w:val="20"/>
                <w:color w:val="auto"/>
              </w:rPr>
            </w:pPr>
            <w:r>
              <w:rPr>
                <w:rFonts w:ascii="Arial" w:cs="Arial" w:eastAsia="Arial" w:hAnsi="Arial"/>
                <w:sz w:val="13"/>
                <w:szCs w:val="13"/>
                <w:color w:val="auto"/>
                <w:w w:val="87"/>
              </w:rPr>
              <w:t>$1,153.4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460.1</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rPr>
              <w:t>95.7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78.2</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3"/>
                <w:szCs w:val="13"/>
                <w:color w:val="auto"/>
                <w:w w:val="87"/>
              </w:rPr>
              <w:t>$1,787.4</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millions)</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 Logo displays at December 31, 2021 include 15,886 displays related to the tourist oriented direction signing ("TODS") programs.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12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80"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2021, the annual revenue generated by our TRSs in the aggregate was approximately $180.6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TENANTS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tenant base is diverse. The table below sets forth the industries from which we derived most of our billboard advertising revenues for the year ended December 31, 2021, as well as the percentage of billboard advertising revenues attributable to the advertisers in those industries. The individual advertisers in these industries accounted for approximately 73% of our billboard advertising net revenues in the year ended December 31, 2021. No individual tenant accounted for more than 2% of our billboard advertising net revenues in that period.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Net</w:t>
            </w:r>
          </w:p>
        </w:tc>
        <w:tc>
          <w:tcPr>
            <w:tcW w:w="0" w:type="dxa"/>
            <w:vAlign w:val="bottom"/>
          </w:tcPr>
          <w:p>
            <w:pPr>
              <w:spacing w:after="0"/>
              <w:rPr>
                <w:sz w:val="1"/>
                <w:szCs w:val="1"/>
                <w:color w:val="auto"/>
              </w:rPr>
            </w:pPr>
          </w:p>
        </w:tc>
      </w:tr>
      <w:tr>
        <w:trPr>
          <w:trHeight w:val="135"/>
        </w:trPr>
        <w:tc>
          <w:tcPr>
            <w:tcW w:w="9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Categories</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Billboard</w:t>
            </w:r>
          </w:p>
        </w:tc>
        <w:tc>
          <w:tcPr>
            <w:tcW w:w="0" w:type="dxa"/>
            <w:vAlign w:val="bottom"/>
          </w:tcPr>
          <w:p>
            <w:pPr>
              <w:spacing w:after="0"/>
              <w:rPr>
                <w:sz w:val="1"/>
                <w:szCs w:val="1"/>
                <w:color w:val="auto"/>
              </w:rPr>
            </w:pPr>
          </w:p>
        </w:tc>
      </w:tr>
      <w:tr>
        <w:trPr>
          <w:trHeight w:val="188"/>
        </w:trPr>
        <w:tc>
          <w:tcPr>
            <w:tcW w:w="930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Advertising Revenues</w:t>
            </w:r>
          </w:p>
        </w:tc>
        <w:tc>
          <w:tcPr>
            <w:tcW w:w="0" w:type="dxa"/>
            <w:vAlign w:val="bottom"/>
          </w:tcPr>
          <w:p>
            <w:pPr>
              <w:spacing w:after="0"/>
              <w:rPr>
                <w:sz w:val="1"/>
                <w:szCs w:val="1"/>
                <w:color w:val="auto"/>
              </w:rPr>
            </w:pPr>
          </w:p>
        </w:tc>
      </w:tr>
      <w:tr>
        <w:trPr>
          <w:trHeight w:val="224"/>
        </w:trPr>
        <w:tc>
          <w:tcPr>
            <w:tcW w:w="9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Service</w:t>
            </w:r>
          </w:p>
        </w:tc>
        <w:tc>
          <w:tcPr>
            <w:tcW w:w="10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Health Care</w:t>
            </w:r>
          </w:p>
        </w:tc>
        <w:tc>
          <w:tcPr>
            <w:tcW w:w="19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Restaurants</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Retailers</w:t>
            </w:r>
          </w:p>
        </w:tc>
        <w:tc>
          <w:tcPr>
            <w:tcW w:w="19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Automotive</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Insurance</w:t>
            </w:r>
          </w:p>
        </w:tc>
        <w:tc>
          <w:tcPr>
            <w:tcW w:w="19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Gaming</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Amusement — Entertainment/Sports</w:t>
            </w:r>
          </w:p>
        </w:tc>
        <w:tc>
          <w:tcPr>
            <w:tcW w:w="19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Financial — Banks, Credit Unions</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Real Estate</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4"/>
        </w:trPr>
        <w:tc>
          <w:tcPr>
            <w:tcW w:w="9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We have also introduced and intend to continue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existing regulations that currently do not 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16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The results of future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PORTFOLIO</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Our management headquarters is located in Baton Rouge, Louisiana. We also own 125 local operating facilities with front office administration and sales office space connected to back-shop poster and bulletin production space. In addition, we lease an additional 151 operating facilities at an aggregate lease expense for 2021 of approximately $8.8 million.</w:t>
      </w:r>
    </w:p>
    <w:p>
      <w:pPr>
        <w:spacing w:after="0" w:line="184"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We own over 9,800 parcels of property beneath our advertising displays. As of December 31, 2021, we leased over 69,900 outdoor sites, accounting for an annualized lease expense of approximately $291.8 million. This amount represented approximately 18%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74% of our leases will expire or be subject to renewal in the next 5 years, 17% will expire or be subject to renewal in 6 to 10 years and 9%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The following table illustrates the number of leased and owned sites by state as of December 31, 2021, which is sorted from greatest to least in number and percentage of leased sites. States in which we lease less than 2% of our portfolio are grouped in the category “All Other States and Canada”.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of billboard leased</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 of total</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of owned</w:t>
            </w:r>
          </w:p>
        </w:tc>
        <w:tc>
          <w:tcPr>
            <w:tcW w:w="14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8"/>
        </w:trPr>
        <w:tc>
          <w:tcPr>
            <w:tcW w:w="542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sites</w:t>
            </w:r>
          </w:p>
        </w:tc>
        <w:tc>
          <w:tcPr>
            <w:tcW w:w="154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billboard sites</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Texas</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280" w:type="dxa"/>
            <w:vAlign w:val="bottom"/>
          </w:tcPr>
          <w:p>
            <w:pPr>
              <w:jc w:val="right"/>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California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1280" w:type="dxa"/>
            <w:vAlign w:val="bottom"/>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North Carolina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1280" w:type="dxa"/>
            <w:vAlign w:val="bottom"/>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Louisiana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Alabama</w:t>
            </w:r>
          </w:p>
        </w:tc>
        <w:tc>
          <w:tcPr>
            <w:tcW w:w="128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Georgia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Wisconsin</w:t>
            </w:r>
          </w:p>
        </w:tc>
        <w:tc>
          <w:tcPr>
            <w:tcW w:w="128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Florida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South Carolina</w:t>
            </w:r>
          </w:p>
        </w:tc>
        <w:tc>
          <w:tcPr>
            <w:tcW w:w="1280" w:type="dxa"/>
            <w:vAlign w:val="bottom"/>
          </w:tcPr>
          <w:p>
            <w:pPr>
              <w:jc w:val="right"/>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New York</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Missouri</w:t>
            </w:r>
          </w:p>
        </w:tc>
        <w:tc>
          <w:tcPr>
            <w:tcW w:w="128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Indiana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128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Oklahoma</w:t>
            </w:r>
          </w:p>
        </w:tc>
        <w:tc>
          <w:tcPr>
            <w:tcW w:w="128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Virginia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Illinois</w:t>
            </w:r>
          </w:p>
        </w:tc>
        <w:tc>
          <w:tcPr>
            <w:tcW w:w="128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All Other States and Canada</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19.9 %</w:t>
            </w:r>
          </w:p>
        </w:tc>
        <w:tc>
          <w:tcPr>
            <w:tcW w:w="1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4"/>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69,966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EXPIRATIONS</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We employed approximately 3,350 people as of December 31, 2021. Approximately 290 employees were engaged in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general administration at our corporate headquarters in Baton Rouge, Louisiana, and the remainder, including approximately 930 local account executives, were employed in our operating offices.</w:t>
      </w:r>
    </w:p>
    <w:p>
      <w:pPr>
        <w:spacing w:after="0" w:line="184"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Fifteen of our local offices employ billposters and construction personnel who are covered by collective bargaining agreements. We believe that our relationship with our employees, including our approximately 95 unionized employees, is favorable, and we have never experienced a strike or work stoppage.</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As Lamar’s business continues to grow, so does the Company’s strong commitment to recruiting a work force with diverse talents, as well as to developing and retaining the successful members of our sales and management teams. Our 930 local account executives and approximately 170 local management employees have been with the Company for an average of 11 years. We regularly provide on-site training and remote sales training videos to enhance the skills of our sales and management team members.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We employ approximately 1,100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16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We recognize that our organization grows stronger as we are able to draw on the skills of employees with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backgrounds and life experiences, particularly as the audiences that we serve become more diverse. We want to embrace Lamar employees’ unique differences of race, gender and gender identity, religion, sexual orientation, ethnicity, nationality, socioeconomic status, language, ability, age, religious commitment, veteran status, or political perspective. As such, we are committed to cultivating a culture where all employees see the opportunity to show up to work as their most authentic selves.</w:t>
      </w:r>
    </w:p>
    <w:p>
      <w:pPr>
        <w:spacing w:after="0" w:line="18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of December 31, 2021, approximately 36% of our work force was female and 16% of our employees identified themselves as minorities, while 33% of our Board of Directors was female and one of our nine directors was a member of a minority group.</w:t>
      </w:r>
    </w:p>
    <w:p>
      <w:pPr>
        <w:spacing w:after="0" w:line="170"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We have established several initiatives aimed at further diversifying our work force, including establishing an alliance with a hiring network that helps bring us a more diverse pool of candidates and creating an internal women’s leadership network that provides our female leaders with tools and a supportive community to help them develop into senior-level managers. Our Executive Vice President of Human Resources, who also serves as our Chief Diversity Officer, is charged with providing training that reinforces our commitment to treat all of our employees with dignity and respect.</w:t>
      </w:r>
    </w:p>
    <w:p>
      <w:pPr>
        <w:spacing w:after="0" w:line="17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 xml:space="preserve">Health and wellness. </w:t>
      </w:r>
      <w:r>
        <w:rPr>
          <w:rFonts w:ascii="Arial" w:cs="Arial" w:eastAsia="Arial" w:hAnsi="Arial"/>
          <w:sz w:val="18"/>
          <w:szCs w:val="18"/>
          <w:color w:val="auto"/>
        </w:rPr>
        <w:t>Due to the continuing effects of the ongoing COVID-19 pandemic, we have maintained a number of health and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precautions for our employees. These precautions include maintaining proper social distancing, mask requirements due to possible exposure, additional office cleaning and contact tracing in the event of a positive COVID-19 case. We also monitor updates from the Centers for Disease Control and Prevention and state and local government guidelines to ensure our health and safety precautions stay up to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the last three years, inflation has not had a significant impact on our business. While we have recently seen and expect continued wage pressure and increased costs for capital expenditures, we cannot determine the exact impact inflation will have on our business. However, we believe any increases in costs will be mitigated by increases in advertising rates on our advertising displays.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substantial debt may adversely affect its business, financial condition and financial results.</w:t>
      </w:r>
    </w:p>
    <w:p>
      <w:pPr>
        <w:spacing w:after="0" w:line="117"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The Company has borrowed substantially in the past and will continue to borrow in the future. At December 31, 2021, Lamar Advertising Company’s wholly owned subsidiary, Lamar Media, had approximately $3.01 billion of total debt outstanding, net of deferred financing costs, consisting of approximately $764.4 million in bank debt outstanding under Lamar Media’s senior credit facility, $2.07 billion in various series of senior notes, $174.4 million under the Accounts Receivable Securitization Program and $2.4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$562.6 million available for borrowing under the revolving credit facility as of December 31, 2021.</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Company’s substantial debt and its use of cash flow from operations to make principal and interest payments on its debt may,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03" w:lineRule="exact"/>
        <w:rPr>
          <w:sz w:val="20"/>
          <w:szCs w:val="20"/>
          <w:color w:val="auto"/>
        </w:rPr>
      </w:pPr>
    </w:p>
    <w:p>
      <w:pPr>
        <w:jc w:val="both"/>
        <w:ind w:left="1140" w:hanging="565"/>
        <w:spacing w:after="0" w:line="263"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75"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cash flow available to fund the Company’s working capital, capital expenditures, acquisitions or other general corporate requirements;</w:t>
      </w:r>
    </w:p>
    <w:p>
      <w:pPr>
        <w:spacing w:after="0" w:line="62" w:lineRule="exact"/>
        <w:rPr>
          <w:rFonts w:ascii="Arial" w:cs="Arial" w:eastAsia="Arial" w:hAnsi="Arial"/>
          <w:sz w:val="18"/>
          <w:szCs w:val="18"/>
          <w:color w:val="auto"/>
        </w:rPr>
      </w:pPr>
    </w:p>
    <w:p>
      <w:pPr>
        <w:ind w:left="1140" w:right="20" w:hanging="565"/>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Company’s ability to obtain additional financing to fund future dividend distributions, working capital, capital expenditures or other general corporate requirements;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the Company at a competitive disadvantage relative to those of its competitors that have less debt;</w:t>
      </w:r>
    </w:p>
    <w:p>
      <w:pPr>
        <w:spacing w:after="0" w:line="117" w:lineRule="exact"/>
        <w:rPr>
          <w:rFonts w:ascii="Arial" w:cs="Arial" w:eastAsia="Arial" w:hAnsi="Arial"/>
          <w:sz w:val="18"/>
          <w:szCs w:val="18"/>
          <w:color w:val="auto"/>
        </w:rPr>
      </w:pPr>
    </w:p>
    <w:p>
      <w:pPr>
        <w:ind w:left="1140" w:hanging="565"/>
        <w:spacing w:after="0" w:line="342" w:lineRule="auto"/>
        <w:tabs>
          <w:tab w:leader="none" w:pos="1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15"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industry;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w:t>
      </w:r>
    </w:p>
    <w:p>
      <w:pPr>
        <w:spacing w:after="0" w:line="225"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Lamar Media has variable rate debt outstanding under the senior credit facility and its Accounts Receivable Securitization Program. Increases in the interest rates applicable to these borrowings would result in increased interest expense and a reduction in the Company's net income. Interest rates may increase as a result of macroeconomic factors outside of our control. In the event of an increase in interest rates, the Company may take actions to mitigate its exposure, however, it cannot guarantee that the actions that it takes to mitigate these risks will be effective.</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 these problems could adversely affect the Company’s business, financial condition and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generate sufficient cash flow to satisfy its significant debt service obligations.</w:t>
      </w:r>
    </w:p>
    <w:p>
      <w:pPr>
        <w:spacing w:after="0" w:line="117"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(including, but not limited to, the impact of the ongoing COVID-19 pandemic on the general economy),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38"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the ability of the Company and Lamar Media to, among other things:</w:t>
      </w:r>
    </w:p>
    <w:p>
      <w:pPr>
        <w:spacing w:after="0" w:line="62" w:lineRule="exact"/>
        <w:rPr>
          <w:sz w:val="20"/>
          <w:szCs w:val="20"/>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affiliate transactions;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inter-company distributions.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At December 31, 2021,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Arial" w:cs="Arial" w:eastAsia="Arial" w:hAnsi="Arial"/>
          <w:sz w:val="18"/>
          <w:szCs w:val="18"/>
          <w:i w:val="1"/>
          <w:iCs w:val="1"/>
          <w:color w:val="auto"/>
        </w:rPr>
        <w:t>Management’s Discussion and Analysis of Financial Condition and Results of Operations — Liquidity and Capital Resources</w:t>
      </w:r>
      <w:r>
        <w:rPr>
          <w:rFonts w:ascii="Arial" w:cs="Arial" w:eastAsia="Arial" w:hAnsi="Arial"/>
          <w:sz w:val="18"/>
          <w:szCs w:val="18"/>
          <w:color w:val="auto"/>
        </w:rPr>
        <w:t>” for a description of the specific financial ratio requirements under the senior credit facility.</w:t>
      </w:r>
    </w:p>
    <w:p>
      <w:pPr>
        <w:spacing w:after="0" w:line="18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8" w:lineRule="exact"/>
        <w:rPr>
          <w:sz w:val="20"/>
          <w:szCs w:val="20"/>
          <w:color w:val="auto"/>
        </w:rPr>
      </w:pPr>
    </w:p>
    <w:p>
      <w:pPr>
        <w:jc w:val="both"/>
        <w:ind w:firstLine="567"/>
        <w:spacing w:after="0" w:line="288" w:lineRule="auto"/>
        <w:rPr>
          <w:sz w:val="20"/>
          <w:szCs w:val="20"/>
          <w:color w:val="auto"/>
        </w:rPr>
      </w:pPr>
      <w:r>
        <w:rPr>
          <w:rFonts w:ascii="Arial" w:cs="Arial" w:eastAsia="Arial" w:hAnsi="Arial"/>
          <w:sz w:val="16"/>
          <w:szCs w:val="16"/>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it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 Subsidiaries could be forced into bankruptcy or liquidation. Any of these events could adversely affect the Company’s business, financial condition and financial results.</w:t>
      </w:r>
    </w:p>
    <w:p>
      <w:pPr>
        <w:spacing w:after="0" w:line="16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62"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As of December 31, 2021,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63% of the voting power of Lamar Advertising’s outstanding capital stock, which would give the Reilly family and their affiliates the power to:</w:t>
      </w:r>
    </w:p>
    <w:p>
      <w:pPr>
        <w:spacing w:after="0" w:line="49" w:lineRule="exact"/>
        <w:rPr>
          <w:sz w:val="20"/>
          <w:szCs w:val="20"/>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 the Company’s entire Board of Directors;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17" w:lineRule="exact"/>
        <w:rPr>
          <w:rFonts w:ascii="Arial" w:cs="Arial" w:eastAsia="Arial" w:hAnsi="Arial"/>
          <w:sz w:val="18"/>
          <w:szCs w:val="18"/>
          <w:color w:val="auto"/>
        </w:rPr>
      </w:pPr>
    </w:p>
    <w:p>
      <w:pPr>
        <w:ind w:left="1140" w:right="20" w:hanging="565"/>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financings and asset sales.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Reilly family may have interests that are different than yours in making these decisions.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38"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The Company has historically grown through acquisitions. During the year ended December 31, 2021, we completed acquisitions for a total cash purchase price of approximately $312.3 million.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140" w:hanging="565"/>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pool of suitable acquisition candidates is dwindling, and we may have a more difficult time negotiating acquisitions on favorable terms;</w:t>
      </w:r>
    </w:p>
    <w:p>
      <w:pPr>
        <w:spacing w:after="0" w:line="140" w:lineRule="exact"/>
        <w:rPr>
          <w:rFonts w:ascii="Arial" w:cs="Arial" w:eastAsia="Arial" w:hAnsi="Arial"/>
          <w:sz w:val="16"/>
          <w:szCs w:val="16"/>
          <w:color w:val="auto"/>
        </w:rPr>
      </w:pPr>
    </w:p>
    <w:p>
      <w:pPr>
        <w:ind w:left="1140" w:hanging="565"/>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increased competition for acquisition candidates from other outdoor advertising companies, some of which may have greater financial resources than we do, which may result in higher prices for those businesses and assets;</w:t>
      </w:r>
    </w:p>
    <w:p>
      <w:pPr>
        <w:spacing w:after="0" w:line="62"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have access to the capital needed to finance potential acquisitions and may be unable to obtain any required consents from our current lenders to obtain alternate financing;</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REIT requirements may hinder our ability to make certain investments and may limit our acquisition opportunities;</w:t>
      </w:r>
    </w:p>
    <w:p>
      <w:pPr>
        <w:spacing w:after="0" w:line="128" w:lineRule="exact"/>
        <w:rPr>
          <w:rFonts w:ascii="Arial" w:cs="Arial" w:eastAsia="Arial" w:hAnsi="Arial"/>
          <w:sz w:val="17"/>
          <w:szCs w:val="17"/>
          <w:color w:val="auto"/>
        </w:rPr>
      </w:pPr>
    </w:p>
    <w:p>
      <w:pPr>
        <w:jc w:val="both"/>
        <w:ind w:left="1140" w:hanging="565"/>
        <w:spacing w:after="0" w:line="263"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retain key personnel of acquired businesses;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realize the benefits and cost savings anticipated in our acquisitions;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industry consolidates further, larger mergers and acquisitions may face substantial scrutiny under antitrust laws.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obstacles to our opportunistic acquisition strategy may have an adverse effect on our future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could suffer losses due to asset impairment charges for goodwill and other intangible assets.</w:t>
      </w:r>
    </w:p>
    <w:p>
      <w:pPr>
        <w:spacing w:after="0" w:line="117"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The Company tested goodwill for impairment on December 31, 2021. Based on the Company’s review at December 31, 2021,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is below the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logo sign contracts are subject to state award and renewal.</w:t>
      </w:r>
    </w:p>
    <w:p>
      <w:pPr>
        <w:spacing w:after="0" w:line="117"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In 2021, the Company generated approximately 4%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164"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Of the Company’s 24 logo sign contracts in place at December 31, 2021, five are subject to renewal or expiration in 2022. The Company may be unable to renew its expiring contracts. The Company may also lose the bidding on new contracts.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Company’s contingency plans relating to hurricanes and other natural disasters fail, the resulting losses could hurt the Company’s business.</w:t>
      </w:r>
    </w:p>
    <w:p>
      <w:pPr>
        <w:spacing w:after="0" w:line="14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has determined that it is uneconomical to insure against losses resulting from hurricanes and other natural disasters. Although the Company has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for the foreseeable future, it may utilize available NOL carry forwards to reduce its REIT taxable income.</w:t>
      </w:r>
    </w:p>
    <w:p>
      <w:pPr>
        <w:spacing w:after="0" w:line="18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62"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38" w:lineRule="exact"/>
        <w:rPr>
          <w:sz w:val="20"/>
          <w:szCs w:val="20"/>
          <w:color w:val="auto"/>
        </w:rPr>
      </w:pPr>
    </w:p>
    <w:p>
      <w:pPr>
        <w:ind w:left="1140" w:hanging="565"/>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restrictions on ownership and transfer of Lamar Advertising common stock that are intended to facilitate the Company’s compliance with certain REIT rules relating to share ownership;</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advance notice and informational requirements and time limitations on any director nomination or proposal that a stockholder wishes to make at a meeting of stockholders;</w:t>
      </w:r>
    </w:p>
    <w:p>
      <w:pPr>
        <w:spacing w:after="0" w:line="62"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its directors, which would otherwise permit less than a majority of stockholders to elect directors; and</w:t>
      </w:r>
    </w:p>
    <w:p>
      <w:pPr>
        <w:spacing w:after="0" w:line="62"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184"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62"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Company rents advertising space on outdoor structures to generate revenues. Advertising spending is particularly sensitive to changes in economic conditions.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140" w:hanging="565"/>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widespread reallocation of advertising expenditures to other available media by significant renters of the Company’s displays;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amount spent on advertising in general or outdoor advertising in particular.</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faces competition from larger and more diversified outdoor advertisers and other forms of advertising that could hurt its performance.</w:t>
      </w:r>
    </w:p>
    <w:p>
      <w:pPr>
        <w:spacing w:after="0" w:line="152"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71"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local regulation impact the Company’s operations, financial condition and financial results.</w:t>
      </w:r>
    </w:p>
    <w:p>
      <w:pPr>
        <w:spacing w:after="0" w:line="117"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64"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1"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We also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been developed and introduced relatively recently into the market on a large scale, however, existing regulations that currently do not apply to them by their terms could be revised or new regulations could be enacted to impose greater restrictions. These regulations may impose greater restrictions on digital billboards due to alleged concerns over aesthetics or driver safety.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The results of future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Pandemics or disease outbreaks, such as COVID-19, have affected and may materially affect our business, results of operations and financial condition in the future.</w:t>
      </w:r>
    </w:p>
    <w:p>
      <w:pPr>
        <w:spacing w:after="0" w:line="62"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Any outbreaks of contagious diseases and other adverse public health developments could have a significant adverse effect on our business, results of operations and financial condition. The outbreak of COVID-19 in 2020 resulted in the implementation of significant governmental measures to control the spread of the virus. Such restrictions had an adverse impact on the audience for out-of-home advertising in certain jurisdictions. The restrictions also negatively affected the financial condition of numerous advertising customer segments, and caused certain of our advertisers to decrease or eliminate the amount they spend on advertising. The Company’s business was adversely effected as a result.</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While economic conditions and the Company’s business have improved significantly as compared to the onset of the COVID-19 pandemic, the</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continuing effects of the pandemic are unknown. Future COVID-19 variants may cause disruptions in our industry. Additionally, macro-economic factors related to the ongoing pandemic, like inflation and overall market volatility, may negatively impact our business and financial results, and heighten many of the other risks described in this “Risk factors” section.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could suffer in the event of cybersecurity breaches and we may incur significant legal and financial exposure.</w:t>
      </w:r>
    </w:p>
    <w:p>
      <w:pPr>
        <w:spacing w:after="0" w:line="11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risk of a security breach or disruption, particularly through cyber-attacks or cyber intrusions, has generally increased and become more sophisticated over time. Although we have implemented physical and electronic security measures designed to protect against the loss, misuse and alteration of our websites, digital assets, proprietary business information and any personal identifiable information (“PII”) that we collect, no security measures are impenetrable and we and outside parties we interact with may be unable to anticipate or prevent unauthorized access. A security breach could occur due to the actions of outside parties, employee error, malfeasance or a combination of these or other actions. An increase in the number of our employees and outside parties with which we do business working remotely may increase the risk of a cybersecurity incident, which has required us to modify our security measures.</w:t>
      </w:r>
    </w:p>
    <w:p>
      <w:pPr>
        <w:spacing w:after="0" w:line="7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If an actual or perceived breach of our security were to occur, proprietary or competitive information may be misappropriated, and we could experience disruptions in our business operations, information processes and internal controls. In addition, the public perception of the effectiveness of our security measures may be harmed and adversely affect our competitive position. In the event of a security breach, we could suffer significant legal and financial exposure in connection with remediation efforts, investigations and legal proceedings, which could lead to the need for additional resources in our security and system protection measures.</w:t>
      </w:r>
    </w:p>
    <w:p>
      <w:pPr>
        <w:spacing w:after="0" w:line="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have been and expect to continue to be the target of fraudulent activities and security breaches; however, to date they have not had a material impact on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38"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 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5540" w:right="2740" w:hanging="4965"/>
        <w:spacing w:after="0" w:line="919" w:lineRule="auto"/>
        <w:tabs>
          <w:tab w:leader="none" w:pos="11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will not be allowed a deduction for distributions to its stockholders in computing its taxable income;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right="20" w:hanging="565"/>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and its subsidiaries, including Lamar Media, will be subject to applicable federal and state income tax, including any applicable state-level alternative minimum tax, on its taxable income at regular corporate rates; and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distributions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62"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71"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64"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generally do not qualify for the reduced tax rates on dividend income from non-REIT corporations.</w:t>
      </w:r>
    </w:p>
    <w:p>
      <w:pPr>
        <w:spacing w:after="0" w:line="252"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Qualified dividend income payable to U.S. stockholders that are individuals, trusts and estates are generally subject to tax at reduced rates. Dividends payable by REITs, however, generally are not eligible for the reduced qualified dividend rates. For taxable years beginning before January 1, 2026, non-corporate taxpayers may generally deduct 20% of certain pass-through business income, including “qualified REIT dividends” (generally, dividends received by a REIT shareholder that are not designated as capital gain dividends or qualified dividend income), subject to certain limitations.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the stock of REITs, including our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assets deemed held for sale in the ordinary course of business is subject to 100% tax.</w:t>
      </w:r>
    </w:p>
    <w:p>
      <w:pPr>
        <w:spacing w:after="0" w:line="252"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If we sell any of our assets, the IRS may determine that the sale is a disposition of an asset held primarily for sale to customers in the ordinary course of a trade or business. Gain from this kind of sale will generally be subject to a 100% tax. Whether an asset is held "primarily for sale to customers in the ordinary course of a trade or business" depends on the particular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 and circumstances of the sale. Although we will attempt to comply with the terms of safe-harbor provisions in the Internal Revenue Code prescribing when asset sales will not be so characterized, we cannot assure you that we will be able to do so.</w:t>
      </w:r>
    </w:p>
    <w:p>
      <w:pPr>
        <w:spacing w:after="0" w:line="19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8"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specified in our existing and future debt instruments may limit Lamar Advertising’s ability to make required REIT distributions.</w:t>
      </w:r>
    </w:p>
    <w:p>
      <w:pPr>
        <w:spacing w:after="0" w:line="11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62"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6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Lamar Advertising, its subsidiaries (other than TRSs) to forego otherwise attractive opportunities.</w:t>
      </w:r>
    </w:p>
    <w:p>
      <w:pPr>
        <w:spacing w:after="0" w:line="140"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certain REIT requirements prior to closing.</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Ownership limitations contained in the Lamar Advertising charter may restrict stockholders from acquiring or transferring certain amounts of shares.</w:t>
      </w:r>
    </w:p>
    <w:p>
      <w:pPr>
        <w:spacing w:after="0" w:line="152"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Tax Cuts and Jobs Act and the CARES Act, as well as any future tax legislation, may impact the Company’s business and security holders.</w:t>
      </w:r>
    </w:p>
    <w:p>
      <w:pPr>
        <w:spacing w:after="0" w:line="140"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6"/>
          <w:szCs w:val="16"/>
          <w:color w:val="auto"/>
        </w:rPr>
        <w:t>On December 22, 2017, H.R. 1, informally titled the Tax Cuts and Jobs Act (the “TCJA”) was signed into law. The TCJA made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On March 27, 2020, legislation intended to support the economy during the COVID-19 pandemic, the Coronavirus Aid, Relief, and Economic Security Act (the “CARES Act”), was signed into law. The CARES Act made technical corrections, or temporary modifications, to certain of the provisions of the TCJA, including, without limitation, the provisions of the TCJA concerning NOLs and interest expense deductions. Certain CARES Act related interest expense deduction changes are discussed in the following subsection. With respect to NOLs, effective for taxable years beginning on or after January 1, 2018, the TCJA limited the deduction for NOL carryforwards to 80% of taxable income (before the deduction) and eliminated NOL carrybacks for individuals and non-REIT corporations (NOL carrybacks did not apply to REITs under prior law), but allows for indefinite NOL carryforwards. The CARES Act repealed such 80% limitation for carryforwards to taxable years beginning before January 1, 2021. The CARES Act also allows a five-year carryback for NOLs arising in 2018, 2019, or 2020. The TCJA’s NOL limitations (even as modified by the CARES Act) may result in Lamar Advertising having to make additional distributions in order to comply with REIT distribution requirements or avoid taxes on retained income and gains.</w:t>
      </w:r>
    </w:p>
    <w:p>
      <w:pPr>
        <w:spacing w:after="0" w:line="171"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The individual and collective impact of the changes made by the TCJA and the CARES Act on REITs and their security holders are uncertain and may not become evident for some period of time. The effect of any technical corrections with respect to the TCJA and the CARES Act could have an adverse effect on Lamar Advertising, its subsidiaries, and holders of its securities. It is also possible additional tax legislation could be enacted in the future, as a result of the COVID-19 pandemic or otherwise, which could have an adverse effect on Lamar Advertising, its subsidiaries, and holders of its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Lamar Advertising may potentially be unable to deduct the full amount of its interest expense pursuant to the TCJA and the CARES Act.</w:t>
      </w:r>
    </w:p>
    <w:p>
      <w:pPr>
        <w:spacing w:after="0" w:line="129" w:lineRule="exact"/>
        <w:rPr>
          <w:sz w:val="20"/>
          <w:szCs w:val="20"/>
          <w:color w:val="auto"/>
        </w:rPr>
      </w:pPr>
    </w:p>
    <w:p>
      <w:pPr>
        <w:jc w:val="both"/>
        <w:ind w:firstLine="567"/>
        <w:spacing w:after="0" w:line="269" w:lineRule="auto"/>
        <w:rPr>
          <w:sz w:val="20"/>
          <w:szCs w:val="20"/>
          <w:color w:val="auto"/>
        </w:rPr>
      </w:pPr>
      <w:r>
        <w:rPr>
          <w:rFonts w:ascii="Arial" w:cs="Arial" w:eastAsia="Arial" w:hAnsi="Arial"/>
          <w:sz w:val="17"/>
          <w:szCs w:val="17"/>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changes or other actions affecting REITs could have a negative effect on Lamar Advertising and its subsidiaries.</w:t>
      </w:r>
    </w:p>
    <w:p>
      <w:pPr>
        <w:spacing w:after="0" w:line="11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6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Our management headquarters is located in Baton Rouge, Louisiana. We also own 125 local operating facilities with front office administration and sales office space connected to back-shop poster and bulletin production space. In addition, the Company leases an additional 151 operating facilities at an aggregate lease expense for 2021 of approximately $8.8 million.</w:t>
      </w:r>
    </w:p>
    <w:p>
      <w:pPr>
        <w:spacing w:after="0" w:line="184"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We own over 9,800 parcels of property beneath our outdoor advertising structures. As of December 31, 2021, we leased over 69,900 active outdoor sites, accounting for a total annual lease expense of approximately $291.8 million. This amount represented approximately 18% of billboard advertising net revenues for the year ended December 31, 2021.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6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840" w:right="100" w:hanging="971"/>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THE REGISTRANT’S COMMON EQUITY, RELATED STOCKHOLDER MATTERS AND ISSUER PURCHASES OF EQUITY SECURITIES</w:t>
      </w:r>
    </w:p>
    <w:p>
      <w:pPr>
        <w:spacing w:after="0" w:line="58"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Company’s Class A common stock has been publicly traded since August 2, 1996 and is currently listed on the NASDAQ Global Select Market under the symbol “LAMR.” As of December 31, 2021, the Class A common stock was held by 87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Company’s Series AA preferred stock is entitled to preferential dividends, in an annual aggregate amount of $364,904,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March 16, 2020, the Company’s Board of Directors authorized the repurchase of up to $250.0 million of the Company’s Class A common stock. On September 20, 2021, the Board of Directors authorized the extension of the repurchase program through March 31, 2023. There were no repurchases under the program as of December 31, 2021. The Company’s management may opt not to make any repurchases under the program, or may make aggregate purchases less than the total amount authorized.</w:t>
      </w:r>
    </w:p>
    <w:p>
      <w:pPr>
        <w:spacing w:after="0" w:line="187"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following table sets forth shares of Class A common stock withheld by the Company to satisfy withholding obligations arising in connection with stock awards to employees: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Average Price Paid</w:t>
            </w: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1"/>
                <w:szCs w:val="11"/>
                <w:color w:val="auto"/>
              </w:rPr>
            </w:pPr>
          </w:p>
        </w:tc>
        <w:tc>
          <w:tcPr>
            <w:tcW w:w="126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Announced Plans or</w:t>
            </w: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8"/>
        </w:trPr>
        <w:tc>
          <w:tcPr>
            <w:tcW w:w="560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6"/>
                <w:szCs w:val="16"/>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2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4"/>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through October 31, 2021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November 1 through November 30, 2021</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through December 31, 2021</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the Company for the years ended December 31, 2021 and 2020. This discussion should be read in conjunction with the consolidated financial statements of the Company and the related notes.</w:t>
      </w:r>
    </w:p>
    <w:p>
      <w:pPr>
        <w:spacing w:after="0" w:line="3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Discussion of our results of operations for the years ended December 31, 2020 and 2019 can be found in Part II, Item 7 of our Annual Report on Form 10-K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The unprecedented and rapid spread of COVID-19 and the related government-imposed restrictions and social distancing measures implemented throughout the world negatively affected our business in 2020. During the year ended December 31, 2021, our business has generally improved as the economy has recovered. While some of our corporate, front office and sales workforce continue to work from home, a large majority have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or the issuance of debt or equity securities. See </w:t>
      </w:r>
      <w:r>
        <w:rPr>
          <w:rFonts w:ascii="Arial" w:cs="Arial" w:eastAsia="Arial" w:hAnsi="Arial"/>
          <w:sz w:val="18"/>
          <w:szCs w:val="18"/>
          <w:i w:val="1"/>
          <w:iCs w:val="1"/>
          <w:color w:val="auto"/>
        </w:rPr>
        <w:t>“Liquidity and Capital Resources- Sources of Cash,</w:t>
      </w:r>
      <w:r>
        <w:rPr>
          <w:rFonts w:ascii="Arial" w:cs="Arial" w:eastAsia="Arial" w:hAnsi="Arial"/>
          <w:sz w:val="18"/>
          <w:szCs w:val="18"/>
          <w:color w:val="auto"/>
        </w:rPr>
        <w:t>” for more information. During the year ended December 31, 2021, the Company completed multiple acquisitions for a total cash purchase price of approximately $312.3 million. See “</w:t>
      </w:r>
      <w:r>
        <w:rPr>
          <w:rFonts w:ascii="Arial" w:cs="Arial" w:eastAsia="Arial" w:hAnsi="Arial"/>
          <w:sz w:val="18"/>
          <w:szCs w:val="18"/>
          <w:i w:val="1"/>
          <w:iCs w:val="1"/>
          <w:color w:val="auto"/>
        </w:rPr>
        <w:t>Uses of Cash-Acquisitions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two years: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7"/>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31"/>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Traditional</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31,894</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Billboard — Digital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22,618</w:t>
            </w:r>
          </w:p>
        </w:tc>
      </w:tr>
      <w:tr>
        <w:trPr>
          <w:trHeight w:val="23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Logos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Transit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buildings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PP&amp;E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r>
      <w:tr>
        <w:trPr>
          <w:trHeight w:val="248"/>
        </w:trPr>
        <w:tc>
          <w:tcPr>
            <w:tcW w:w="8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126,090</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62,272</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our 2022 capital expenditures to be approximately $170.0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gain or loss on disposition of assets and investments, and capitalized contract fulfillment costs, net.</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non-recurring infrequent or unusual losses (gains); (ix) less maintenance capital expenditures; and (xi) an adjustment for unconsolidated affiliates and non-controlling interest.</w:t>
      </w:r>
    </w:p>
    <w:p>
      <w:pPr>
        <w:spacing w:after="0" w:line="187"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divestitures, which reflects our core performance and organic growth (if any) during the period in which the assets were owned and managed by us; (4) 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7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certain items in the Consolidated Statements of Income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4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Direct advertising expenses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35.5 %</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expenses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Net revenues increased $218.5 million or 13.9% to $1.79 billion for the year ended December 31, 2021 from $1.57 billion for the same period in 2020. This increase was primarily attributable to an increase in billboard and transit net revenues of $210.3 million and $13.0 million, respectively, offset by a decrease in logo net revenues of $4.8 million over the prior year.</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Net revenues for the year ended December 31, 2021, as compared to acquisition-adjusted net revenues for the comparable period in 2020, increased $217.0 million, or 13.8%. The $217.0 million increase in net revenues is primarily due to a $202.9 million and $15.1 million increase in billboard and transit net revenues, respectively, over the prior year. The increase in billboard and transit net revenues was slightly offset by a decrease of $0.9 million in logo net revenues. See “</w:t>
      </w:r>
      <w:r>
        <w:rPr>
          <w:rFonts w:ascii="Arial" w:cs="Arial" w:eastAsia="Arial" w:hAnsi="Arial"/>
          <w:sz w:val="18"/>
          <w:szCs w:val="18"/>
          <w:i w:val="1"/>
          <w:iCs w:val="1"/>
          <w:color w:val="auto"/>
        </w:rPr>
        <w:t>Reconciliations</w:t>
      </w:r>
      <w:r>
        <w:rPr>
          <w:rFonts w:ascii="Arial" w:cs="Arial" w:eastAsia="Arial" w:hAnsi="Arial"/>
          <w:sz w:val="18"/>
          <w:szCs w:val="18"/>
          <w:color w:val="auto"/>
        </w:rPr>
        <w:t>” below.</w:t>
      </w:r>
    </w:p>
    <w:p>
      <w:pPr>
        <w:spacing w:after="0" w:line="18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Total operating expenses, exclusive of depreciation and amortization and gain on disposition of assets, increased $80.6 million, or 8.8% to $997.0 million for the year ended December 31, 2021 from $916.5 million in the same period in 2020. The $80.6 million increase over the prior year is primarily comprised of an increase in total direct, general and administrative and corporate expenses (excluding stock-based compensation) of $62.0 million primarily related to an increase in our variable billboard lease costs and transit and airport franchise costs, as well as increases in our workforce.</w:t>
      </w:r>
    </w:p>
    <w:p>
      <w:pPr>
        <w:spacing w:after="0" w:line="15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Depreciation and amortization expense increased $20.0 million to $271.3 million for the year ended December 31, 2021 as compared to $251.3 million for the same period in 2020. The increase is primarily due to the revision in the cost estimate included in the calculation of asset retirement obligations during the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For the year ended December 31, 2021, the Company recognized a gain on disposition of assets of $2.1 million as compared to a gain on disposition of assets of $9.0 million for the same period in 2020. The gain on disposition of assets for the year ended December 31, 2021 was primarily from transactions related to the sale of billboard locations and displays.</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Due to the above factors, operating income increased $111.1 million to $521.2 million for the year ended December 31, 2021 compared to $410.1 million for the same period in 2020.</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year ended December 31, 2021, the Company recorded a $21.6 million loss on debt extinguishment related to Lamar Media's repayment of its 5 3/4% Senior Notes.</w:t>
      </w:r>
    </w:p>
    <w:p>
      <w:pPr>
        <w:spacing w:after="0" w:line="170"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Interest expense decreased $31.2 million for the year ended December 31, 2021 to $106.4 million as compared to $137.6 million for the year ended December 31, 2020. The decrease in interest expense is primarily related to the Company’s debt transactions completed in 2020 and 2021.</w:t>
      </w:r>
    </w:p>
    <w:p>
      <w:pPr>
        <w:spacing w:after="0" w:line="14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Equity in earnings of investee was $3.4 million for the year ended December 31, 2021 as a result of the investment in Vistar Media that occurred in July 2021. There was no equity in earnings of investee for the year ended December 31, 2020.</w:t>
      </w:r>
    </w:p>
    <w:p>
      <w:pPr>
        <w:spacing w:after="0" w:line="170"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increase in operating income, as well as the decrease in interest expense and the decrease in loss on extinguishment of debt over the comparable period in 2020, resulted in a $149.3 million increase in net income before income taxes.</w:t>
      </w:r>
    </w:p>
    <w:p>
      <w:pPr>
        <w:spacing w:after="0" w:line="170"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Company recorded income tax expense of $9.3 million for the year ended December 31, 2021 as compared to income tax expense of $4.7 million for the same period in 2020. The $9.3 million tax expense equates to an effective tax rate for the year ended December 31, 2021 of approximately 2.3%, which differs from the federal statutory rate primarily due to our qualification for taxation as a REIT.</w:t>
      </w:r>
    </w:p>
    <w:p>
      <w:pPr>
        <w:spacing w:after="0" w:line="16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2021 of $388.1 million, as compared to net income of $243.4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year ended December 31, 2020 by adding to or subtracting from it the net revenue generated by the acquired or divested assets prior to our acquisition or divestiture of these assets for the same time frame that those assets were owned in the year ended December 31, 2021.</w:t>
      </w:r>
    </w:p>
    <w:p>
      <w:pPr>
        <w:spacing w:after="0" w:line="187" w:lineRule="exact"/>
        <w:rPr>
          <w:sz w:val="20"/>
          <w:szCs w:val="20"/>
          <w:color w:val="auto"/>
        </w:rPr>
      </w:pPr>
    </w:p>
    <w:p>
      <w:pPr>
        <w:jc w:val="both"/>
        <w:ind w:right="20" w:firstLine="567"/>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year ended December 31, 2020 as well as a comparison of 2020 acquisition-adjusted net revenue to 2021 reported net revenue for the year ended December 31, 2021, are provided below:</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net revenue</w:t>
            </w:r>
          </w:p>
        </w:tc>
        <w:tc>
          <w:tcPr>
            <w:tcW w:w="5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1,787,401</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1,568,856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totals</w:t>
            </w:r>
          </w:p>
        </w:tc>
        <w:tc>
          <w:tcPr>
            <w:tcW w:w="48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1,787,401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1,570,380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800" w:type="dxa"/>
            <w:vAlign w:val="bottom"/>
            <w:tcBorders>
              <w:top w:val="single" w:sz="8" w:color="CFF0FC"/>
              <w:bottom w:val="single" w:sz="8" w:color="CFF0FC"/>
            </w:tcBorders>
            <w:vMerge w:val="restart"/>
          </w:tcPr>
          <w:p>
            <w:pPr>
              <w:jc w:val="right"/>
              <w:ind w:right="2630"/>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6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201"/>
        </w:trPr>
        <w:tc>
          <w:tcPr>
            <w:tcW w:w="5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(31,205)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23.2 %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Adjusted EBITDA for the year ended December 31, 2021 increased 23.2% to $827.3 million. The increase in adjusted EBITDA was primarily attributable to the increase in our gross margin (net revenue less direct advertising expense, exclusive of depreciation and amortization and capitalized contract fulfillment costs, net) of $198.9 million, and was partially offset by an increase in general and administrative and corporate expenses of $43.1 million, excluding the impact of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201"/>
        </w:trPr>
        <w:tc>
          <w:tcPr>
            <w:tcW w:w="5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Gain from one-time sale of non-real estate assets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(34,168)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152,974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29.7 %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FFO for the year ended December 31, 2021 was $643.4 million as compared to FFO of $477.2 million for the same period in 2020. AFFO for the year ended December 31, 2021 increased 29.7% to $667.7 million as compared to $514.8 million for the same period in 2020. The increase in AFFO was primarily attributable to the increase in our gross margin (net revenue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direct advertising expense, exclusive of depreciation and amortization and capitalized contract fulfillment costs, net), partially offset by an increase in total general and administrative and corporate expenses (excluding the effect of stock-based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Company has historically satisfied its working capital requirements with cash from operations and borrowings under its senior credit facility. The Company’s wholly owned subsidiary, Lamar Media Corp., is the principal borrower under the senior credit facility and maintains all corporate operating cash balances. Any cash requirements of the Company, therefore, must be funded by distributions from Lamar Media.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Total Liquidity. </w:t>
      </w:r>
      <w:r>
        <w:rPr>
          <w:rFonts w:ascii="Arial" w:cs="Arial" w:eastAsia="Arial" w:hAnsi="Arial"/>
          <w:sz w:val="18"/>
          <w:szCs w:val="18"/>
          <w:color w:val="auto"/>
        </w:rPr>
        <w:t>As of December 31, 2021 we had $662.4 million of total liquidity, which is comprised of $99.8 million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$562.6 million of availability under the revolving portion of the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8"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As of December 31, 2021 and 2020, the Company had a working capital deficit of $274.4 million and $167.3 million, respectively. The working capital deficit for the year ended December 31, 2021 is primarily related to $198.3 million in current operating lease liabilities which has a corresponding right of use asset recorded in long term assets. We expect to have enough cash on hand and availability under our revolving credit facility to meet our operating needs for the next twelve months.</w:t>
      </w:r>
    </w:p>
    <w:p>
      <w:pPr>
        <w:spacing w:after="0" w:line="18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i w:val="1"/>
          <w:iCs w:val="1"/>
          <w:color w:val="auto"/>
        </w:rPr>
        <w:t xml:space="preserve">Cash Generated by Operations. </w:t>
      </w:r>
      <w:r>
        <w:rPr>
          <w:rFonts w:ascii="Arial" w:cs="Arial" w:eastAsia="Arial" w:hAnsi="Arial"/>
          <w:sz w:val="16"/>
          <w:szCs w:val="16"/>
          <w:color w:val="auto"/>
        </w:rPr>
        <w:t>For the years ended December 31, 2021, 2020 and 2019 our cash provided by operating activities was $734.4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$569.9 million and $630.9 million, respectively. The increase in cash provided by operating activities for the year ended December 31, 2021 over the same period in 2020 relates to an increase in revenues offset by an increase in operating expenses (excluding depreciation and amortization). We expect to generate cash flows from operations during 2022 in excess of our cash needs for operations, capital expenditures and dividends, as described herein.</w:t>
      </w:r>
    </w:p>
    <w:p>
      <w:pPr>
        <w:spacing w:after="0" w:line="157" w:lineRule="exact"/>
        <w:rPr>
          <w:sz w:val="20"/>
          <w:szCs w:val="20"/>
          <w:color w:val="auto"/>
        </w:rPr>
      </w:pPr>
    </w:p>
    <w:p>
      <w:pPr>
        <w:jc w:val="both"/>
        <w:ind w:firstLine="567"/>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On May 24, 2021, Lamar Media and the Special Purpose Subsidiaries entered into the Fifth Amendment (the "Fifth Amendment") to the Accounts Receivable Securitization Program, as amended. The Fifth Amendment extends the maturity date of the Accounts Receivable Securitization Program to July 21, 2024. Additionally, the Fifth Amendment decreases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As of December 31, 2021, there was $175.0 million of outstanding aggregate borrowings under the Accounts Receivable Securitization Program at a borrowing rate of approximately 1.1%. Lamar Media has no additional availability under the Accounts Receivable Securitization Program as of December 31, 2021. The Accounts Receivable Securitization Program will mature on July 21, 2024.</w:t>
      </w:r>
    </w:p>
    <w:p>
      <w:pPr>
        <w:spacing w:after="0" w:line="18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On May 1, 2018, the Company entered into an equity distribution agreement (the “Sales Agreement”) with J.P.</w:t>
      </w:r>
      <w:r>
        <w:rPr>
          <w:rFonts w:ascii="Arial" w:cs="Arial" w:eastAsia="Arial" w:hAnsi="Arial"/>
          <w:sz w:val="18"/>
          <w:szCs w:val="18"/>
          <w:i w:val="1"/>
          <w:iCs w:val="1"/>
          <w:color w:val="auto"/>
        </w:rPr>
        <w:t xml:space="preserve"> </w:t>
      </w:r>
      <w:r>
        <w:rPr>
          <w:rFonts w:ascii="Arial" w:cs="Arial" w:eastAsia="Arial" w:hAnsi="Arial"/>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2020 and 2021.</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December 31, 2021.</w:t>
      </w:r>
    </w:p>
    <w:p>
      <w:pPr>
        <w:spacing w:after="0" w:line="164"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i w:val="1"/>
          <w:iCs w:val="1"/>
          <w:color w:val="auto"/>
        </w:rPr>
        <w:t>Shelf Registration Statement</w:t>
      </w:r>
      <w:r>
        <w:rPr>
          <w:rFonts w:ascii="Arial" w:cs="Arial" w:eastAsia="Arial" w:hAnsi="Arial"/>
          <w:sz w:val="18"/>
          <w:szCs w:val="18"/>
          <w:b w:val="1"/>
          <w:bCs w:val="1"/>
          <w:color w:val="222222"/>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6, 2018, we filed an automatically effective shelf registration statement (No. 333-226614) that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 and sale of an indeterminate amount of additional shares of our Class A common stock which expired by its term in August 2021. On June 21, 2021, the Company filed a new automatically effective shelf registration statement (No. 333-257243) that allows Lamar Advertising to offer and sell an indeterminate amount of additional shares of its Class A common stock on similar terms as the prior registration statement. During the year ended December 31, 2021, the Company did not issue any shares under either shelf registration.</w:t>
      </w:r>
    </w:p>
    <w:p>
      <w:pPr>
        <w:spacing w:after="0" w:line="18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On February 6, 2020, Lamar Media entered into a Fourth Amended and Restated Credit Agreement (the “Fourth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w:t>
      </w:r>
    </w:p>
    <w:p>
      <w:pPr>
        <w:spacing w:after="0" w:line="171"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4"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78"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7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As of December 31, 2021, the aggregate balance outstanding under the senior credit facility was $775.0 million, consisting of $600.0 million in Term B loans aggregate principal balance and $175.0 million outstanding borrowings under our revolving credit facility. Lamar Media had approximately $562.6 million of unused capacity under the revolving credit facility.</w:t>
      </w:r>
    </w:p>
    <w:p>
      <w:pPr>
        <w:spacing w:after="0" w:line="18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22, 2021, Lamar Media issued, through an institutional private placement, $550.0 million in aggregate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3 5/8% Senior Notes due 2031 (the “3 5/8% Senior Notes”). The issuance of the 3 5/8% Senior Notes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Arial" w:cs="Arial" w:eastAsia="Arial" w:hAnsi="Arial"/>
          <w:sz w:val="18"/>
          <w:szCs w:val="18"/>
          <w:i w:val="1"/>
          <w:iCs w:val="1"/>
          <w:color w:val="auto"/>
        </w:rPr>
        <w:t>Uses of Cash-Note Redemption</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i w:val="1"/>
          <w:iCs w:val="1"/>
          <w:color w:val="auto"/>
        </w:rPr>
        <w:t xml:space="preserve">Internally Generated Funds. </w:t>
      </w:r>
      <w:r>
        <w:rPr>
          <w:rFonts w:ascii="Arial" w:cs="Arial" w:eastAsia="Arial" w:hAnsi="Arial"/>
          <w:sz w:val="17"/>
          <w:szCs w:val="17"/>
          <w:color w:val="auto"/>
        </w:rPr>
        <w:t>The key factors affecting internally generated cash flow are general economic conditions, specific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 the markets where the Company conducts its business and overall spending on advertising by advertisers. We expect to generate cash flows from operations during 2022 in excess of our cash needs for operations, capital expenditures and dividends, as described herein.</w:t>
      </w:r>
    </w:p>
    <w:p>
      <w:pPr>
        <w:spacing w:after="0" w:line="16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credit facility, its outstanding debt securities and its Accounts Receivable Securitization Program.</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As of December 31, 2021, Lamar Media has outstanding all of the 3 3/4% Senior Notes, the 4%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4 7/8% Senior Notes and the 3 5/8% Senior Notes.</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62" w:lineRule="exact"/>
        <w:rPr>
          <w:sz w:val="20"/>
          <w:szCs w:val="20"/>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060" w:hanging="485"/>
        <w:spacing w:after="0" w:line="277"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2021 we were, and currently, we are in compliance with all such tests under the senior credit facility.</w:t>
      </w:r>
    </w:p>
    <w:p>
      <w:pPr>
        <w:spacing w:after="0" w:line="18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 of Cash-Accounts Receivable Securitization Program</w:t>
      </w:r>
      <w:r>
        <w:rPr>
          <w:rFonts w:ascii="Arial" w:cs="Arial" w:eastAsia="Arial" w:hAnsi="Arial"/>
          <w:sz w:val="18"/>
          <w:szCs w:val="18"/>
          <w:color w:val="auto"/>
        </w:rPr>
        <w:t>)) to EBITDA, as defined below, for the period of four consecutive fiscal quarters then ended, of less than or equal to 4.5 to 1.0.</w:t>
      </w:r>
    </w:p>
    <w:p>
      <w:pPr>
        <w:spacing w:after="0" w:line="18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and 6% of its total assets.</w:t>
      </w:r>
    </w:p>
    <w:p>
      <w:pPr>
        <w:spacing w:after="0" w:line="170"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176"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46" w:lineRule="exact"/>
        <w:rPr>
          <w:sz w:val="20"/>
          <w:szCs w:val="20"/>
          <w:color w:val="auto"/>
        </w:rPr>
      </w:pPr>
    </w:p>
    <w:p>
      <w:pPr>
        <w:jc w:val="both"/>
        <w:ind w:firstLine="567"/>
        <w:spacing w:after="0" w:line="285" w:lineRule="auto"/>
        <w:rPr>
          <w:sz w:val="20"/>
          <w:szCs w:val="20"/>
          <w:color w:val="auto"/>
        </w:rPr>
      </w:pPr>
      <w:r>
        <w:rPr>
          <w:rFonts w:ascii="Arial" w:cs="Arial" w:eastAsia="Arial" w:hAnsi="Arial"/>
          <w:sz w:val="16"/>
          <w:szCs w:val="16"/>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88"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178"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46"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$126.1 million for the year ended December 31,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2022 total capital expenditures will be approximately $170.0 million.</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year ended December 31, 2021, the Company completed 45 acquisitions for a total cash purchase price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$312.3 million. The acquisitions occurring during the year ended December 31, 2021 were financed using available cash on hand, borrowings under the revolving credit facility and borrowings on the Accounts Receivable Securitization Program.</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On July 12, 2021, Lamar acquired a minority stake in Vistar Media ("Vistar"), a leading global provider of programmatic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digital out-of-home sector. Management believes that Lamar's investment of $30.0 million will help Vistar strengthen its balance sheet, expand its research and development and extend its reach into new markets. Lamar received a seat on Vistar's Board of Directors.</w:t>
      </w:r>
    </w:p>
    <w:p>
      <w:pPr>
        <w:spacing w:after="0" w:line="165"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i w:val="1"/>
          <w:iCs w:val="1"/>
          <w:color w:val="auto"/>
        </w:rPr>
        <w:t xml:space="preserve">Note Redemption. </w:t>
      </w:r>
      <w:r>
        <w:rPr>
          <w:rFonts w:ascii="Arial" w:cs="Arial" w:eastAsia="Arial" w:hAnsi="Arial"/>
          <w:sz w:val="17"/>
          <w:szCs w:val="17"/>
          <w:color w:val="auto"/>
        </w:rPr>
        <w:t>On February 3, 2021, the Company redeemed in full all $650.0 million aggregate principal amount 5 3/4% Senior Notes due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2026. The 5 3/4% Senior Notes redemption was completed using the proceeds received from the 3 5/8% Senior Notes offering completed on January 22, 2021, together with cash on hand and borrowings under the revolving credit facility and Accounts Receivable Securitization Program. The notes were redeemed at a redemption price equal to 102.875% of the aggregate principal amount of the outstanding notes, plus accrued and unpaid interest to (but not including) the redemption date. During the year ended December 31, 2021, the Company recorded a loss on debt extinguishment of $21.6 million related to the note redemption. See </w:t>
      </w:r>
      <w:r>
        <w:rPr>
          <w:rFonts w:ascii="Arial" w:cs="Arial" w:eastAsia="Arial" w:hAnsi="Arial"/>
          <w:sz w:val="17"/>
          <w:szCs w:val="17"/>
          <w:i w:val="1"/>
          <w:iCs w:val="1"/>
          <w:color w:val="auto"/>
        </w:rPr>
        <w:t>Sources of Cash- Note Offerings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During the year ended December 31, 2021, the Company declared and paid distributions of $404.8 million, or $4.00 per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the year ended December 31, 2020, the Company declared and paid distributions of $251.9 million, or $2.50 per share of common stock. On February 24, 2022, the Company’s Board of Directors approved a dividend of $1.10 per common share to be paid on March 31, 2022. Subject to the approval of the Company’s Board of Directors, the Company expects aggregate quarterly distributions to stockholders in 2022 will be $4.40 per common share, including the dividend payable on March 31,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COVID-19 on the Company's operations and other factors that the Board of Directors may deem relevant.</w:t>
      </w:r>
    </w:p>
    <w:p>
      <w:pPr>
        <w:spacing w:after="0" w:line="166"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i w:val="1"/>
          <w:iCs w:val="1"/>
          <w:color w:val="auto"/>
        </w:rPr>
        <w:t xml:space="preserve">Special Purpose Acquisition Company. </w:t>
      </w:r>
      <w:r>
        <w:rPr>
          <w:rFonts w:ascii="Arial" w:cs="Arial" w:eastAsia="Arial" w:hAnsi="Arial"/>
          <w:sz w:val="18"/>
          <w:szCs w:val="18"/>
          <w:color w:val="auto"/>
        </w:rPr>
        <w:t>On April 6, 2021, Lamar Partnering Corporation ("LPC"), a newly formed special purpose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indirect wholly-owned subsidiary of the Company, filed a Registration Statement on Form S-1, with the Securities and Exchange Commission. Subject to market conditions, LPC's proposed public offering is expected to have a base offering size of $300.0 million, or up to $345.0 million if the underwriters' over-allotment is exercised in full. The Company, through an indirect wholly-owned subsidiary, would own approximately 20% of LPC's issued and outstanding ordinary shares upon the consummation of the proposed offering. The Company intends to commit to acquire up to $100.0 million of forward purchase units in a forward purchase agreement that would close concurrently with LPC's consummation of an initial business combination. As of December 31, 2021, the Company incurred $1.0 million in deferred offering costs related to the proposed offering, which is included in other assets on our Condensed Consolidated Balance Sheet.</w:t>
      </w:r>
    </w:p>
    <w:p>
      <w:pPr>
        <w:spacing w:after="0" w:line="192"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i w:val="1"/>
          <w:iCs w:val="1"/>
          <w:color w:val="auto"/>
        </w:rPr>
        <w:t xml:space="preserve">Stock and Debt Repurchasing Program. </w:t>
      </w:r>
      <w:r>
        <w:rPr>
          <w:rFonts w:ascii="Arial" w:cs="Arial" w:eastAsia="Arial" w:hAnsi="Arial"/>
          <w:sz w:val="18"/>
          <w:szCs w:val="18"/>
          <w:color w:val="auto"/>
        </w:rPr>
        <w:t>On March 16, 2020, the Company’s Board of Directors authorized the repurchase of up to $250.0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Class A common stock. Additionally, the Board of Directors has authorized Lamar Media to repurchase up to $250.0 million in outstanding senior or senior subordinated notes and other indebtedness outstanding from time to time under the senior credit facility. On September 20, 2021, the Board of Directors authorized the extension of the repurchase program through March 31, 2023. There were no repurchases under the program as of December 31, 2021. The Company's management may opt not to make any repurchases under the program, or may make aggregate purchases less than the total amount authorized.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22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Our expected material cash requirements for the twelve months ended December 31, 2022 and thereafter are comprised of contractual obligations, required annual distributions and other opportunistic expenditures.</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i w:val="1"/>
          <w:iCs w:val="1"/>
          <w:color w:val="auto"/>
        </w:rPr>
        <w:t xml:space="preserve">Debt and Contractual Obligations. </w:t>
      </w:r>
      <w:r>
        <w:rPr>
          <w:rFonts w:ascii="Arial" w:cs="Arial" w:eastAsia="Arial" w:hAnsi="Arial"/>
          <w:sz w:val="18"/>
          <w:szCs w:val="18"/>
          <w:color w:val="auto"/>
        </w:rPr>
        <w:t>The following table summarizes our future debt maturities, interest payment obligations, and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including required payments under operating and financing leases as of December 31, 2021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8480" w:type="dxa"/>
            <w:vAlign w:val="bottom"/>
            <w:shd w:val="clear" w:color="auto" w:fill="CCEEFF"/>
          </w:tcPr>
          <w:p>
            <w:pPr>
              <w:ind w:left="20"/>
              <w:spacing w:after="0" w:line="228" w:lineRule="exact"/>
              <w:rPr>
                <w:sz w:val="20"/>
                <w:szCs w:val="20"/>
                <w:color w:val="auto"/>
              </w:rPr>
            </w:pPr>
            <w:r>
              <w:rPr>
                <w:rFonts w:ascii="Arial" w:cs="Arial" w:eastAsia="Arial" w:hAnsi="Arial"/>
                <w:sz w:val="17"/>
                <w:szCs w:val="17"/>
                <w:color w:val="auto"/>
              </w:rPr>
              <w:t>Debt maturities</w:t>
            </w:r>
            <w:r>
              <w:rPr>
                <w:rFonts w:ascii="Arial" w:cs="Arial" w:eastAsia="Arial" w:hAnsi="Arial"/>
                <w:sz w:val="26"/>
                <w:szCs w:val="26"/>
                <w:color w:val="auto"/>
                <w:vertAlign w:val="superscript"/>
              </w:rPr>
              <w:t>(1)</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2,838.8</w:t>
            </w: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7"/>
                <w:szCs w:val="17"/>
                <w:color w:val="auto"/>
              </w:rPr>
              <w:t>Interest obligations on long-term debt</w:t>
            </w:r>
            <w:r>
              <w:rPr>
                <w:rFonts w:ascii="Arial" w:cs="Arial" w:eastAsia="Arial" w:hAnsi="Arial"/>
                <w:sz w:val="26"/>
                <w:szCs w:val="26"/>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597.9</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obligations, including operating and financing leases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4,916.7</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Debt maturities assume there is no refinancing prior to the existing maturity date.</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rates on our variable rate instruments assume rates at the December 2021 levels.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Required Annual Distributions. </w:t>
      </w:r>
      <w:r>
        <w:rPr>
          <w:rFonts w:ascii="Arial" w:cs="Arial" w:eastAsia="Arial" w:hAnsi="Arial"/>
          <w:sz w:val="18"/>
          <w:szCs w:val="18"/>
          <w:color w:val="auto"/>
        </w:rPr>
        <w:t>As a REIT, the Company must annually distribute to its stockholders an amount equal to at least 90% of its REIT</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(determined before the deduction for distributed earnings and excluding any net capital gain). On February 24, 2022, the Company’s Board of Directors approved a dividend of $1.10 per common share to be paid on March 31, 2022. Our Board of Directors will continue to evaluate future dividends in order to continue to satisfy the requirements needed to maintain our REIT status.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Opportunistic Expenditures. </w:t>
      </w:r>
      <w:r>
        <w:rPr>
          <w:rFonts w:ascii="Arial" w:cs="Arial" w:eastAsia="Arial" w:hAnsi="Arial"/>
          <w:sz w:val="17"/>
          <w:szCs w:val="17"/>
          <w:color w:val="auto"/>
        </w:rPr>
        <w:t>As part of our capital allocation strategy, we plan to continue to allocate our available capital among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Company’s cash flows provided by operating activities increased $164.5 million from $569.9 million in 2020 to $734.4 million for the year ended December 31, 2021, primarily resulting from an increase in revenues of approximately $218.5 million and offset by an increase in operating expenses (excluding stock-based compensation, gain on disposition of assets, and depreciation and amortization) of approximately $62.0 million, as compared to the comparable period in 2020.</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Cash flows used in investing activities increased $364.9 million from $96.9 million in 2020 to $461.8 million in 2021 primarily due to a net increase in the amount of assets acquired through acquisitions, investments and capital expenditures of $360.5 million, as compared to the same period in 2020.</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Company’s cash flows used in financing activities were $294.5 million for the year ended December 31, 2021 as compared to $377.9 million in 2020. This decrease in cash used in financing activities of $83.4 million for the year ended December 31, 2021 is primarily due to financing transactions during the year 2020, offset by an increase in cash paid for dividends and distributions over the comparable period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567"/>
        <w:spacing w:after="0" w:line="290" w:lineRule="auto"/>
        <w:rPr>
          <w:sz w:val="20"/>
          <w:szCs w:val="20"/>
          <w:color w:val="auto"/>
        </w:rPr>
      </w:pPr>
      <w:r>
        <w:rPr>
          <w:rFonts w:ascii="Arial" w:cs="Arial" w:eastAsia="Arial" w:hAnsi="Arial"/>
          <w:sz w:val="16"/>
          <w:szCs w:val="16"/>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6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The Company had an asset retirement obligation of $269.4 million as of December 31, 2021. This liability relates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obligation upon the termination or non-renewal of a lease to dismantle and remove its billboard structures from the leased land and to reclaim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95"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This calculation includes 100% of the Company’s billboard structures on leased land (which currently consist of approximately 69,900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92"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The Company accounts for transactions that meet the definition of a business and group asset purchases as acquisitions.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84" w:lineRule="exact"/>
        <w:rPr>
          <w:sz w:val="20"/>
          <w:szCs w:val="20"/>
          <w:color w:val="auto"/>
        </w:rPr>
      </w:pPr>
    </w:p>
    <w:p>
      <w:pPr>
        <w:jc w:val="both"/>
        <w:ind w:firstLine="567"/>
        <w:spacing w:after="0" w:line="288" w:lineRule="auto"/>
        <w:rPr>
          <w:sz w:val="20"/>
          <w:szCs w:val="20"/>
          <w:color w:val="auto"/>
        </w:rPr>
      </w:pPr>
      <w:r>
        <w:rPr>
          <w:rFonts w:ascii="Arial" w:cs="Arial" w:eastAsia="Arial" w:hAnsi="Arial"/>
          <w:sz w:val="16"/>
          <w:szCs w:val="16"/>
          <w:b w:val="1"/>
          <w:bCs w:val="1"/>
          <w:i w:val="1"/>
          <w:iCs w:val="1"/>
          <w:color w:val="auto"/>
        </w:rPr>
        <w:t xml:space="preserve">Lease Liabilities and Right of Use Assets. </w:t>
      </w:r>
      <w:r>
        <w:rPr>
          <w:rFonts w:ascii="Arial" w:cs="Arial" w:eastAsia="Arial" w:hAnsi="Arial"/>
          <w:sz w:val="16"/>
          <w:szCs w:val="16"/>
          <w:color w:val="auto"/>
        </w:rPr>
        <w:t>On January 1, 2019, the Company adopted ASU No. 2016-02,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(Codified as ASC 842),”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resulted in recording operating lease liabilities and right of use assets on our consolidated balance sheet. Our operating lease liabilities (including short-term liabilities) and right of use asset balances were $1.19 billion and $1.22 billion as of December 31, 2021, respectively. The balance is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reasonable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AND REGULATORY UPDATE</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See Note 21, "New Accounting Pronouncements" to our consolidated financial statements included in Part II, Item 8 of this report for a discussion of our Accounting Standards and Regulatory Update.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Lamar Media for the years ended December 31, 2021 and 2020. This discussion should be read in conjunction with the consolidated financial statements of Lamar Media and the related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certain items in the Consolidated Statements of Income as a percentage of net revenues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4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Direct advertising expenses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35.5 %</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expenses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Net revenues increased $218.5 million or 13.9% to $1.79 billion for the year ended December 31, 2021 from $1.57 billion for the same period in 2020. This increase was attributable primarily to an increase in billboard and transit net revenues of $210.3 million and $13.0 million, respectively, offset by a decrease in logo net revenues of $4.8 million over the prior year.</w:t>
      </w:r>
    </w:p>
    <w:p>
      <w:pPr>
        <w:spacing w:after="0" w:line="319"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Net revenues for the year ended December 31, 2021, as compared to acquisition-adjusted net revenues for the comparable period in 2020, increased $217.0 million, or 13.8%. The $217.0 million increase in net revenues is primarily due to a $202.9 million and $15.1 million increase in billboard and transit net revenues, respectively over the prior year. The increase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 billboard and transit net revenues was slightly offset by a decrease of $0.9 million in logo net revenues. See “Reconciliations” below.</w:t>
      </w:r>
    </w:p>
    <w:p>
      <w:pPr>
        <w:spacing w:after="0" w:line="225"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$80.2 million, or 8.8% to $996.2 million for the year ended December 31, 2021 from $916.0 million in the same period in 2020. The $80.2 million increase over the prior year is primarily comprised of an increase in total direct, general and administrative and corporate expenses (excluding stock-based compensation) of $61.6 million primarily related to an increase in our variable billboard lease costs, transit and airport franchise costs, as well as increases in our workforce.</w:t>
      </w:r>
    </w:p>
    <w:p>
      <w:pPr>
        <w:spacing w:after="0" w:line="17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Depreciation and amortization expense increased $20.0 million to $271.3 million for the year ended December 31, 2021 as compared to $251.3 million for the same period in 2020. The increase is primarily due to the revision in the cost estimate included in the calculation of asset retirement obligations during the period.</w:t>
      </w:r>
    </w:p>
    <w:p>
      <w:pPr>
        <w:spacing w:after="0" w:line="184"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For the year ended December 31, 2021, Lamar Media recognized a gain on disposition of assets of $2.1 million as compared to a gain on disposition of assets of $9.0 million for the same period in 2020. The gain on disposition of assets for the year ended December 31, 2021 was primarily from transactions related to the sale of billboard locations and displays.</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Due to the above factors, operating income increased $111.4 million to $522.0 million for the year ended December 31, 2021 compared to $410.6 million for the same period in 2020.</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year ended December 31, 2021, Lamar Media recorded a $21.6 million loss on debt extinguishment related to the repayment of its 5 3/4% Senior Notes. See “Uses of Cash” for more information.</w:t>
      </w:r>
    </w:p>
    <w:p>
      <w:pPr>
        <w:spacing w:after="0" w:line="170" w:lineRule="exact"/>
        <w:rPr>
          <w:sz w:val="20"/>
          <w:szCs w:val="20"/>
          <w:color w:val="auto"/>
        </w:rPr>
      </w:pPr>
    </w:p>
    <w:p>
      <w:pPr>
        <w:jc w:val="both"/>
        <w:ind w:firstLine="567"/>
        <w:spacing w:after="0" w:line="308" w:lineRule="auto"/>
        <w:rPr>
          <w:sz w:val="20"/>
          <w:szCs w:val="20"/>
          <w:color w:val="auto"/>
        </w:rPr>
      </w:pPr>
      <w:r>
        <w:rPr>
          <w:rFonts w:ascii="Arial" w:cs="Arial" w:eastAsia="Arial" w:hAnsi="Arial"/>
          <w:sz w:val="17"/>
          <w:szCs w:val="17"/>
          <w:color w:val="auto"/>
        </w:rPr>
        <w:t>Interest expense decreased $31.2 million for the year ended December 31, 2021 to $106.4 million as compared to $137.6 million for the year ended December 31, 2020. The decrease in interest expense is primarily related Lamar Media’s debt transactions completed in 2020 and 2021.</w:t>
      </w:r>
    </w:p>
    <w:p>
      <w:pPr>
        <w:spacing w:after="0" w:line="14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Equity in earnings of investee was $3.4 million for the year ended December 31, 2021 as a result of the investment in Vistar Media that occurred in July 2021. There was no equity in earnings of investee for the year ended December 31, 2020.</w:t>
      </w:r>
    </w:p>
    <w:p>
      <w:pPr>
        <w:spacing w:after="0" w:line="170"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increase in operating income, as well as the decrease in interest expense and the decrease in loss on extinguishment of debt over the comparable period in 2020, resulted in a $149.6 million increase in net income before income taxes.</w:t>
      </w:r>
    </w:p>
    <w:p>
      <w:pPr>
        <w:spacing w:after="0" w:line="170"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Lamar Media recorded income tax expense of $9.3 million for the year ended December 31, 2021 as compared to an income tax expense of $4.7 million for the same period in 2020. The $9.3 million tax expense equates to an effective tax rate for the year ended December 31, 2021 of approximately 2.3%, which differs from the federal statutory rate primarily due to our qualification for taxation as a REIT.</w:t>
      </w:r>
    </w:p>
    <w:p>
      <w:pPr>
        <w:spacing w:after="0" w:line="16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2021 of $388.9 million, as compared to net income of $243.9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year ended December 31, 2020 by adding to or subtracting from it the net revenue generated by the acquired or divested assets prior to our acquisition or divestiture of these assets for the same time frame that those assets were owned in the year ended December 31,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567"/>
        <w:spacing w:after="0" w:line="308" w:lineRule="auto"/>
        <w:rPr>
          <w:sz w:val="20"/>
          <w:szCs w:val="20"/>
          <w:color w:val="auto"/>
        </w:rPr>
      </w:pPr>
      <w:r>
        <w:rPr>
          <w:rFonts w:ascii="Arial" w:cs="Arial" w:eastAsia="Arial" w:hAnsi="Arial"/>
          <w:sz w:val="17"/>
          <w:szCs w:val="17"/>
          <w:color w:val="auto"/>
        </w:rPr>
        <w:t>Reconciliations of 2020 reported net revenue to 2020 acquisition-adjusted net revenue for the year ended December 31, 2020 as well as a comparison of 2020 acquisition-adjusted net revenue to 2021 reported net revenue for the year ended December 31, 2021, are provided below:</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5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8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1,787,401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1,568,856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8"/>
        </w:trPr>
        <w:tc>
          <w:tcPr>
            <w:tcW w:w="5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1,787,401</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1,570,380</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Amount of Increase</w:t>
            </w:r>
          </w:p>
        </w:tc>
        <w:tc>
          <w:tcPr>
            <w:tcW w:w="132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w w:val="96"/>
              </w:rPr>
              <w:t>Percent Increase</w:t>
            </w: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Adjusted EBITDA for the year ended December 31, 2021 increased 23.2% to $828.1 million. The increase in adjusted EBITDA was primarily attributable to the increase in our gross margin (net revenue less direct advertising expense, exclusive of depreciation and amortization and capitalized contract fulfillment costs, net) of $198.9 million, and was partially offset by an increase in general and administrative and corporate expenses of $42.8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 Increase</w:t>
            </w:r>
          </w:p>
        </w:tc>
      </w:tr>
      <w:tr>
        <w:trPr>
          <w:trHeight w:val="201"/>
        </w:trPr>
        <w:tc>
          <w:tcPr>
            <w:tcW w:w="5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Gain from one-time sale of non-real estate assets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(34,168)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29.8 %</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FFO for the year ended December 31, 2021 was $644.2 million as compared to FFO of $477.6 million for the same period in 2020. AFFO for the year ended December 31, 2021 increased 29.8% to $668.6 million as compared to $515.3 million for the same period in 2020. The increase in AFFO was primarily attributable to the increase in our gross margin (net revenue less direct advertising expense, exclusive of depreciation and amortization and capitalized contract fulfillment costs, net), offset by an increase in total general and administrative and corporate expenses (excluding the effect of stock based compensation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Lamar Advertising Company and Lamar Media Corp.</w:t>
      </w:r>
    </w:p>
    <w:p>
      <w:pPr>
        <w:spacing w:after="0" w:line="117"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2021, and should be read in conjunction with Note 9 of the Notes to the Company’s Consolidated Financial Statements.</w:t>
      </w:r>
    </w:p>
    <w:p>
      <w:pPr>
        <w:spacing w:after="0" w:line="14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At December 31, 2021 there was approximately $948.7 million of indebtedness outstanding under the senior credit facility and Accounts Receivable Securitization Program, or approximately 31.1% of the Company’s outstanding long-term debt (including current maturities) on that date, bearing interest at variable rates. The aggregate interest expense for 2021 with respect to borrowings under the senior credit facility and the Accounts Receivable Securitization Program was $13.2 million, and the weighted average interest rate applicable to these borrowings during 2021 was 1.4%. Assuming that the weighted average interest rate was 200 basis points higher (that is 3.4% rather than 1.4%), then the Company’s 2021 interest expense would have increased by approximately $15.1 million for the year ended December 31, 2021.</w:t>
      </w:r>
    </w:p>
    <w:p>
      <w:pPr>
        <w:spacing w:after="0" w:line="178"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w:t>
            </w:r>
          </w:p>
        </w:tc>
        <w:tc>
          <w:tcPr>
            <w:tcW w:w="6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2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rPr>
              <w:t>LAMAR ADVERTISING COMPANY</w:t>
            </w:r>
          </w:p>
        </w:tc>
        <w:tc>
          <w:tcPr>
            <w:tcW w:w="6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8"/>
          </w:tcPr>
          <w:p>
            <w:pPr>
              <w:jc w:val="center"/>
              <w:ind w:right="4020"/>
              <w:spacing w:after="0"/>
              <w:rPr>
                <w:sz w:val="20"/>
                <w:szCs w:val="20"/>
                <w:color w:val="auto"/>
              </w:rPr>
            </w:pPr>
            <w:r>
              <w:rPr>
                <w:rFonts w:ascii="Arial" w:cs="Arial" w:eastAsia="Arial" w:hAnsi="Arial"/>
                <w:sz w:val="18"/>
                <w:szCs w:val="18"/>
                <w:b w:val="1"/>
                <w:bCs w:val="1"/>
                <w:color w:val="auto"/>
                <w:w w:val="98"/>
              </w:rPr>
              <w:t>AND SUBSIDIARIES</w:t>
            </w:r>
          </w:p>
        </w:tc>
        <w:tc>
          <w:tcPr>
            <w:tcW w:w="6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580" w:type="dxa"/>
            <w:vAlign w:val="bottom"/>
            <w:gridSpan w:val="1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Management’s Report on Internal Control Over Financial Reporting</w:t>
              </w:r>
            </w:hyperlink>
          </w:p>
        </w:tc>
        <w:tc>
          <w:tcPr>
            <w:tcW w:w="6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 xml:space="preserve">Report of Independent Registered Public Accounting Firm — Opinion on Internal Control Over Financial Reporting </w:t>
              </w:r>
            </w:hyperlink>
            <w:r>
              <w:rPr>
                <w:rFonts w:ascii="Arial" w:cs="Arial" w:eastAsia="Arial" w:hAnsi="Arial"/>
                <w:sz w:val="18"/>
                <w:szCs w:val="18"/>
                <w:color w:val="000000"/>
                <w:w w:val="99"/>
              </w:rPr>
              <w:t>(KPMG</w:t>
            </w:r>
            <w:r>
              <w:rPr>
                <w:rFonts w:ascii="Arial" w:cs="Arial" w:eastAsia="Arial" w:hAnsi="Arial"/>
                <w:sz w:val="18"/>
                <w:szCs w:val="18"/>
                <w:color w:val="0000FF"/>
                <w:w w:val="99"/>
              </w:rPr>
              <w:t xml:space="preserve"> </w:t>
            </w:r>
            <w:r>
              <w:rPr>
                <w:rFonts w:ascii="Arial" w:cs="Arial" w:eastAsia="Arial" w:hAnsi="Arial"/>
                <w:sz w:val="18"/>
                <w:szCs w:val="18"/>
                <w:color w:val="000000"/>
                <w:w w:val="99"/>
              </w:rPr>
              <w:t>LLP, Baton</w:t>
            </w:r>
          </w:p>
        </w:tc>
        <w:tc>
          <w:tcPr>
            <w:tcW w:w="6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Rouge, LA, Audit Firm ID: 185)</w:t>
            </w:r>
          </w:p>
        </w:tc>
        <w:tc>
          <w:tcPr>
            <w:tcW w:w="2180" w:type="dxa"/>
            <w:vAlign w:val="bottom"/>
            <w:gridSpan w:val="2"/>
          </w:tcPr>
          <w:p>
            <w:pPr>
              <w:spacing w:after="0"/>
              <w:rPr>
                <w:sz w:val="20"/>
                <w:szCs w:val="20"/>
                <w:color w:val="auto"/>
              </w:rPr>
            </w:pPr>
          </w:p>
        </w:tc>
        <w:tc>
          <w:tcPr>
            <w:tcW w:w="6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29"/>
        </w:trPr>
        <w:tc>
          <w:tcPr>
            <w:tcW w:w="20" w:type="dxa"/>
            <w:vAlign w:val="bottom"/>
          </w:tcPr>
          <w:p>
            <w:pPr>
              <w:spacing w:after="0"/>
              <w:rPr>
                <w:sz w:val="19"/>
                <w:szCs w:val="19"/>
                <w:color w:val="auto"/>
              </w:rPr>
            </w:pPr>
          </w:p>
        </w:tc>
        <w:tc>
          <w:tcPr>
            <w:tcW w:w="10580" w:type="dxa"/>
            <w:vAlign w:val="bottom"/>
            <w:gridSpan w:val="10"/>
          </w:tcPr>
          <w:p>
            <w:pPr>
              <w:spacing w:after="0"/>
              <w:rPr>
                <w:rFonts w:ascii="Arial" w:cs="Arial" w:eastAsia="Arial" w:hAnsi="Arial"/>
                <w:sz w:val="18"/>
                <w:szCs w:val="18"/>
                <w:color w:val="0000FF"/>
                <w:w w:val="95"/>
              </w:rPr>
            </w:pPr>
            <w:hyperlink w:anchor="page83">
              <w:r>
                <w:rPr>
                  <w:rFonts w:ascii="Arial" w:cs="Arial" w:eastAsia="Arial" w:hAnsi="Arial"/>
                  <w:sz w:val="18"/>
                  <w:szCs w:val="18"/>
                  <w:color w:val="0000FF"/>
                  <w:w w:val="95"/>
                </w:rPr>
                <w:t xml:space="preserve">Report of Independent Registered Public Accounting Firm — Opinion on the Consolidated Financial Statements </w:t>
              </w:r>
            </w:hyperlink>
            <w:r>
              <w:rPr>
                <w:rFonts w:ascii="Arial" w:cs="Arial" w:eastAsia="Arial" w:hAnsi="Arial"/>
                <w:sz w:val="18"/>
                <w:szCs w:val="18"/>
                <w:color w:val="000000"/>
                <w:w w:val="95"/>
              </w:rPr>
              <w:t>(KPMG</w:t>
            </w:r>
            <w:r>
              <w:rPr>
                <w:rFonts w:ascii="Arial" w:cs="Arial" w:eastAsia="Arial" w:hAnsi="Arial"/>
                <w:sz w:val="18"/>
                <w:szCs w:val="18"/>
                <w:color w:val="0000FF"/>
                <w:w w:val="95"/>
              </w:rPr>
              <w:t xml:space="preserve"> </w:t>
            </w:r>
            <w:r>
              <w:rPr>
                <w:rFonts w:ascii="Arial" w:cs="Arial" w:eastAsia="Arial" w:hAnsi="Arial"/>
                <w:sz w:val="18"/>
                <w:szCs w:val="18"/>
                <w:color w:val="000000"/>
                <w:w w:val="95"/>
              </w:rPr>
              <w:t>LLP, Baton Rouge,</w:t>
            </w:r>
          </w:p>
        </w:tc>
        <w:tc>
          <w:tcPr>
            <w:tcW w:w="6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LA, Audit Firm ID: 185)</w:t>
            </w:r>
          </w:p>
        </w:tc>
        <w:tc>
          <w:tcPr>
            <w:tcW w:w="2420" w:type="dxa"/>
            <w:vAlign w:val="bottom"/>
            <w:gridSpan w:val="3"/>
          </w:tcPr>
          <w:p>
            <w:pPr>
              <w:spacing w:after="0"/>
              <w:rPr>
                <w:sz w:val="20"/>
                <w:szCs w:val="20"/>
                <w:color w:val="auto"/>
              </w:rPr>
            </w:pPr>
          </w:p>
        </w:tc>
        <w:tc>
          <w:tcPr>
            <w:tcW w:w="6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85">
              <w:r>
                <w:rPr>
                  <w:rFonts w:ascii="Arial" w:cs="Arial" w:eastAsia="Arial" w:hAnsi="Arial"/>
                  <w:sz w:val="18"/>
                  <w:szCs w:val="18"/>
                  <w:color w:val="0000FF"/>
                  <w:w w:val="88"/>
                </w:rPr>
                <w:t xml:space="preserve">Consolidated Balance Sheets as of December 31, </w:t>
              </w:r>
            </w:hyperlink>
            <w:r>
              <w:rPr>
                <w:rFonts w:ascii="Arial" w:cs="Arial" w:eastAsia="Arial" w:hAnsi="Arial"/>
                <w:sz w:val="18"/>
                <w:szCs w:val="18"/>
                <w:color w:val="0000FF"/>
                <w:w w:val="88"/>
              </w:rPr>
              <w:t xml:space="preserve">2021 </w:t>
            </w:r>
            <w:hyperlink w:anchor="page85">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2020</w:t>
            </w:r>
          </w:p>
        </w:tc>
        <w:tc>
          <w:tcPr>
            <w:tcW w:w="5920" w:type="dxa"/>
            <w:vAlign w:val="bottom"/>
            <w:gridSpan w:val="8"/>
          </w:tcPr>
          <w:p>
            <w:pPr>
              <w:spacing w:after="0"/>
              <w:rPr>
                <w:sz w:val="19"/>
                <w:szCs w:val="19"/>
                <w:color w:val="auto"/>
              </w:rPr>
            </w:pPr>
          </w:p>
        </w:tc>
        <w:tc>
          <w:tcPr>
            <w:tcW w:w="6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 xml:space="preserve">Consolidated Statements of Income and Comprehensive Income for the years ended December 31, </w:t>
              </w:r>
            </w:hyperlink>
            <w:r>
              <w:rPr>
                <w:rFonts w:ascii="Arial" w:cs="Arial" w:eastAsia="Arial" w:hAnsi="Arial"/>
                <w:sz w:val="18"/>
                <w:szCs w:val="18"/>
                <w:color w:val="0000FF"/>
                <w:w w:val="89"/>
              </w:rPr>
              <w:t xml:space="preserve">2021, 2020 </w:t>
            </w:r>
            <w:hyperlink w:anchor="page86">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1860" w:type="dxa"/>
            <w:vAlign w:val="bottom"/>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250"/>
        </w:trPr>
        <w:tc>
          <w:tcPr>
            <w:tcW w:w="20" w:type="dxa"/>
            <w:vAlign w:val="bottom"/>
          </w:tcPr>
          <w:p>
            <w:pPr>
              <w:spacing w:after="0"/>
              <w:rPr>
                <w:sz w:val="21"/>
                <w:szCs w:val="21"/>
                <w:color w:val="auto"/>
              </w:rPr>
            </w:pPr>
          </w:p>
        </w:tc>
        <w:tc>
          <w:tcPr>
            <w:tcW w:w="76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 xml:space="preserve">Consolidated Statements of Stockholders’ Equity for the years ended December 31, </w:t>
              </w:r>
            </w:hyperlink>
            <w:r>
              <w:rPr>
                <w:rFonts w:ascii="Arial" w:cs="Arial" w:eastAsia="Arial" w:hAnsi="Arial"/>
                <w:sz w:val="18"/>
                <w:szCs w:val="18"/>
                <w:color w:val="0000FF"/>
                <w:w w:val="89"/>
              </w:rPr>
              <w:t xml:space="preserve">2021, 2020 </w:t>
            </w:r>
            <w:hyperlink w:anchor="page87">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2980" w:type="dxa"/>
            <w:vAlign w:val="bottom"/>
            <w:gridSpan w:val="5"/>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2021, 2020 </w:t>
            </w:r>
            <w:hyperlink w:anchor="page88">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3660" w:type="dxa"/>
            <w:vAlign w:val="bottom"/>
            <w:gridSpan w:val="6"/>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Notes to Consolidated Financial Statements</w:t>
              </w:r>
            </w:hyperlink>
          </w:p>
        </w:tc>
        <w:tc>
          <w:tcPr>
            <w:tcW w:w="7420" w:type="dxa"/>
            <w:vAlign w:val="bottom"/>
            <w:gridSpan w:val="9"/>
          </w:tcPr>
          <w:p>
            <w:pPr>
              <w:spacing w:after="0"/>
              <w:rPr>
                <w:sz w:val="21"/>
                <w:szCs w:val="21"/>
                <w:color w:val="auto"/>
              </w:rPr>
            </w:pPr>
          </w:p>
        </w:tc>
        <w:tc>
          <w:tcPr>
            <w:tcW w:w="6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 xml:space="preserve">Schedule II — Valuation and Qualifying Accounts for the years ended December 31, </w:t>
              </w:r>
            </w:hyperlink>
            <w:r>
              <w:rPr>
                <w:rFonts w:ascii="Arial" w:cs="Arial" w:eastAsia="Arial" w:hAnsi="Arial"/>
                <w:sz w:val="18"/>
                <w:szCs w:val="18"/>
                <w:color w:val="0000FF"/>
              </w:rPr>
              <w:t xml:space="preserve">2021, 2020 </w:t>
            </w:r>
            <w:hyperlink w:anchor="page100">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0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78</w:t>
              </w:r>
            </w:hyperlink>
          </w:p>
        </w:tc>
      </w:tr>
      <w:tr>
        <w:trPr>
          <w:trHeight w:val="20"/>
        </w:trPr>
        <w:tc>
          <w:tcPr>
            <w:tcW w:w="20" w:type="dxa"/>
            <w:vAlign w:val="bottom"/>
          </w:tcPr>
          <w:p>
            <w:pPr>
              <w:spacing w:after="0" w:line="20" w:lineRule="exact"/>
              <w:rPr>
                <w:sz w:val="1"/>
                <w:szCs w:val="1"/>
                <w:color w:val="auto"/>
              </w:rPr>
            </w:pPr>
          </w:p>
        </w:tc>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 xml:space="preserve">Schedule III — Schedule of Real Estate and Accumulated Depreciation as of December 31, </w:t>
              </w:r>
            </w:hyperlink>
            <w:r>
              <w:rPr>
                <w:rFonts w:ascii="Arial" w:cs="Arial" w:eastAsia="Arial" w:hAnsi="Arial"/>
                <w:sz w:val="18"/>
                <w:szCs w:val="18"/>
                <w:color w:val="0000FF"/>
              </w:rPr>
              <w:t xml:space="preserve">2021, 2020 </w:t>
            </w:r>
            <w:hyperlink w:anchor="page101">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0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 xml:space="preserve">Lamar Advertising’s management assessed the effectiveness of Lamar Advertising’s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Lamar Advertising’s management has concluded that, as of December 31, 2021, Lamar Advertising’s internal control over financial reporting is effective based on those criteria. The effectiveness of Lamar Advertising’s internal control over financial reporting as of December 31, 2021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Lamar Advertising Company and subsidiaries' (the Company)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and comprehensive income, stockholders’ equity, and cash flows for each of the years in the three-year period ended December 31, 2021, and the related notes and financial statement schedules II to III (collectively, the consolidated financial statements), and our report dated February 25, 2022 expressed an unqualified opinion on those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Lamar Advertising Company and subsidiaries (the Company) as of December 31, 2021 and 2020, the related consolidated statements of income and comprehensive income, stockholders’ equity, and cash flows for each of the years in the three-year period ended December 31, 2021, and the related notes and financial statement schedules II to III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25, 2022 expressed an unqualified opinion on</w:t>
      </w:r>
    </w:p>
    <w:p>
      <w:pPr>
        <w:spacing w:after="0"/>
        <w:rPr>
          <w:sz w:val="20"/>
          <w:szCs w:val="20"/>
          <w:color w:val="auto"/>
        </w:rPr>
      </w:pPr>
      <w:r>
        <w:rPr>
          <w:rFonts w:ascii="Arial" w:cs="Arial" w:eastAsia="Arial" w:hAnsi="Arial"/>
          <w:sz w:val="18"/>
          <w:szCs w:val="18"/>
          <w:color w:val="auto"/>
        </w:rPr>
        <w:t>the effectiveness of the Company’s internal control over financial reporting</w:t>
      </w:r>
      <w:r>
        <w:rPr>
          <w:rFonts w:ascii="Arial" w:cs="Arial" w:eastAsia="Arial" w:hAnsi="Arial"/>
          <w:sz w:val="21"/>
          <w:szCs w:val="21"/>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providing a separate opinion on the critical audit matter or on the accounts or disclosures to which it relates</w:t>
      </w:r>
      <w:r>
        <w:rPr>
          <w:rFonts w:ascii="Arial" w:cs="Arial" w:eastAsia="Arial" w:hAnsi="Arial"/>
          <w:sz w:val="21"/>
          <w:szCs w:val="21"/>
          <w:color w:val="auto"/>
        </w:rPr>
        <w: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Assessment of the accounting lease term for the portfolio of billboard land leases</w:t>
      </w:r>
    </w:p>
    <w:p>
      <w:pPr>
        <w:spacing w:after="0" w:line="225"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 xml:space="preserve">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over 69,000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215"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7" w:name="page48"/>
    <w:bookmarkEnd w:id="47"/>
    <w:p>
      <w:pPr>
        <w:jc w:val="both"/>
        <w:ind w:left="580"/>
        <w:spacing w:after="0" w:line="263" w:lineRule="auto"/>
        <w:rPr>
          <w:sz w:val="20"/>
          <w:szCs w:val="20"/>
          <w:color w:val="auto"/>
        </w:rPr>
      </w:pPr>
      <w:r>
        <w:rPr>
          <w:rFonts w:ascii="Arial" w:cs="Arial" w:eastAsia="Arial" w:hAnsi="Arial"/>
          <w:sz w:val="18"/>
          <w:szCs w:val="18"/>
          <w:color w:val="auto"/>
        </w:rPr>
        <w:t>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211" w:lineRule="exact"/>
        <w:rPr>
          <w:sz w:val="20"/>
          <w:szCs w:val="20"/>
          <w:color w:val="auto"/>
        </w:rPr>
      </w:pPr>
    </w:p>
    <w:p>
      <w:pPr>
        <w:jc w:val="both"/>
        <w:ind w:left="580"/>
        <w:spacing w:after="0" w:line="287"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 and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440" w:type="dxa"/>
            <w:vAlign w:val="bottom"/>
            <w:shd w:val="clear" w:color="auto" w:fill="CFF0FC"/>
          </w:tcPr>
          <w:p>
            <w:pPr>
              <w:ind w:left="39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121,569</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w w:val="93"/>
              </w:rPr>
              <w:t>Receivables, net of allowance for doubtful accounts of $11,195 and $14,946 as of 2021 and 2020,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240,854</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388,607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380,570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3,615,505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(2,445,014)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(2,333,656)</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1,337,274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1,281,849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1,224,672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Goodwill (note 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1,936,426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1,912,328</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 (note 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1,045,177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914,446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6,047,494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5,791,441</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8"/>
              </w:rPr>
              <w:t>Current maturities of long-term debt, net of deferred financing costs of $585 and $445 in 2021 and 2020,</w:t>
            </w: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174,778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respectively (note 9)</w:t>
            </w: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Current 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195,439</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(note 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105,288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137,103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662,965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547,872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Long-term debt, net of deferred financing costs of $36,274 and $39,672 in 2021 and 2020, respectively (note 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2,838,817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993,776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 liabilities (note 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retirement obligation (note 10)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269,367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4,830,405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4,588,673</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 (note 14):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0"/>
              </w:rPr>
              <w:t>Series AA preferred stock, par value $0.001, $63.80 cumulative dividends, authorized 5,720 shares; 5,720 shares</w:t>
            </w:r>
          </w:p>
        </w:tc>
        <w:tc>
          <w:tcPr>
            <w:tcW w:w="28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issued and outstanding at 2021 and 2020</w:t>
            </w:r>
          </w:p>
        </w:tc>
        <w:tc>
          <w:tcPr>
            <w:tcW w:w="28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260"/>
              <w:spacing w:after="0" w:line="176" w:lineRule="exact"/>
              <w:rPr>
                <w:sz w:val="20"/>
                <w:szCs w:val="20"/>
                <w:color w:val="auto"/>
              </w:rPr>
            </w:pPr>
            <w:r>
              <w:rPr>
                <w:rFonts w:ascii="Arial" w:cs="Arial" w:eastAsia="Arial" w:hAnsi="Arial"/>
                <w:sz w:val="18"/>
                <w:szCs w:val="18"/>
                <w:color w:val="auto"/>
                <w:w w:val="93"/>
              </w:rPr>
              <w:t>Class A common stock, par value $0.001, 362,500,000 shares authorized, 87,540,838 and 87,111,327 shares</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8440" w:type="dxa"/>
            <w:vAlign w:val="bottom"/>
          </w:tcPr>
          <w:p>
            <w:pPr>
              <w:ind w:left="520"/>
              <w:spacing w:after="0"/>
              <w:rPr>
                <w:sz w:val="20"/>
                <w:szCs w:val="20"/>
                <w:color w:val="auto"/>
              </w:rPr>
            </w:pPr>
            <w:r>
              <w:rPr>
                <w:rFonts w:ascii="Arial" w:cs="Arial" w:eastAsia="Arial" w:hAnsi="Arial"/>
                <w:sz w:val="18"/>
                <w:szCs w:val="18"/>
                <w:color w:val="auto"/>
              </w:rPr>
              <w:t>issued and 86,852,821 and 86,491,646 outstanding at 2021 and 2020, respectively</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8"/>
              </w:rPr>
              <w:t>Class B common stock, par value $0.001, 37,500,000 shares authorized, 14,420,085 shares issued and</w:t>
            </w: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outstanding at 2021 and 2020</w:t>
            </w: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2,001,399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1,963,850</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comprehensive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(734,415)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(717,331)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shares held in treasury, 688,017 and 619,681 shares in 2021 and 2020,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(44,786)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1,217,089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1,202,768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6,047,494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5,791,441</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 (note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1,787,401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1,568,856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1,753,644</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557,661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590,078</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326,951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318,380</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Corporate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 (note 11)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271,294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250,028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Gain on disposition of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1,266,214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1,158,749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1,235,903</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517,741</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137,623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150,616</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in earnings of investee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123,841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162,061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149,852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(note 12)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372,111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stock dividends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applicable to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371,746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101,133,269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100,756,361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100,130,721</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101,349,865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100,902,700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100,320,574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388,090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243,386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372,111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372,784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760" w:type="dxa"/>
            <w:vAlign w:val="bottom"/>
            <w:vMerge w:val="restart"/>
          </w:tcPr>
          <w:p>
            <w:pPr>
              <w:jc w:val="center"/>
              <w:ind w:left="117"/>
              <w:spacing w:after="0"/>
              <w:rPr>
                <w:sz w:val="20"/>
                <w:szCs w:val="20"/>
                <w:color w:val="auto"/>
              </w:rPr>
            </w:pPr>
            <w:r>
              <w:rPr>
                <w:rFonts w:ascii="Arial" w:cs="Arial" w:eastAsia="Arial" w:hAnsi="Arial"/>
                <w:sz w:val="13"/>
                <w:szCs w:val="13"/>
                <w:b w:val="1"/>
                <w:bCs w:val="1"/>
                <w:color w:val="auto"/>
                <w:w w:val="87"/>
              </w:rPr>
              <w:t>Series AA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left="157"/>
              <w:spacing w:after="0"/>
              <w:rPr>
                <w:sz w:val="20"/>
                <w:szCs w:val="20"/>
                <w:color w:val="auto"/>
              </w:rPr>
            </w:pPr>
            <w:r>
              <w:rPr>
                <w:rFonts w:ascii="Arial" w:cs="Arial" w:eastAsia="Arial" w:hAnsi="Arial"/>
                <w:sz w:val="13"/>
                <w:szCs w:val="13"/>
                <w:b w:val="1"/>
                <w:bCs w:val="1"/>
                <w:color w:val="auto"/>
                <w:w w:val="83"/>
              </w:rPr>
              <w:t>Class A</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ind w:left="177"/>
              <w:spacing w:after="0"/>
              <w:rPr>
                <w:sz w:val="20"/>
                <w:szCs w:val="20"/>
                <w:color w:val="auto"/>
              </w:rPr>
            </w:pPr>
            <w:r>
              <w:rPr>
                <w:rFonts w:ascii="Arial" w:cs="Arial" w:eastAsia="Arial" w:hAnsi="Arial"/>
                <w:sz w:val="13"/>
                <w:szCs w:val="13"/>
                <w:b w:val="1"/>
                <w:bCs w:val="1"/>
                <w:color w:val="auto"/>
                <w:w w:val="87"/>
              </w:rPr>
              <w:t>Class B</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Add’l</w:t>
            </w:r>
          </w:p>
        </w:tc>
        <w:tc>
          <w:tcPr>
            <w:tcW w:w="13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Treasury</w:t>
            </w:r>
          </w:p>
        </w:tc>
        <w:tc>
          <w:tcPr>
            <w:tcW w:w="1080" w:type="dxa"/>
            <w:vAlign w:val="bottom"/>
            <w:gridSpan w:val="2"/>
            <w:vMerge w:val="continue"/>
          </w:tcPr>
          <w:p>
            <w:pPr>
              <w:spacing w:after="0"/>
              <w:rPr>
                <w:sz w:val="10"/>
                <w:szCs w:val="10"/>
                <w:color w:val="auto"/>
              </w:rPr>
            </w:pPr>
          </w:p>
        </w:tc>
        <w:tc>
          <w:tcPr>
            <w:tcW w:w="13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7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2"/>
              </w:rPr>
              <w:t>PREF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rPr>
              <w:t>CMN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rPr>
              <w:t>CMN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Paid in</w:t>
            </w:r>
          </w:p>
        </w:tc>
        <w:tc>
          <w:tcPr>
            <w:tcW w:w="13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Income</w:t>
            </w:r>
          </w:p>
        </w:tc>
        <w:tc>
          <w:tcPr>
            <w:tcW w:w="1220" w:type="dxa"/>
            <w:vAlign w:val="bottom"/>
            <w:gridSpan w:val="2"/>
            <w:vMerge w:val="continue"/>
          </w:tcPr>
          <w:p>
            <w:pPr>
              <w:spacing w:after="0"/>
              <w:rPr>
                <w:sz w:val="10"/>
                <w:szCs w:val="10"/>
                <w:color w:val="auto"/>
              </w:rPr>
            </w:pPr>
          </w:p>
        </w:tc>
        <w:tc>
          <w:tcPr>
            <w:tcW w:w="98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760" w:type="dxa"/>
            <w:vAlign w:val="bottom"/>
          </w:tcPr>
          <w:p>
            <w:pPr>
              <w:jc w:val="center"/>
              <w:ind w:left="117"/>
              <w:spacing w:after="0"/>
              <w:rPr>
                <w:sz w:val="20"/>
                <w:szCs w:val="20"/>
                <w:color w:val="auto"/>
              </w:rPr>
            </w:pPr>
            <w:r>
              <w:rPr>
                <w:rFonts w:ascii="Arial" w:cs="Arial" w:eastAsia="Arial" w:hAnsi="Arial"/>
                <w:sz w:val="13"/>
                <w:szCs w:val="13"/>
                <w:b w:val="1"/>
                <w:bCs w:val="1"/>
                <w:color w:val="auto"/>
                <w:w w:val="84"/>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left="177"/>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left="177"/>
              <w:spacing w:after="0"/>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340"/>
              <w:spacing w:after="0"/>
              <w:rPr>
                <w:sz w:val="20"/>
                <w:szCs w:val="20"/>
                <w:color w:val="auto"/>
              </w:rPr>
            </w:pPr>
            <w:r>
              <w:rPr>
                <w:rFonts w:ascii="Arial" w:cs="Arial" w:eastAsia="Arial" w:hAnsi="Arial"/>
                <w:sz w:val="13"/>
                <w:szCs w:val="13"/>
                <w:b w:val="1"/>
                <w:bCs w:val="1"/>
                <w:color w:val="auto"/>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(Loss)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 December 31, 2018</w:t>
            </w:r>
          </w:p>
        </w:tc>
        <w:tc>
          <w:tcPr>
            <w:tcW w:w="76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86</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14</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(25,412)</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1,852,421</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(695,337)</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1,131,784</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Non-cash compensation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4,604</w:t>
            </w: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4,604</w:t>
            </w: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6"/>
              </w:rPr>
              <w:t>Issuance of 302,507 shares of common</w:t>
            </w:r>
          </w:p>
        </w:tc>
        <w:tc>
          <w:tcPr>
            <w:tcW w:w="7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20,956</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20,956</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through stock awards</w:t>
            </w:r>
          </w:p>
        </w:tc>
        <w:tc>
          <w:tcPr>
            <w:tcW w:w="76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rPr>
              <w:t>Exercise of 340,684 shares of stock</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14,984</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14,984</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options</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6"/>
              </w:rPr>
              <w:t>Issuance of 129,972 shares of common</w:t>
            </w:r>
          </w:p>
        </w:tc>
        <w:tc>
          <w:tcPr>
            <w:tcW w:w="7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8,060</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8,060</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stock through employee purchase plan</w:t>
            </w:r>
          </w:p>
        </w:tc>
        <w:tc>
          <w:tcPr>
            <w:tcW w:w="76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w w:val="96"/>
              </w:rPr>
              <w:t>Issuance of 266,410 shares of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21,197</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21,198</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stock for cash</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6"/>
              </w:rPr>
              <w:t>Purchase of 114,295 shares of treasury</w:t>
            </w:r>
          </w:p>
        </w:tc>
        <w:tc>
          <w:tcPr>
            <w:tcW w:w="7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(8,882)</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(8,882)</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w:t>
            </w:r>
          </w:p>
        </w:tc>
        <w:tc>
          <w:tcPr>
            <w:tcW w:w="76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Foreign currency translation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673</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673</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372,111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372,111</w:t>
            </w: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rPr>
              <w:t>Dividends/distributions to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(384,817)</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(384,817)</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w w:val="94"/>
              </w:rPr>
              <w:t>shareholders ($3.84 per common share)</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Dividends ($63.80 per preferred share)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1"/>
        </w:trPr>
        <w:tc>
          <w:tcPr>
            <w:tcW w:w="2320" w:type="dxa"/>
            <w:vAlign w:val="bottom"/>
          </w:tcPr>
          <w:p>
            <w:pPr>
              <w:ind w:left="20"/>
              <w:spacing w:after="0" w:line="141" w:lineRule="exact"/>
              <w:rPr>
                <w:sz w:val="20"/>
                <w:szCs w:val="20"/>
                <w:color w:val="auto"/>
              </w:rPr>
            </w:pPr>
            <w:r>
              <w:rPr>
                <w:rFonts w:ascii="Arial" w:cs="Arial" w:eastAsia="Arial" w:hAnsi="Arial"/>
                <w:sz w:val="13"/>
                <w:szCs w:val="13"/>
                <w:color w:val="auto"/>
              </w:rPr>
              <w:t>Balance, December 31, 2019</w:t>
            </w:r>
          </w:p>
        </w:tc>
        <w:tc>
          <w:tcPr>
            <w:tcW w:w="76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87</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(34,294)</w:t>
            </w:r>
          </w:p>
        </w:tc>
        <w:tc>
          <w:tcPr>
            <w:tcW w:w="1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1,922,222</w:t>
            </w:r>
          </w:p>
        </w:tc>
        <w:tc>
          <w:tcPr>
            <w:tcW w:w="12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(708,408)</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1,180,306</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Non-cash compensation</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4,669</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4,669</w:t>
            </w: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w w:val="96"/>
              </w:rPr>
              <w:t>Issuance of 298,124 shares of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25,811</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25,811</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stock through stock awards</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0"/>
              </w:rPr>
              <w:t>Exercise of 61,949 shares of stock options</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w w:val="96"/>
              </w:rPr>
              <w:t>Issuance of 154,756 shares of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8,010</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8,010</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w w:val="98"/>
              </w:rPr>
              <w:t>stock through employee purchase plan</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w w:val="96"/>
              </w:rPr>
              <w:t>Purchase of 116,483 shares of treasury</w:t>
            </w:r>
          </w:p>
        </w:tc>
        <w:tc>
          <w:tcPr>
            <w:tcW w:w="7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(10,492)</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(10,492)</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w:t>
            </w:r>
          </w:p>
        </w:tc>
        <w:tc>
          <w:tcPr>
            <w:tcW w:w="76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80"/>
              <w:spacing w:after="0"/>
              <w:rPr>
                <w:sz w:val="20"/>
                <w:szCs w:val="20"/>
                <w:color w:val="auto"/>
              </w:rPr>
            </w:pPr>
            <w:r>
              <w:rPr>
                <w:rFonts w:ascii="Arial" w:cs="Arial" w:eastAsia="Arial" w:hAnsi="Arial"/>
                <w:sz w:val="13"/>
                <w:szCs w:val="13"/>
                <w:color w:val="auto"/>
              </w:rPr>
              <w:t>Foreign currency translation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243,386</w:t>
            </w: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rPr>
              <w:t>Dividends/distributions to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(251,944)</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(251,944)</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w w:val="94"/>
              </w:rPr>
              <w:t>shareholders ($2.50 per common share)</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Dividends ($63.80 per preferred share)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1"/>
        </w:trPr>
        <w:tc>
          <w:tcPr>
            <w:tcW w:w="2320" w:type="dxa"/>
            <w:vAlign w:val="bottom"/>
          </w:tcPr>
          <w:p>
            <w:pPr>
              <w:ind w:left="20"/>
              <w:spacing w:after="0" w:line="141" w:lineRule="exact"/>
              <w:rPr>
                <w:sz w:val="20"/>
                <w:szCs w:val="20"/>
                <w:color w:val="auto"/>
              </w:rPr>
            </w:pPr>
            <w:r>
              <w:rPr>
                <w:rFonts w:ascii="Arial" w:cs="Arial" w:eastAsia="Arial" w:hAnsi="Arial"/>
                <w:sz w:val="13"/>
                <w:szCs w:val="13"/>
                <w:color w:val="auto"/>
              </w:rPr>
              <w:t>Balance, December 31, 2020</w:t>
            </w:r>
          </w:p>
        </w:tc>
        <w:tc>
          <w:tcPr>
            <w:tcW w:w="760" w:type="dxa"/>
            <w:vAlign w:val="bottom"/>
            <w:tcBorders>
              <w:top w:val="single" w:sz="8" w:color="auto"/>
            </w:tcBorders>
          </w:tcPr>
          <w:p>
            <w:pPr>
              <w:jc w:val="right"/>
              <w:ind w:right="617"/>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87</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(44,786)</w:t>
            </w:r>
          </w:p>
        </w:tc>
        <w:tc>
          <w:tcPr>
            <w:tcW w:w="1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1,963,850</w:t>
            </w:r>
          </w:p>
        </w:tc>
        <w:tc>
          <w:tcPr>
            <w:tcW w:w="120" w:type="dxa"/>
            <w:vAlign w:val="bottom"/>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934</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(717,331)</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1,202,768</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Non-cash compensation</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4,942</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4,942</w:t>
            </w: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w w:val="96"/>
              </w:rPr>
              <w:t>Issuance of 158,985 shares of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13,565</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13,566</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stock through stock awards</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Exercise of 156,491 shares of stock</w:t>
            </w:r>
          </w:p>
        </w:tc>
        <w:tc>
          <w:tcPr>
            <w:tcW w:w="7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10,170</w:t>
            </w:r>
          </w:p>
        </w:tc>
        <w:tc>
          <w:tcPr>
            <w:tcW w:w="12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10,170</w:t>
            </w: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options</w:t>
            </w:r>
          </w:p>
        </w:tc>
        <w:tc>
          <w:tcPr>
            <w:tcW w:w="76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w w:val="96"/>
              </w:rPr>
              <w:t>Issuance of 114,035 shares of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8,872</w:t>
            </w:r>
          </w:p>
        </w:tc>
        <w:tc>
          <w:tcPr>
            <w:tcW w:w="12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8,872</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w w:val="98"/>
              </w:rPr>
              <w:t>stock through employee purchase plan</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6"/>
              </w:rPr>
              <w:t>Purchase of 68,336 shares of treasury stock</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(6,066)</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(6,066)</w:t>
            </w:r>
          </w:p>
        </w:tc>
        <w:tc>
          <w:tcPr>
            <w:tcW w:w="0" w:type="dxa"/>
            <w:vAlign w:val="bottom"/>
          </w:tcPr>
          <w:p>
            <w:pPr>
              <w:spacing w:after="0"/>
              <w:rPr>
                <w:sz w:val="1"/>
                <w:szCs w:val="1"/>
                <w:color w:val="auto"/>
              </w:rPr>
            </w:pPr>
          </w:p>
        </w:tc>
      </w:tr>
      <w:tr>
        <w:trPr>
          <w:trHeight w:val="168"/>
        </w:trPr>
        <w:tc>
          <w:tcPr>
            <w:tcW w:w="2320" w:type="dxa"/>
            <w:vAlign w:val="bottom"/>
          </w:tcPr>
          <w:p>
            <w:pPr>
              <w:ind w:left="80"/>
              <w:spacing w:after="0"/>
              <w:rPr>
                <w:sz w:val="20"/>
                <w:szCs w:val="20"/>
                <w:color w:val="auto"/>
              </w:rPr>
            </w:pPr>
            <w:r>
              <w:rPr>
                <w:rFonts w:ascii="Arial" w:cs="Arial" w:eastAsia="Arial" w:hAnsi="Arial"/>
                <w:sz w:val="13"/>
                <w:szCs w:val="13"/>
                <w:color w:val="auto"/>
              </w:rPr>
              <w:t>Foreign currency translation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388,090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388,090</w:t>
            </w: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Arial" w:cs="Arial" w:eastAsia="Arial" w:hAnsi="Arial"/>
                <w:sz w:val="13"/>
                <w:szCs w:val="13"/>
                <w:color w:val="auto"/>
              </w:rPr>
              <w:t>Dividends/distributions to common</w:t>
            </w:r>
          </w:p>
        </w:tc>
        <w:tc>
          <w:tcPr>
            <w:tcW w:w="76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(404,809)</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(404,809)</w:t>
            </w:r>
          </w:p>
        </w:tc>
        <w:tc>
          <w:tcPr>
            <w:tcW w:w="0" w:type="dxa"/>
            <w:vAlign w:val="bottom"/>
          </w:tcPr>
          <w:p>
            <w:pPr>
              <w:spacing w:after="0"/>
              <w:rPr>
                <w:sz w:val="1"/>
                <w:szCs w:val="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w w:val="94"/>
              </w:rPr>
              <w:t>shareholders ($4.00 per common share)</w:t>
            </w:r>
          </w:p>
        </w:tc>
        <w:tc>
          <w:tcPr>
            <w:tcW w:w="7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Dividends ($63.80 per preferred share)</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63"/>
        </w:trPr>
        <w:tc>
          <w:tcPr>
            <w:tcW w:w="2320" w:type="dxa"/>
            <w:vAlign w:val="bottom"/>
          </w:tcPr>
          <w:p>
            <w:pPr>
              <w:ind w:left="20"/>
              <w:spacing w:after="0" w:line="141" w:lineRule="exact"/>
              <w:rPr>
                <w:sz w:val="20"/>
                <w:szCs w:val="20"/>
                <w:color w:val="auto"/>
              </w:rPr>
            </w:pPr>
            <w:r>
              <w:rPr>
                <w:rFonts w:ascii="Arial" w:cs="Arial" w:eastAsia="Arial" w:hAnsi="Arial"/>
                <w:sz w:val="13"/>
                <w:szCs w:val="13"/>
                <w:color w:val="auto"/>
              </w:rPr>
              <w:t>Balance, December 31, 2021</w:t>
            </w:r>
          </w:p>
        </w:tc>
        <w:tc>
          <w:tcPr>
            <w:tcW w:w="7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88</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(50,852)</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2,001,399</w:t>
            </w:r>
          </w:p>
        </w:tc>
        <w:tc>
          <w:tcPr>
            <w:tcW w:w="1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855</w:t>
            </w:r>
          </w:p>
        </w:tc>
        <w:tc>
          <w:tcPr>
            <w:tcW w:w="1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(734,415)</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1,217,089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LAMAR ADVERTISING COMPANY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Years Ended December 31, 2021, 2020 and 2019</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75"/>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388,090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243,386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372,111</w:t>
            </w:r>
          </w:p>
        </w:tc>
      </w:tr>
      <w:tr>
        <w:trPr>
          <w:trHeight w:val="192"/>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271,294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251,296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250,028</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29,647</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5,365</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disposition of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25,235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of investee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Deferred income tax expense (benefit)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(14,130)</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doubtful accounts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10,608</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(Increase) decrease in: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(28,357)</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(11,257)</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Increase (decrease) in: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r>
      <w:tr>
        <w:trPr>
          <w:trHeight w:val="186"/>
        </w:trPr>
        <w:tc>
          <w:tcPr>
            <w:tcW w:w="7000" w:type="dxa"/>
            <w:vAlign w:val="bottom"/>
          </w:tcPr>
          <w:p>
            <w:pPr>
              <w:ind w:left="46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24,549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9,102</w:t>
            </w:r>
          </w:p>
        </w:tc>
      </w:tr>
      <w:tr>
        <w:trPr>
          <w:trHeight w:val="192"/>
        </w:trPr>
        <w:tc>
          <w:tcPr>
            <w:tcW w:w="70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15,611</w:t>
            </w:r>
          </w:p>
        </w:tc>
      </w:tr>
      <w:tr>
        <w:trPr>
          <w:trHeight w:val="179"/>
        </w:trPr>
        <w:tc>
          <w:tcPr>
            <w:tcW w:w="70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Cash flows provided by operating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734,417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569,873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630,865</w:t>
            </w:r>
          </w:p>
        </w:tc>
      </w:tr>
      <w:tr>
        <w:trPr>
          <w:trHeight w:val="172"/>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(126,090)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(140,956)</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(226,278)</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Payment for investments in equity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Decrease (increase) in notes receivable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Proceeds received from property insurance claims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disposition of assets and investments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10,968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5,438</w:t>
            </w:r>
          </w:p>
        </w:tc>
      </w:tr>
      <w:tr>
        <w:trPr>
          <w:trHeight w:val="179"/>
        </w:trPr>
        <w:tc>
          <w:tcPr>
            <w:tcW w:w="70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Cash flows used in investing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(461,760)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(362,034)</w:t>
            </w:r>
          </w:p>
        </w:tc>
      </w:tr>
      <w:tr>
        <w:trPr>
          <w:trHeight w:val="172"/>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Net proceeds from issuance of common stock</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11,148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44,262</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used for purchase of treasury shares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(8,882)</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Proceeds received from revolving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725,000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495,000</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Payments on revolving credit facility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(625,000)</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Principal payments on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(34,471)</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Borrowings on long-term debt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Principal payments on financing leases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received from senior credit facility term loans</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598,500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Payments on senior credit facility term loans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(978,097)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received from accounts receivable securitization program</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Payments on accounts receivable securitization program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(127,500)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received from note offering</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Redemption of senior notes and senior subordinated notes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(668,688)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(1,058,596)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issuance costs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Distributions to non-controlling interest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(621)</w:t>
            </w:r>
          </w:p>
        </w:tc>
      </w:tr>
      <w:tr>
        <w:trPr>
          <w:trHeight w:val="192"/>
        </w:trPr>
        <w:tc>
          <w:tcPr>
            <w:tcW w:w="7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Dividends/distributions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(405,174)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(252,309)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(385,182)</w:t>
            </w:r>
          </w:p>
        </w:tc>
      </w:tr>
      <w:tr>
        <w:trPr>
          <w:trHeight w:val="179"/>
        </w:trPr>
        <w:tc>
          <w:tcPr>
            <w:tcW w:w="70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Cash flows used in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(264,357)</w:t>
            </w:r>
          </w:p>
        </w:tc>
      </w:tr>
      <w:tr>
        <w:trPr>
          <w:trHeight w:val="186"/>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in cash and cash equivalents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79"/>
        </w:trPr>
        <w:tc>
          <w:tcPr>
            <w:tcW w:w="7000" w:type="dxa"/>
            <w:vAlign w:val="bottom"/>
          </w:tcPr>
          <w:p>
            <w:pPr>
              <w:ind w:left="66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95,381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4,694</w:t>
            </w:r>
          </w:p>
        </w:tc>
      </w:tr>
      <w:tr>
        <w:trPr>
          <w:trHeight w:val="192"/>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121,569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26,188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21,494</w:t>
            </w:r>
          </w:p>
        </w:tc>
      </w:tr>
      <w:tr>
        <w:trPr>
          <w:trHeight w:val="179"/>
        </w:trPr>
        <w:tc>
          <w:tcPr>
            <w:tcW w:w="700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121,569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26,188</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9"/>
        </w:trPr>
        <w:tc>
          <w:tcPr>
            <w:tcW w:w="7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Supplemental disclosures of cash flow information:</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7000" w:type="dxa"/>
            <w:vAlign w:val="bottom"/>
          </w:tcPr>
          <w:p>
            <w:pPr>
              <w:spacing w:after="0"/>
              <w:rPr>
                <w:sz w:val="20"/>
                <w:szCs w:val="20"/>
                <w:color w:val="auto"/>
              </w:rPr>
            </w:pPr>
            <w:r>
              <w:rPr>
                <w:rFonts w:ascii="Arial" w:cs="Arial" w:eastAsia="Arial" w:hAnsi="Arial"/>
                <w:sz w:val="14"/>
                <w:szCs w:val="14"/>
                <w:color w:val="auto"/>
              </w:rPr>
              <w:t>Cash paid for interest</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112,080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130,864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139,585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state and federal 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Lamar Advertising Company (the Company) is engaged in the outdoor advertising business, operating approximately 153,800 billboard advertising displays in 45 states and Canada. The Company’s operating strategy is to be the leading provider of outdoor advertising services in the markets it serves.</w:t>
      </w:r>
    </w:p>
    <w:p>
      <w:pPr>
        <w:spacing w:after="0" w:line="12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In addition, the Company operates a logo sign business in 23 states throughout the United States and the province of Ontario, Canada and operates approximately 46,600 transit advertising displays in 23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accompanying consolidated financial statements include Lamar Advertising Company, its wholly owned subsidiary, Lamar Media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(Lamar Media), and its majority-owned subsidiaries. All inter-company transactions and balances have been eliminated in consolidation.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 operating segment is a component of an enterprise:</w:t>
      </w:r>
    </w:p>
    <w:p>
      <w:pPr>
        <w:spacing w:after="0" w:line="117"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w:t>
      </w:r>
    </w:p>
    <w:p>
      <w:pPr>
        <w:spacing w:after="0" w:line="117" w:lineRule="exact"/>
        <w:rPr>
          <w:rFonts w:ascii="Arial" w:cs="Arial" w:eastAsia="Arial" w:hAnsi="Arial"/>
          <w:sz w:val="18"/>
          <w:szCs w:val="18"/>
          <w:color w:val="auto"/>
        </w:rPr>
      </w:pPr>
    </w:p>
    <w:p>
      <w:pPr>
        <w:ind w:left="1140" w:hanging="565"/>
        <w:spacing w:after="0" w:line="27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to make decisions about resources to be allocated to the segment and assess its performance; and</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22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We define the term ‘chief operating decision maker’ to be our executive management group, which consist of our Executive Chairman, President and Chief Executive Officer,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8"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We operate in a single operating and reporting segment, advertising. We rent advertising space on billboards, buses, shelters, benches, logo plates and in airport terminals.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Property, Plant and Equipment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Property, plant and equipment are stated at cost. Depreciation is calculated using the straight-line method over the estimated useful lives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Goodwill and Intangible Assets</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two reporting units, Billboard operations and Logo operations, by assigning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184"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64"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2021 and 2020; therefore, the Company was not required to recognize an impairment loss.</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of Long-Lived Assets</w:t>
      </w:r>
    </w:p>
    <w:p>
      <w:pPr>
        <w:spacing w:after="0" w:line="117"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Acquisitions</w:t>
      </w:r>
    </w:p>
    <w:p>
      <w:pPr>
        <w:spacing w:after="0" w:line="117"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81"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Lease Liabilities</w:t>
      </w:r>
    </w:p>
    <w:p>
      <w:pPr>
        <w:spacing w:after="0" w:line="225"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 xml:space="preserve">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7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84"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Deferred Income</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Deferred income consists principally of advertising revenue invoiced in advance. Deferred advertising revenue is recognized in income over the term of the contract.</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Revenue Recognition</w:t>
      </w:r>
    </w:p>
    <w:p>
      <w:pPr>
        <w:spacing w:after="0" w:line="117"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Direct advertising expenses</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4,014</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r>
    </w:tbl>
    <w:p>
      <w:pPr>
        <w:spacing w:after="0" w:line="2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Income Taxes</w:t>
      </w:r>
    </w:p>
    <w:p>
      <w:pPr>
        <w:spacing w:after="0" w:line="117"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Dividends/Distributions</w:t>
      </w:r>
    </w:p>
    <w:p>
      <w:pPr>
        <w:spacing w:after="0" w:line="117" w:lineRule="exact"/>
        <w:rPr>
          <w:sz w:val="20"/>
          <w:szCs w:val="20"/>
          <w:color w:val="auto"/>
        </w:rPr>
      </w:pPr>
    </w:p>
    <w:p>
      <w:pPr>
        <w:jc w:val="both"/>
        <w:ind w:firstLine="567"/>
        <w:spacing w:after="0" w:line="269" w:lineRule="auto"/>
        <w:rPr>
          <w:sz w:val="20"/>
          <w:szCs w:val="20"/>
          <w:color w:val="auto"/>
        </w:rPr>
      </w:pPr>
      <w:r>
        <w:rPr>
          <w:rFonts w:ascii="Arial" w:cs="Arial" w:eastAsia="Arial" w:hAnsi="Arial"/>
          <w:sz w:val="17"/>
          <w:szCs w:val="17"/>
          <w:color w:val="auto"/>
        </w:rPr>
        <w:t>As a REIT, the Company must annually distribute to its stockholders an amount equal to at least 90% of its REIT taxable income (determined before the deduction for distributed earnings and excluding any net capital gain). During the years ended December 31, 2021, 2020 and 2019, the Company declared and paid distributions of its REIT taxable income of $404,809 or $4.00 per share, $251,944 or $2.50 per share and $384,817 or $3.84 per share, respectively.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and other factors that the Board of Directors may deem relevant. During each of the years ended December 31, 2021, 2020 and 2019, the Company paid dividend distributions to holders of its Series AA Preferred Stock of $365 or $63.80 per share.</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6"/>
          <w:szCs w:val="16"/>
          <w:b w:val="1"/>
          <w:bCs w:val="1"/>
          <w:i w:val="1"/>
          <w:iCs w:val="1"/>
          <w:color w:val="auto"/>
        </w:rPr>
        <w:t>Earnings Per Share</w:t>
      </w:r>
    </w:p>
    <w:p>
      <w:pPr>
        <w:spacing w:after="0" w:line="117" w:lineRule="exact"/>
        <w:rPr>
          <w:sz w:val="20"/>
          <w:szCs w:val="20"/>
          <w:color w:val="auto"/>
        </w:rPr>
      </w:pPr>
    </w:p>
    <w:p>
      <w:pPr>
        <w:jc w:val="both"/>
        <w:ind w:right="20" w:firstLine="567"/>
        <w:spacing w:after="0" w:line="308" w:lineRule="auto"/>
        <w:rPr>
          <w:sz w:val="20"/>
          <w:szCs w:val="20"/>
          <w:color w:val="auto"/>
        </w:rPr>
      </w:pPr>
      <w:r>
        <w:rPr>
          <w:rFonts w:ascii="Arial" w:cs="Arial" w:eastAsia="Arial" w:hAnsi="Arial"/>
          <w:sz w:val="17"/>
          <w:szCs w:val="17"/>
          <w:color w:val="auto"/>
        </w:rPr>
        <w:t>The calculation of basic earnings per share excludes any dilutive effect of stock options, while diluted earnings per share includes the dilutive effect of stock options. For the years ended December 31, 2021, 2020 and 2019 there were no dilutive shares excluded from the calculation.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Stock Based Compensation</w:t>
      </w:r>
    </w:p>
    <w:p>
      <w:pPr>
        <w:spacing w:after="0" w:line="117" w:lineRule="exact"/>
        <w:rPr>
          <w:sz w:val="20"/>
          <w:szCs w:val="20"/>
          <w:color w:val="auto"/>
        </w:rPr>
      </w:pPr>
    </w:p>
    <w:p>
      <w:pPr>
        <w:jc w:val="both"/>
        <w:ind w:firstLine="567"/>
        <w:spacing w:after="0" w:line="285" w:lineRule="auto"/>
        <w:rPr>
          <w:sz w:val="20"/>
          <w:szCs w:val="20"/>
          <w:color w:val="auto"/>
        </w:rPr>
      </w:pPr>
      <w:r>
        <w:rPr>
          <w:rFonts w:ascii="Arial" w:cs="Arial" w:eastAsia="Arial" w:hAnsi="Arial"/>
          <w:sz w:val="16"/>
          <w:szCs w:val="16"/>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generally commensurate with the vesting term. Non-cash compensation expense recognized during the years ended December 31, 2021, 2020, and 2019 were $37,368, $18,772 and $29,647, respectively. The $37,368 expensed during the year ended December 31, 2021 consists of (i) $4,348 related to stock options and the employee stock purchase plan, (ii) $31,776 related to stock grants made under the Company’s performance-based stock incentive program in 2021,</w:t>
      </w:r>
    </w:p>
    <w:p>
      <w:pPr>
        <w:spacing w:after="0" w:line="2" w:lineRule="exact"/>
        <w:rPr>
          <w:sz w:val="20"/>
          <w:szCs w:val="20"/>
          <w:color w:val="auto"/>
        </w:rPr>
      </w:pPr>
    </w:p>
    <w:p>
      <w:pPr>
        <w:ind w:firstLine="8"/>
        <w:spacing w:after="0" w:line="260" w:lineRule="auto"/>
        <w:tabs>
          <w:tab w:leader="none" w:pos="3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$622 related to non-performance restricted stock awards and (iv) $622 related to restricted stock awards to directors. See Note 15 for information on the assumptions used to calculate the fair value of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Cash and Cash Equivalents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Credit Losses</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Foreign Currency Translation</w:t>
      </w:r>
    </w:p>
    <w:p>
      <w:pPr>
        <w:spacing w:after="0" w:line="11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in the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Asset Retirement Obligations</w:t>
      </w:r>
    </w:p>
    <w:p>
      <w:pPr>
        <w:spacing w:after="0" w:line="11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The Company is required to record the fair value of obligations associated with the retirement of tangible long-lived assets in the period in which it is incurred. The liability is capitalized as part of the related long-lived asset’s carrying amount.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Use of Estimates</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Comprehensive Income</w:t>
      </w:r>
    </w:p>
    <w:p>
      <w:pPr>
        <w:spacing w:after="0" w:line="117"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Total comprehensive income is presented in the Consolidated Statements of Income and Comprehensive Income and the components of accumulated comprehensive income are presented in the Consolidated Statements of Stockholders’ Equity. Comprehensive income is composed of foreign currency translation effects.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5"/>
          <w:szCs w:val="15"/>
          <w:b w:val="1"/>
          <w:bCs w:val="1"/>
          <w:i w:val="1"/>
          <w:iCs w:val="1"/>
          <w:color w:val="auto"/>
        </w:rPr>
        <w:t>Investments</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Consolidated Balance Sheet. For the year ended December 31, 2021, the Company recorded $3,384 in equity in earnings of investee on the Consolidated Statement of Income and Comprehensive Income.</w:t>
      </w:r>
    </w:p>
    <w:p>
      <w:pPr>
        <w:spacing w:after="0" w:line="18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5"/>
          <w:szCs w:val="15"/>
          <w:b w:val="1"/>
          <w:bCs w:val="1"/>
          <w:i w:val="1"/>
          <w:iCs w:val="1"/>
          <w:color w:val="auto"/>
        </w:rPr>
        <w:t>Subsequent Events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performed an evaluation of subsequent events through the date on which the financial statements are issued.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17"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i w:val="1"/>
          <w:iCs w:val="1"/>
          <w:color w:val="auto"/>
        </w:rPr>
        <w:t xml:space="preserve">Advertising revenues: </w:t>
      </w:r>
      <w:r>
        <w:rPr>
          <w:rFonts w:ascii="Arial" w:cs="Arial" w:eastAsia="Arial" w:hAnsi="Arial"/>
          <w:sz w:val="16"/>
          <w:szCs w:val="16"/>
          <w:color w:val="auto"/>
        </w:rPr>
        <w:t>The majority of our revenues are derived from contracts for advertising space on billboard, logo and transit displays.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Contracts which do not meet the criteria of a lease under ASC 842, are accounted for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Consolidated Statements of Income and Comprehensive Income. During the years ended December 31, 2021 and 2020, we capitalized $25,642 and $22,698, respectively, of costs to fulfill contracts, which is included in other current assets on the Consolidated Balance Sheets, net of expensed costs of $25,197 and $23,085, respectively.</w:t>
      </w:r>
    </w:p>
    <w:p>
      <w:pPr>
        <w:spacing w:after="0" w:line="16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copy. Revenue for production contracts are recognized under ASC 606. Contract revenues for production services are recognized upon satisfaction of the contract which is typically less than one week.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our disaggregated revenue by source for the years ended December 31, 2021, 2020 and 2019.</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Billboard Advertising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1,613,554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1,537,542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84,201</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Advertising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131,901</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1,787,401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1,568,856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1,753,644</w:t>
            </w: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2021</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the Company completed several acquisitions of outdoor and transit advertising assets for a total cash purchase price of $312,257, net of cash acquired of $1,419.</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fair market value estimates at the dates of acquisition.</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2021, our fair value allocation of the assets acquired and liabilities assumed in a business combination completed December 3, 2021 is considered preliminary and is subject to revision, which may result in adjustments to this allocation. The aggregate purchase price of this business combination was $75,000. We expect to finalize these amounts as soon as possible but not later than the end of 2022. In order to develop our preliminary fair values, the Company utilized asset information received from the acquired company and fair value allocation benchmarks from similar completed transactions. Our preliminary allocation of these assets includes property, plant and equipment, intangibles and goodwill of $6,022, $53,775 and $9,506,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summary of the allocation of the purchase price in the above transactions, which includes the preliminary values for a business combination completed on December 3,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Total</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24,089</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206,734</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acquisition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9,310</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32,487</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312,257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acquired intangible assets for the year ended December 31, 2021 were $266,288, of which $24,089 was assigned to goodwill. Goodwill is not amortized for financial statement purposes and $14,584 of goodwill related to 2021 acquisitions is expected to be deductible for tax purposes. The acquired intangible assets have a weighted average useful life of approximately 14 years. The intangible assets include customer lists and contracts of $31,101 (7 year weighted average useful life) and site locations of $206,734 (15 year weighted average useful life). The aggregate amortization expense related to the 2021 acquisitions for the year ended December 31, 2021 was $4,335.</w:t>
      </w:r>
    </w:p>
    <w:p>
      <w:pPr>
        <w:spacing w:after="0" w:line="18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following unaudited pro forma financial information for the Company gives effect to the 2021 and 2020 acquisitions as if they had occurred on January 1, 2020. These pro forma results do not purport to be indicative of the results of operations which actually would have resulted had the acquisitions occurred on such date or to project the Company’s results of operations for any future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187"/>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6"/>
                <w:szCs w:val="16"/>
                <w:color w:val="auto"/>
              </w:rPr>
            </w:pPr>
          </w:p>
        </w:tc>
      </w:tr>
      <w:tr>
        <w:trPr>
          <w:trHeight w:val="231"/>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1,826,448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1,615,855</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income applicable 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379,874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230,035</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 — 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income per common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3.75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2020</w:t>
      </w:r>
    </w:p>
    <w:p>
      <w:pPr>
        <w:spacing w:after="0" w:line="11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year ended December 31, 2020, the Company completed several acquisitions of outdoor advertising assets for a total purchase price of $46,160, of which $45,584 was in cash and $576 in non-cash consideration.</w:t>
      </w:r>
    </w:p>
    <w:p>
      <w:pPr>
        <w:spacing w:after="0" w:line="170"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proportionally allocated to assets based on relative fair value acquired and liabilities assumed based on fair market value at the dates of acquisition.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the allocation of the purchase price in the above transactions.</w:t>
      </w:r>
    </w:p>
    <w:p>
      <w:pPr>
        <w:spacing w:after="0" w:line="136"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Non-competition agreements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lists and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 acquisition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45" w:hanging="745"/>
        <w:spacing w:after="0"/>
        <w:tabs>
          <w:tab w:leader="none" w:pos="7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13,376</w:t>
      </w:r>
    </w:p>
    <w:p>
      <w:pPr>
        <w:spacing w:after="0" w:line="34" w:lineRule="exact"/>
        <w:rPr>
          <w:rFonts w:ascii="Arial" w:cs="Arial" w:eastAsia="Arial" w:hAnsi="Arial"/>
          <w:sz w:val="17"/>
          <w:szCs w:val="17"/>
          <w:color w:val="auto"/>
        </w:rPr>
      </w:pPr>
    </w:p>
    <w:p>
      <w:pPr>
        <w:ind w:left="745"/>
        <w:spacing w:after="0"/>
        <w:rPr>
          <w:rFonts w:ascii="Arial" w:cs="Arial" w:eastAsia="Arial" w:hAnsi="Arial"/>
          <w:sz w:val="17"/>
          <w:szCs w:val="17"/>
          <w:color w:val="auto"/>
        </w:rPr>
      </w:pPr>
      <w:r>
        <w:rPr>
          <w:rFonts w:ascii="Arial" w:cs="Arial" w:eastAsia="Arial" w:hAnsi="Arial"/>
          <w:sz w:val="17"/>
          <w:szCs w:val="17"/>
          <w:color w:val="auto"/>
        </w:rPr>
        <w:t>27,902</w:t>
      </w:r>
    </w:p>
    <w:p>
      <w:pPr>
        <w:spacing w:after="0" w:line="34" w:lineRule="exact"/>
        <w:rPr>
          <w:rFonts w:ascii="Arial" w:cs="Arial" w:eastAsia="Arial" w:hAnsi="Arial"/>
          <w:sz w:val="17"/>
          <w:szCs w:val="17"/>
          <w:color w:val="auto"/>
        </w:rPr>
      </w:pPr>
    </w:p>
    <w:p>
      <w:pPr>
        <w:ind w:left="965"/>
        <w:spacing w:after="0"/>
        <w:rPr>
          <w:rFonts w:ascii="Arial" w:cs="Arial" w:eastAsia="Arial" w:hAnsi="Arial"/>
          <w:sz w:val="17"/>
          <w:szCs w:val="17"/>
          <w:color w:val="auto"/>
        </w:rPr>
      </w:pPr>
      <w:r>
        <w:rPr>
          <w:rFonts w:ascii="Arial" w:cs="Arial" w:eastAsia="Arial" w:hAnsi="Arial"/>
          <w:sz w:val="18"/>
          <w:szCs w:val="18"/>
          <w:color w:val="auto"/>
        </w:rPr>
        <w:t>140</w:t>
      </w:r>
    </w:p>
    <w:p>
      <w:pPr>
        <w:spacing w:after="0" w:line="22" w:lineRule="exact"/>
        <w:rPr>
          <w:rFonts w:ascii="Arial" w:cs="Arial" w:eastAsia="Arial" w:hAnsi="Arial"/>
          <w:sz w:val="17"/>
          <w:szCs w:val="17"/>
          <w:color w:val="auto"/>
        </w:rPr>
      </w:pPr>
    </w:p>
    <w:p>
      <w:pPr>
        <w:ind w:left="825"/>
        <w:spacing w:after="0"/>
        <w:rPr>
          <w:rFonts w:ascii="Arial" w:cs="Arial" w:eastAsia="Arial" w:hAnsi="Arial"/>
          <w:sz w:val="17"/>
          <w:szCs w:val="17"/>
          <w:color w:val="auto"/>
        </w:rPr>
      </w:pPr>
      <w:r>
        <w:rPr>
          <w:rFonts w:ascii="Arial" w:cs="Arial" w:eastAsia="Arial" w:hAnsi="Arial"/>
          <w:sz w:val="18"/>
          <w:szCs w:val="18"/>
          <w:color w:val="auto"/>
        </w:rPr>
        <w:t>3,979</w:t>
      </w:r>
    </w:p>
    <w:p>
      <w:pPr>
        <w:spacing w:after="0" w:line="22" w:lineRule="exact"/>
        <w:rPr>
          <w:rFonts w:ascii="Arial" w:cs="Arial" w:eastAsia="Arial" w:hAnsi="Arial"/>
          <w:sz w:val="17"/>
          <w:szCs w:val="17"/>
          <w:color w:val="auto"/>
        </w:rPr>
      </w:pPr>
    </w:p>
    <w:p>
      <w:pPr>
        <w:ind w:left="965"/>
        <w:spacing w:after="0"/>
        <w:rPr>
          <w:rFonts w:ascii="Arial" w:cs="Arial" w:eastAsia="Arial" w:hAnsi="Arial"/>
          <w:sz w:val="17"/>
          <w:szCs w:val="17"/>
          <w:color w:val="auto"/>
        </w:rPr>
      </w:pPr>
      <w:r>
        <w:rPr>
          <w:rFonts w:ascii="Arial" w:cs="Arial" w:eastAsia="Arial" w:hAnsi="Arial"/>
          <w:sz w:val="18"/>
          <w:szCs w:val="18"/>
          <w:color w:val="auto"/>
        </w:rPr>
        <w:t>154</w:t>
      </w:r>
    </w:p>
    <w:p>
      <w:pPr>
        <w:spacing w:after="0" w:line="22" w:lineRule="exact"/>
        <w:rPr>
          <w:rFonts w:ascii="Arial" w:cs="Arial" w:eastAsia="Arial" w:hAnsi="Arial"/>
          <w:sz w:val="17"/>
          <w:szCs w:val="17"/>
          <w:color w:val="auto"/>
        </w:rPr>
      </w:pPr>
    </w:p>
    <w:p>
      <w:pPr>
        <w:ind w:left="1145"/>
        <w:spacing w:after="0"/>
        <w:rPr>
          <w:rFonts w:ascii="Arial" w:cs="Arial" w:eastAsia="Arial" w:hAnsi="Arial"/>
          <w:sz w:val="17"/>
          <w:szCs w:val="17"/>
          <w:color w:val="auto"/>
        </w:rPr>
      </w:pPr>
      <w:r>
        <w:rPr>
          <w:rFonts w:ascii="Arial" w:cs="Arial" w:eastAsia="Arial" w:hAnsi="Arial"/>
          <w:sz w:val="18"/>
          <w:szCs w:val="18"/>
          <w:color w:val="auto"/>
        </w:rPr>
        <w:t>3</w:t>
      </w:r>
    </w:p>
    <w:p>
      <w:pPr>
        <w:spacing w:after="0" w:line="22" w:lineRule="exact"/>
        <w:rPr>
          <w:rFonts w:ascii="Arial" w:cs="Arial" w:eastAsia="Arial" w:hAnsi="Arial"/>
          <w:sz w:val="17"/>
          <w:szCs w:val="17"/>
          <w:color w:val="auto"/>
        </w:rPr>
      </w:pPr>
    </w:p>
    <w:p>
      <w:pPr>
        <w:ind w:left="885"/>
        <w:spacing w:after="0"/>
        <w:rPr>
          <w:rFonts w:ascii="Arial" w:cs="Arial" w:eastAsia="Arial" w:hAnsi="Arial"/>
          <w:sz w:val="17"/>
          <w:szCs w:val="17"/>
          <w:color w:val="auto"/>
        </w:rPr>
      </w:pPr>
      <w:r>
        <w:rPr>
          <w:rFonts w:ascii="Arial" w:cs="Arial" w:eastAsia="Arial" w:hAnsi="Arial"/>
          <w:sz w:val="17"/>
          <w:szCs w:val="17"/>
          <w:color w:val="auto"/>
        </w:rPr>
        <w:t>(295)</w:t>
      </w:r>
    </w:p>
    <w:p>
      <w:pPr>
        <w:spacing w:after="0" w:line="34" w:lineRule="exact"/>
        <w:rPr>
          <w:rFonts w:ascii="Arial" w:cs="Arial" w:eastAsia="Arial" w:hAnsi="Arial"/>
          <w:sz w:val="17"/>
          <w:szCs w:val="17"/>
          <w:color w:val="auto"/>
        </w:rPr>
      </w:pPr>
    </w:p>
    <w:p>
      <w:pPr>
        <w:ind w:left="825"/>
        <w:spacing w:after="0"/>
        <w:rPr>
          <w:rFonts w:ascii="Arial" w:cs="Arial" w:eastAsia="Arial" w:hAnsi="Arial"/>
          <w:sz w:val="17"/>
          <w:szCs w:val="17"/>
          <w:color w:val="auto"/>
        </w:rPr>
      </w:pPr>
      <w:r>
        <w:rPr>
          <w:rFonts w:ascii="Arial" w:cs="Arial" w:eastAsia="Arial" w:hAnsi="Arial"/>
          <w:sz w:val="18"/>
          <w:szCs w:val="18"/>
          <w:color w:val="auto"/>
        </w:rPr>
        <w:t>7,269</w:t>
      </w:r>
    </w:p>
    <w:p>
      <w:pPr>
        <w:spacing w:after="0" w:line="22" w:lineRule="exact"/>
        <w:rPr>
          <w:rFonts w:ascii="Arial" w:cs="Arial" w:eastAsia="Arial" w:hAnsi="Arial"/>
          <w:sz w:val="17"/>
          <w:szCs w:val="17"/>
          <w:color w:val="auto"/>
        </w:rPr>
      </w:pPr>
    </w:p>
    <w:p>
      <w:pPr>
        <w:ind w:left="745"/>
        <w:spacing w:after="0"/>
        <w:rPr>
          <w:rFonts w:ascii="Arial" w:cs="Arial" w:eastAsia="Arial" w:hAnsi="Arial"/>
          <w:sz w:val="17"/>
          <w:szCs w:val="17"/>
          <w:color w:val="auto"/>
        </w:rPr>
      </w:pPr>
      <w:r>
        <w:rPr>
          <w:rFonts w:ascii="Arial" w:cs="Arial" w:eastAsia="Arial" w:hAnsi="Arial"/>
          <w:sz w:val="17"/>
          <w:szCs w:val="17"/>
          <w:color w:val="auto"/>
        </w:rPr>
        <w:t>(6,368)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8401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7" w:lineRule="exact"/>
        <w:rPr>
          <w:sz w:val="20"/>
          <w:szCs w:val="20"/>
          <w:color w:val="auto"/>
        </w:rPr>
      </w:pPr>
    </w:p>
    <w:p>
      <w:pPr>
        <w:ind w:left="745" w:hanging="745"/>
        <w:spacing w:after="0"/>
        <w:tabs>
          <w:tab w:leader="none" w:pos="7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46,160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840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8401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5" w:space="720"/>
            <w:col w:w="1305"/>
          </w:cols>
          <w:pgMar w:left="320" w:top="125" w:right="339" w:bottom="1440" w:gutter="0" w:footer="0" w:header="0"/>
          <w:type w:val="continuous"/>
        </w:sectPr>
      </w:pPr>
    </w:p>
    <w:p>
      <w:pPr>
        <w:spacing w:after="0" w:line="172"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The total amount of acquired intangible assets have a weighted average useful life of approximately 14 years. The intangible assets include customer lists and contracts of $3,979 (7 year weighted average useful life) and site locations of $27,902 (15 year weighted average useful life). The aggregate amortization expense related to the 2020 acquisitions for the year ended December 31, 2020 was approximately $1,356.</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Non-cash Financing and Investing Activities</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For the years ended December 31, 2021, 2020 and 2019, there were no significant non-cash investing activities. For the year ended December 31, 2020, the Company had non-cash financing activities related to financing lease liabilities of $19,891. There were no significant non-cash financing activities during the years ended December 31, 2021 and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Major categories of property, plant and equipment at December 31, 2021 and 2020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Estimated Life</w:t>
            </w:r>
          </w:p>
        </w:tc>
        <w:tc>
          <w:tcPr>
            <w:tcW w:w="10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176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(Years)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413,257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187,921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structures</w:t>
            </w:r>
          </w:p>
        </w:tc>
        <w:tc>
          <w:tcPr>
            <w:tcW w:w="1760" w:type="dxa"/>
            <w:vAlign w:val="bottom"/>
            <w:gridSpan w:val="5"/>
            <w:shd w:val="clear" w:color="auto" w:fill="CCEEFF"/>
          </w:tcPr>
          <w:p>
            <w:pPr>
              <w:jc w:val="center"/>
              <w:ind w:right="330"/>
              <w:spacing w:after="0"/>
              <w:rPr>
                <w:sz w:val="20"/>
                <w:szCs w:val="20"/>
                <w:color w:val="auto"/>
              </w:rPr>
            </w:pPr>
            <w:r>
              <w:rPr>
                <w:rFonts w:ascii="Arial" w:cs="Arial" w:eastAsia="Arial" w:hAnsi="Arial"/>
                <w:sz w:val="18"/>
                <w:szCs w:val="18"/>
                <w:color w:val="auto"/>
                <w:w w:val="92"/>
              </w:rPr>
              <w:t>5 — 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2,880,521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Automotive and other equipment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133,806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3,615,505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intangible assets at December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1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line="20" w:lineRule="exact"/>
              <w:rPr>
                <w:sz w:val="1"/>
                <w:szCs w:val="1"/>
                <w:color w:val="auto"/>
              </w:rPr>
            </w:pPr>
          </w:p>
        </w:tc>
      </w:tr>
      <w:tr>
        <w:trPr>
          <w:trHeight w:val="135"/>
        </w:trPr>
        <w:tc>
          <w:tcPr>
            <w:tcW w:w="42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Customer lists and contracts</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 — 10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676,846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587,056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645,739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563,135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Non-competition agreements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64,647</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Site locations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1,680,333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2,412,745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1,593,805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 — 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3,416,914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2,371,737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3,174,658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2,260,212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Unamortizable Intangible Assets: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2,189,962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2,165,864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changes in the gross carrying amount of goodwill for the years ended December 31, 2021 and 2020 are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price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price adjustments and 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505" w:hanging="505"/>
        <w:spacing w:after="0"/>
        <w:tabs>
          <w:tab w:leader="none" w:pos="5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2,165,810</w:t>
      </w:r>
    </w:p>
    <w:p>
      <w:pPr>
        <w:spacing w:after="0" w:line="46" w:lineRule="exact"/>
        <w:rPr>
          <w:rFonts w:ascii="Arial" w:cs="Arial" w:eastAsia="Arial" w:hAnsi="Arial"/>
          <w:sz w:val="16"/>
          <w:szCs w:val="16"/>
          <w:color w:val="auto"/>
        </w:rPr>
      </w:pPr>
    </w:p>
    <w:p>
      <w:pPr>
        <w:ind w:left="1045"/>
        <w:spacing w:after="0"/>
        <w:rPr>
          <w:rFonts w:ascii="Arial" w:cs="Arial" w:eastAsia="Arial" w:hAnsi="Arial"/>
          <w:sz w:val="16"/>
          <w:szCs w:val="16"/>
          <w:color w:val="auto"/>
        </w:rPr>
      </w:pPr>
      <w:r>
        <w:rPr>
          <w:rFonts w:ascii="Arial" w:cs="Arial" w:eastAsia="Arial" w:hAnsi="Arial"/>
          <w:sz w:val="16"/>
          <w:szCs w:val="16"/>
          <w:color w:val="auto"/>
        </w:rPr>
        <w:t>54</w:t>
      </w:r>
    </w:p>
    <w:p>
      <w:pPr>
        <w:spacing w:after="0" w:line="58" w:lineRule="exact"/>
        <w:rPr>
          <w:sz w:val="20"/>
          <w:szCs w:val="20"/>
          <w:color w:val="auto"/>
        </w:rPr>
      </w:pPr>
    </w:p>
    <w:p>
      <w:pPr>
        <w:ind w:left="505" w:hanging="505"/>
        <w:spacing w:after="0"/>
        <w:tabs>
          <w:tab w:leader="none" w:pos="5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2,165,864</w:t>
      </w:r>
    </w:p>
    <w:p>
      <w:pPr>
        <w:spacing w:after="0" w:line="46" w:lineRule="exact"/>
        <w:rPr>
          <w:rFonts w:ascii="Arial" w:cs="Arial" w:eastAsia="Arial" w:hAnsi="Arial"/>
          <w:sz w:val="16"/>
          <w:szCs w:val="16"/>
          <w:color w:val="auto"/>
        </w:rPr>
      </w:pPr>
    </w:p>
    <w:p>
      <w:pPr>
        <w:ind w:left="745"/>
        <w:spacing w:after="0"/>
        <w:rPr>
          <w:rFonts w:ascii="Arial" w:cs="Arial" w:eastAsia="Arial" w:hAnsi="Arial"/>
          <w:sz w:val="16"/>
          <w:szCs w:val="16"/>
          <w:color w:val="auto"/>
        </w:rPr>
      </w:pPr>
      <w:r>
        <w:rPr>
          <w:rFonts w:ascii="Arial" w:cs="Arial" w:eastAsia="Arial" w:hAnsi="Arial"/>
          <w:sz w:val="15"/>
          <w:szCs w:val="15"/>
          <w:color w:val="auto"/>
        </w:rPr>
        <w:t>24,089</w:t>
      </w:r>
    </w:p>
    <w:p>
      <w:pPr>
        <w:spacing w:after="0" w:line="57" w:lineRule="exact"/>
        <w:rPr>
          <w:rFonts w:ascii="Arial" w:cs="Arial" w:eastAsia="Arial" w:hAnsi="Arial"/>
          <w:sz w:val="16"/>
          <w:szCs w:val="16"/>
          <w:color w:val="auto"/>
        </w:rPr>
      </w:pPr>
    </w:p>
    <w:p>
      <w:pPr>
        <w:ind w:left="1145"/>
        <w:spacing w:after="0"/>
        <w:rPr>
          <w:rFonts w:ascii="Arial" w:cs="Arial" w:eastAsia="Arial" w:hAnsi="Arial"/>
          <w:sz w:val="16"/>
          <w:szCs w:val="16"/>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8401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73" w:lineRule="exact"/>
        <w:rPr>
          <w:sz w:val="20"/>
          <w:szCs w:val="20"/>
          <w:color w:val="auto"/>
        </w:rPr>
      </w:pPr>
    </w:p>
    <w:p>
      <w:pPr>
        <w:ind w:left="505" w:hanging="505"/>
        <w:spacing w:after="0"/>
        <w:tabs>
          <w:tab w:leader="none" w:pos="5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2,189,962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01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840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215" w:space="720"/>
            <w:col w:w="1305"/>
          </w:cols>
          <w:pgMar w:left="320" w:top="125" w:right="339" w:bottom="1440" w:gutter="0" w:footer="0" w:header="0"/>
          <w:type w:val="continuous"/>
        </w:sectPr>
      </w:pPr>
    </w:p>
    <w:p>
      <w:pPr>
        <w:spacing w:after="0" w:line="14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Amortization expense for the years ended December 31, 2021, 2020 and 2019 was $114,319, $110,201 and $113,679, respectively. The following is a summary of the estimated amortization expense for future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110,005</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102,658</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94,667</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511,107</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1,045,177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84"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64" w:lineRule="exact"/>
        <w:rPr>
          <w:sz w:val="20"/>
          <w:szCs w:val="20"/>
          <w:color w:val="auto"/>
        </w:rPr>
      </w:pPr>
    </w:p>
    <w:p>
      <w:pPr>
        <w:jc w:val="both"/>
        <w:ind w:firstLine="567"/>
        <w:spacing w:after="0" w:line="289" w:lineRule="auto"/>
        <w:rPr>
          <w:sz w:val="20"/>
          <w:szCs w:val="20"/>
          <w:color w:val="auto"/>
        </w:rPr>
      </w:pPr>
      <w:r>
        <w:rPr>
          <w:rFonts w:ascii="Arial" w:cs="Arial" w:eastAsia="Arial" w:hAnsi="Arial"/>
          <w:sz w:val="16"/>
          <w:szCs w:val="16"/>
          <w:color w:val="auto"/>
        </w:rPr>
        <w:t>During the year ended December 31, 2021, we had base operating lease costs of $290,036 and variable operating lease costs of $98,682, for a total operating lease cost of $388,718. During the year ended December 31, 2020, we had base operating lease costs of $298,135 and variable operating lease costs of $69,242, for a total operating lease cost of $367,377. During the year ended December 31, 2019, we had base operating lease costs of $312,883 and variable lease costs of $76,492, for a total operating lease cost of $389,375. Variable operating lease costs above include non-lease transit payments of $47,054, $25,670 and $27,086 for the years ended December 31, 2021, 2020 and 2019, respectively. Our operating lease costs are recorded in direct advertising expenses (exclusive of depreciation and amortization). Also, for the years ended December 31, 2021, 2020 and 2019, we recorded a loss (gain) of $241, ($451) and ($4,061) respectively, in gain on disposition of assets related to the amendment and termination of lease agreements. Cash payments of $296,460, $286,575 and $316,527 were made reducing our operating lease liabilities for the years ended December 31, 2021, 2020 and 2019, respectively, and are included in cash flows provided by operating activities in the Consolidated Statements of Cash Flows.</w:t>
      </w:r>
    </w:p>
    <w:p>
      <w:pPr>
        <w:spacing w:after="0" w:line="166"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or lease liabilities for agreements with a term of twelve months or less. We recorded $6,184, $4,953 and $4,691 in direct advertising expenses (exclusive of depreciation and amortization) for these agreements during the years ended December 31, 2021, 2020 and 2019, respectively.</w:t>
      </w:r>
    </w:p>
    <w:p>
      <w:pPr>
        <w:spacing w:after="0" w:line="18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operating leases have a weighted-average remaining lease term of 12.0 years. The weighted-average discount rate of our operating leases is 4.5%. During the years ended December 31, 2021 and 2020, we obtained $49,927 and $25,264, respectively, of leased assets in exchange for new operating lease liabilities, which includes liabilities obtained through acquisitions. Lease terminations during the year resulted in a $5,697 and $23,173 reduction to operating lease liabilities for the years ended December 31, 2021 and 2020,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580"/>
              <w:spacing w:after="0"/>
              <w:rPr>
                <w:sz w:val="20"/>
                <w:szCs w:val="20"/>
                <w:color w:val="auto"/>
              </w:rPr>
            </w:pPr>
            <w:r>
              <w:rPr>
                <w:rFonts w:ascii="Arial" w:cs="Arial" w:eastAsia="Arial" w:hAnsi="Arial"/>
                <w:sz w:val="18"/>
                <w:szCs w:val="18"/>
                <w:color w:val="auto"/>
              </w:rPr>
              <w:t>The following is a summary of the maturities of our operating lease liabilities as of December 31, 2021:</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229,824</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183,407</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163,324</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138,088</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115,165</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758,339</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1,588,147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(394,505)</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1,193,642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During the year ended December 31, 2020, we obtained $19,891 of leased assets in exchange for new financing lease liabilities. Our financing leases have a weighted-average remaining lease term of 5.9 years and a weighted-average discount rate of 3.1%. For the years ended December 31, 2021 and 2020, amortization expense of $2,853 and $222 was recorded within depreciation and amortization, respectively, and interest expense of $585 and $47 was recorded within interest expense, respectively, on the Consolidated Statements of Income and Comprehensive Income in relation to these financing lease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liabilities. Cash payments of $1,331 were made reducing our financing lease liabilities for the year ended December 31, 2021 and are included in cash flows used in financing activities in the Consolidated Statements of Cash Flows. We had no cash payments related to financing lease liabilities for the years ended December 31, 2020 and 2019. We had no expenses relating to the financing lease liabilities for the year ended December 31,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accrued expenses at December 31, 2021 and 2020:</w:t>
      </w:r>
    </w:p>
    <w:p>
      <w:pPr>
        <w:spacing w:after="0" w:line="136" w:lineRule="exact"/>
        <w:rPr>
          <w:sz w:val="20"/>
          <w:szCs w:val="20"/>
          <w:color w:val="auto"/>
        </w:rPr>
      </w:pPr>
    </w:p>
    <w:p>
      <w:pPr>
        <w:ind w:left="9000"/>
        <w:spacing w:after="0"/>
        <w:tabs>
          <w:tab w:leader="none" w:pos="10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40"/>
          </w:cols>
          <w:pgMar w:left="320" w:top="125"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 benefits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variable lease and contract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Long-term debt consists of the following at December 31, 2021 and 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1460" w:type="dxa"/>
        <w:tblCellMar>
          <w:top w:w="0" w:type="dxa"/>
          <w:left w:w="0" w:type="dxa"/>
          <w:bottom w:w="0" w:type="dxa"/>
          <w:right w:w="0" w:type="dxa"/>
        </w:tblCellMar>
      </w:tblPr>
      <w:tr>
        <w:trPr>
          <w:trHeight w:val="234"/>
        </w:trPr>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36,531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17,034</w:t>
            </w:r>
          </w:p>
        </w:tc>
      </w:t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33,583</w:t>
            </w:r>
          </w:p>
        </w:tc>
      </w:t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12,499</w:t>
            </w:r>
          </w:p>
        </w:tc>
      </w:tr>
      <w:tr>
        <w:trPr>
          <w:trHeight w:val="230"/>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19,274</w:t>
            </w:r>
          </w:p>
        </w:tc>
      </w:t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11,589</w:t>
            </w:r>
          </w:p>
        </w:tc>
      </w:tr>
      <w:tr>
        <w:trPr>
          <w:trHeight w:val="230"/>
        </w:trPr>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11,309</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105,288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2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7"/>
              </w:rPr>
              <w:t>Deferred</w:t>
            </w:r>
          </w:p>
        </w:tc>
        <w:tc>
          <w:tcPr>
            <w:tcW w:w="13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0"/>
              </w:rPr>
              <w:t>Debt, net of</w:t>
            </w:r>
          </w:p>
        </w:tc>
        <w:tc>
          <w:tcPr>
            <w:tcW w:w="0" w:type="dxa"/>
            <w:vAlign w:val="bottom"/>
          </w:tcPr>
          <w:p>
            <w:pPr>
              <w:spacing w:after="0"/>
              <w:rPr>
                <w:sz w:val="1"/>
                <w:szCs w:val="1"/>
                <w:color w:val="auto"/>
              </w:rPr>
            </w:pPr>
          </w:p>
        </w:tc>
      </w:tr>
      <w:tr>
        <w:trPr>
          <w:trHeight w:val="135"/>
        </w:trPr>
        <w:tc>
          <w:tcPr>
            <w:tcW w:w="12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Debt</w:t>
            </w:r>
          </w:p>
        </w:tc>
        <w:tc>
          <w:tcPr>
            <w:tcW w:w="1580" w:type="dxa"/>
            <w:vAlign w:val="bottom"/>
            <w:vMerge w:val="continue"/>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deferred</w:t>
            </w:r>
          </w:p>
        </w:tc>
        <w:tc>
          <w:tcPr>
            <w:tcW w:w="0" w:type="dxa"/>
            <w:vAlign w:val="bottom"/>
          </w:tcPr>
          <w:p>
            <w:pPr>
              <w:spacing w:after="0"/>
              <w:rPr>
                <w:sz w:val="1"/>
                <w:szCs w:val="1"/>
                <w:color w:val="auto"/>
              </w:rPr>
            </w:pPr>
          </w:p>
        </w:tc>
      </w:tr>
      <w:tr>
        <w:trPr>
          <w:trHeight w:val="186"/>
        </w:trPr>
        <w:tc>
          <w:tcPr>
            <w:tcW w:w="1240" w:type="dxa"/>
            <w:vAlign w:val="bottom"/>
            <w:vMerge w:val="continue"/>
          </w:tcPr>
          <w:p>
            <w:pPr>
              <w:spacing w:after="0"/>
              <w:rPr>
                <w:sz w:val="16"/>
                <w:szCs w:val="16"/>
                <w:color w:val="auto"/>
              </w:rPr>
            </w:pPr>
          </w:p>
        </w:tc>
        <w:tc>
          <w:tcPr>
            <w:tcW w:w="158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financing costs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300" w:space="720"/>
            <w:col w:w="42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6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2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3 5/8% Senior Notes</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2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4 7/8% Senior Notes</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2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3,050,454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20" w:type="dxa"/>
            <w:vAlign w:val="bottom"/>
            <w:vMerge w:val="restart"/>
          </w:tcPr>
          <w:p>
            <w:pPr>
              <w:jc w:val="right"/>
              <w:ind w:right="1210"/>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0"/>
              </w:rPr>
              <w:t>Debt, net of</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6"/>
              </w:rPr>
              <w:t>deferred</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financing costs</w:t>
            </w: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122,055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4%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541,369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7/8%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5 3/4%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647,056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2,926,633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1"/>
        </w:trPr>
        <w:tc>
          <w:tcPr>
            <w:tcW w:w="7020" w:type="dxa"/>
            <w:vAlign w:val="bottom"/>
            <w:vMerge w:val="restart"/>
          </w:tcPr>
          <w:p>
            <w:pPr>
              <w:ind w:left="580"/>
              <w:spacing w:after="0"/>
              <w:rPr>
                <w:sz w:val="20"/>
                <w:szCs w:val="20"/>
                <w:color w:val="auto"/>
              </w:rPr>
            </w:pPr>
            <w:r>
              <w:rPr>
                <w:rFonts w:ascii="Arial" w:cs="Arial" w:eastAsia="Arial" w:hAnsi="Arial"/>
                <w:sz w:val="18"/>
                <w:szCs w:val="18"/>
                <w:color w:val="auto"/>
              </w:rPr>
              <w:t>Long-term debt contractual maturities are as follows: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21"/>
                <w:szCs w:val="21"/>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Debt, net of</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6"/>
              </w:rPr>
              <w:t>deferred</w:t>
            </w: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financing costs</w:t>
            </w: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174,815</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172,049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2,698,448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2,665,545</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year ended December 31, 2020.</w:t>
      </w:r>
    </w:p>
    <w:p>
      <w:pPr>
        <w:spacing w:after="0" w:line="19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As of December 31, 2021, there were $175,000 in outstanding borrowings under the revolving credit facility. Availability under the revolving credit facility is reduced by the amount of any letters of credit outstanding. Lamar Media had $12,374 in letters of credit outstanding as of December 31, 2021 resulting in $562,626 of availability under the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among other things, the ability of Lamar Advertising and Lamar Media to:</w:t>
      </w:r>
    </w:p>
    <w:p>
      <w:pPr>
        <w:spacing w:after="0" w:line="62" w:lineRule="exact"/>
        <w:rPr>
          <w:sz w:val="20"/>
          <w:szCs w:val="20"/>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the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71"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On June 30, 2020, Lamar Media and the Special Purpose Subsidiaries entered into the Third Amendment (the “Third Amendment”) to the Receivables Financing Agreement. The Third Amendment increased the maximum three month average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Delinquency Ratio, Dilution Ratio and Days’ Sales Outstanding to 11.00% (from 8.00%), 7.00% (from 4.00%) and 75 days (from 65 days), respectively, for each of the months of June, July and August 2020. The Third Amendment did not modify any other financial covenant. Additionally, the Third Amendment established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92"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On October 23, 2020, Lamar Media and the Special Purpose Subsidiaries entered into the Fourth Amendment (the “Fourth Amendment”) to the Receivables Financing Agreement.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On May 24, 2021, Lamar Media and the Special Purpose Subsidiaries entered into the Fifth Amendment (the "Fifth Amendment") to the Receivables Financing Agreement. The Fifth Amendment extended the maturity date of the Accounts Receivable Securitization Program to July 21, 2024. Additionally, the Fifth Amendment decreased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w:t>
      </w:r>
    </w:p>
    <w:p>
      <w:pPr>
        <w:spacing w:after="0" w:line="19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As of December 31, 2021, there was $175,000 outstanding aggregate borrowings under the Accounts Receivable Securitization Program. Lamar Media had no additional availability for borrowing under the Accounts Receivable Securitization Program as of December 31, 2021. The commitment fees based on the amount of unused commitments under the Accounts Receivable Securitization Program were immaterial during the year ended December 31, 2021.</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2024.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7" w:lineRule="exact"/>
        <w:rPr>
          <w:sz w:val="20"/>
          <w:szCs w:val="20"/>
          <w:color w:val="auto"/>
        </w:rPr>
      </w:pPr>
    </w:p>
    <w:p>
      <w:pPr>
        <w:jc w:val="both"/>
        <w:ind w:right="20" w:firstLine="567"/>
        <w:spacing w:after="0" w:line="342" w:lineRule="auto"/>
        <w:rPr>
          <w:sz w:val="20"/>
          <w:szCs w:val="20"/>
          <w:color w:val="auto"/>
        </w:rPr>
      </w:pPr>
      <w:r>
        <w:rPr>
          <w:rFonts w:ascii="Arial" w:cs="Arial" w:eastAsia="Arial" w:hAnsi="Arial"/>
          <w:sz w:val="16"/>
          <w:szCs w:val="16"/>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2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August 31, 2020, Lamar Media redeemed $267,500 in aggregate principal amount of the outstanding 5% Notes at a redemption price of 100.833%, plus accrued and unpaid interest up to but not including the redemption date. On September 16, 2020 Lamar Media redeemed the remaining aggregate principal amount of $267,500 of the outstanding 5% Notes at a redemption price of 100.833%, plus accrued and unpaid interest up to but not including the redemption date. These redemptions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funded using cash on hand, borrowings under the revolving credit facility and the Accounts Receivable Securitization Program and proceeds from the additional 4% Senior Notes issued on August 19, 2020. These redemptions combined resulted in a loss on debt extinguishment of $7,051, of which $4,456 was cash,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Lamar Media used the proceeds from the 4% Senior Notes (defined below) and 3 3/4% Senior Notes (defined below) to redeem in full all of the 5 3/8% Notes on February 20, 2020 at a redemption price of 101.792% of the aggregate principal amounts of the outstanding 5 3/8% Notes, plus accrued and unpaid interest up to but not including the redemption date. In conjunction with the redemption, the Company recorded a loss on debt extinguishment of $12,576, of which $9,139 was cash, for the year ended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On January 28, 2016, Lamar Media completed an institutional private placement of $400,000 aggregate principal amount of 5 3/4% Senior Notes due 2026 (the “Original 5 3/4 % Notes”). The institutional private placement resulted in net proceeds to Lamar Media of approximately $394,500.</w:t>
      </w:r>
    </w:p>
    <w:p>
      <w:pPr>
        <w:spacing w:after="0" w:line="12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year ended December 31, 2021, the Company recorded a loss on debt extinguishment of approximately $21,604 related to the note redemption, of which $18,700 was in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84"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24"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March 16, 2020, the Company’s Board of Directors authorized Lamar Media to repurchase up to $250,000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(10)Asset Retirement Obligation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226,137</w:t>
            </w:r>
          </w:p>
        </w:tc>
      </w:tr>
      <w:tr>
        <w:trPr>
          <w:trHeight w:val="229"/>
        </w:trPr>
        <w:tc>
          <w:tcPr>
            <w:tcW w:w="9940" w:type="dxa"/>
            <w:vAlign w:val="bottom"/>
          </w:tcPr>
          <w:p>
            <w:pPr>
              <w:ind w:left="220"/>
              <w:spacing w:after="0"/>
              <w:rPr>
                <w:sz w:val="20"/>
                <w:szCs w:val="20"/>
                <w:color w:val="auto"/>
              </w:rPr>
            </w:pPr>
            <w:r>
              <w:rPr>
                <w:rFonts w:ascii="Arial" w:cs="Arial" w:eastAsia="Arial" w:hAnsi="Arial"/>
                <w:sz w:val="18"/>
                <w:szCs w:val="18"/>
                <w:color w:val="auto"/>
              </w:rPr>
              <w:t>Additions to asset retirement obligations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9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expense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29"/>
        </w:trPr>
        <w:tc>
          <w:tcPr>
            <w:tcW w:w="9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Liabilities settled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222,876</w:t>
            </w:r>
          </w:p>
        </w:tc>
      </w:tr>
      <w:tr>
        <w:trPr>
          <w:trHeight w:val="229"/>
        </w:trPr>
        <w:tc>
          <w:tcPr>
            <w:tcW w:w="9940" w:type="dxa"/>
            <w:vAlign w:val="bottom"/>
          </w:tcPr>
          <w:p>
            <w:pPr>
              <w:ind w:left="220"/>
              <w:spacing w:after="0"/>
              <w:rPr>
                <w:sz w:val="20"/>
                <w:szCs w:val="20"/>
                <w:color w:val="auto"/>
              </w:rPr>
            </w:pPr>
            <w:r>
              <w:rPr>
                <w:rFonts w:ascii="Arial" w:cs="Arial" w:eastAsia="Arial" w:hAnsi="Arial"/>
                <w:sz w:val="18"/>
                <w:szCs w:val="18"/>
                <w:color w:val="auto"/>
              </w:rPr>
              <w:t>Additions to asset retirement obligations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3,662</w:t>
            </w:r>
          </w:p>
        </w:tc>
      </w:tr>
      <w:tr>
        <w:trPr>
          <w:trHeight w:val="229"/>
        </w:trPr>
        <w:tc>
          <w:tcPr>
            <w:tcW w:w="9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 in estimates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41,644</w:t>
            </w:r>
          </w:p>
        </w:tc>
      </w:tr>
      <w:tr>
        <w:trPr>
          <w:trHeight w:val="230"/>
        </w:trPr>
        <w:tc>
          <w:tcPr>
            <w:tcW w:w="9940" w:type="dxa"/>
            <w:vAlign w:val="bottom"/>
          </w:tcPr>
          <w:p>
            <w:pPr>
              <w:ind w:left="220"/>
              <w:spacing w:after="0"/>
              <w:rPr>
                <w:sz w:val="20"/>
                <w:szCs w:val="20"/>
                <w:color w:val="auto"/>
              </w:rPr>
            </w:pPr>
            <w:r>
              <w:rPr>
                <w:rFonts w:ascii="Arial" w:cs="Arial" w:eastAsia="Arial" w:hAnsi="Arial"/>
                <w:sz w:val="18"/>
                <w:szCs w:val="18"/>
                <w:color w:val="auto"/>
              </w:rPr>
              <w:t>Accretion expense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4,476</w:t>
            </w:r>
          </w:p>
        </w:tc>
      </w:tr>
      <w:tr>
        <w:trPr>
          <w:trHeight w:val="229"/>
        </w:trPr>
        <w:tc>
          <w:tcPr>
            <w:tcW w:w="9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settled</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r>
      <w:tr>
        <w:trPr>
          <w:trHeight w:val="223"/>
        </w:trPr>
        <w:tc>
          <w:tcPr>
            <w:tcW w:w="994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269,367</w:t>
            </w:r>
          </w:p>
        </w:tc>
      </w:tr>
      <w:tr>
        <w:trPr>
          <w:trHeight w:val="21"/>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Revision in estimates of $41,644 reflects changes in cost estimates to remove structures and resurface land for structures that reside on leased land in the Company's outdoor advertising portfolio.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(11)Depreciation and Amortization</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253,850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235,544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4,416</w:t>
            </w: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12,753</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10,068</w:t>
            </w: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271,294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250,028</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the amount of depreciation and amortization expense excluded from direct advertising expense for the year ended December 31, 2021 as compared to the year ended December 31, 2020 is due to the revision in the cost estimate included in the calculation of asset retirement obligations during the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(12)Income Taxes</w:t>
      </w:r>
    </w:p>
    <w:p>
      <w:pPr>
        <w:spacing w:after="0" w:line="121"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tax expense (benefit)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Deferred</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70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Year ended December 31, 2020</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federal</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Year ended December 31, 2019</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of December 31, 2021 and 2020, the Company had income taxes payable of $5,915 and $4,707, respectively, which was recorded within accrued expenses on the Consolidated Balance Sheets.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249,714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357,445</w:t>
            </w:r>
          </w:p>
        </w:tc>
      </w:tr>
      <w:tr>
        <w:trPr>
          <w:trHeight w:val="230"/>
        </w:trPr>
        <w:tc>
          <w:tcPr>
            <w:tcW w:w="7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10,444</w:t>
            </w:r>
          </w:p>
        </w:tc>
      </w:tr>
      <w:tr>
        <w:trPr>
          <w:trHeight w:val="248"/>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397,346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248,046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367,889</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 reconciliation of significant differences between the reported amount of income tax expense (benefit) and the expected amount of income tax expense that would result from applying the U.S. federal statutory income tax rate of 21 percent to income before taxes for the 2021, 2020 and 2019 tax years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at U.S. federal statutory rate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77,257</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7"/>
                <w:szCs w:val="17"/>
                <w:color w:val="auto"/>
              </w:rPr>
              <w:t>Tax adjustment related to REIT</w:t>
            </w:r>
            <w:r>
              <w:rPr>
                <w:rFonts w:ascii="Arial" w:cs="Arial" w:eastAsia="Arial" w:hAnsi="Arial"/>
                <w:sz w:val="26"/>
                <w:szCs w:val="26"/>
                <w:color w:val="auto"/>
                <w:vertAlign w:val="superscript"/>
              </w:rPr>
              <w: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(70,619)</w:t>
            </w: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and local income taxes, net of federal income tax benefit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4,144</w:t>
            </w: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7"/>
                <w:szCs w:val="17"/>
                <w:color w:val="auto"/>
              </w:rPr>
              <w:t>Valuation allowance</w:t>
            </w:r>
            <w:r>
              <w:rPr>
                <w:rFonts w:ascii="Arial" w:cs="Arial" w:eastAsia="Arial" w:hAnsi="Arial"/>
                <w:sz w:val="26"/>
                <w:szCs w:val="26"/>
                <w:color w:val="auto"/>
                <w:vertAlign w:val="superscript"/>
              </w:rPr>
              <w:t>(b)</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7020" w:type="dxa"/>
            <w:vAlign w:val="bottom"/>
            <w:shd w:val="clear" w:color="auto" w:fill="CFF0FC"/>
          </w:tcPr>
          <w:p>
            <w:pPr>
              <w:ind w:left="20"/>
              <w:spacing w:after="0" w:line="230" w:lineRule="exact"/>
              <w:rPr>
                <w:sz w:val="20"/>
                <w:szCs w:val="20"/>
                <w:color w:val="auto"/>
              </w:rPr>
            </w:pPr>
            <w:r>
              <w:rPr>
                <w:rFonts w:ascii="Arial" w:cs="Arial" w:eastAsia="Arial" w:hAnsi="Arial"/>
                <w:sz w:val="17"/>
                <w:szCs w:val="17"/>
                <w:color w:val="auto"/>
              </w:rPr>
              <w:t>Rate change</w:t>
            </w:r>
            <w:r>
              <w:rPr>
                <w:rFonts w:ascii="Arial" w:cs="Arial" w:eastAsia="Arial" w:hAnsi="Arial"/>
                <w:sz w:val="26"/>
                <w:szCs w:val="26"/>
                <w:color w:val="auto"/>
                <w:vertAlign w:val="superscript"/>
              </w:rPr>
              <w:t>(c)</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line="230" w:lineRule="exact"/>
              <w:rPr>
                <w:sz w:val="20"/>
                <w:szCs w:val="20"/>
                <w:color w:val="auto"/>
              </w:rPr>
            </w:pPr>
            <w:r>
              <w:rPr>
                <w:rFonts w:ascii="Arial" w:cs="Arial" w:eastAsia="Arial" w:hAnsi="Arial"/>
                <w:sz w:val="17"/>
                <w:szCs w:val="17"/>
                <w:color w:val="auto"/>
              </w:rPr>
              <w:t>Undistributed earnings of foreign subsidiaries</w:t>
            </w:r>
            <w:r>
              <w:rPr>
                <w:rFonts w:ascii="Arial" w:cs="Arial" w:eastAsia="Arial" w:hAnsi="Arial"/>
                <w:sz w:val="26"/>
                <w:szCs w:val="26"/>
                <w:color w:val="auto"/>
                <w:vertAlign w:val="superscript"/>
              </w:rPr>
              <w:t>(d)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020" w:type="dxa"/>
            <w:vAlign w:val="bottom"/>
            <w:shd w:val="clear" w:color="auto" w:fill="CFF0FC"/>
          </w:tcPr>
          <w:p>
            <w:pPr>
              <w:ind w:left="20"/>
              <w:spacing w:after="0" w:line="230" w:lineRule="exact"/>
              <w:rPr>
                <w:sz w:val="20"/>
                <w:szCs w:val="20"/>
                <w:color w:val="auto"/>
              </w:rPr>
            </w:pPr>
            <w:r>
              <w:rPr>
                <w:rFonts w:ascii="Arial" w:cs="Arial" w:eastAsia="Arial" w:hAnsi="Arial"/>
                <w:sz w:val="17"/>
                <w:szCs w:val="17"/>
                <w:color w:val="auto"/>
              </w:rPr>
              <w:t>Deferred tax adjustment due to REIT conversion</w:t>
            </w:r>
            <w:r>
              <w:rPr>
                <w:rFonts w:ascii="Arial" w:cs="Arial" w:eastAsia="Arial" w:hAnsi="Arial"/>
                <w:sz w:val="26"/>
                <w:szCs w:val="26"/>
                <w:color w:val="auto"/>
                <w:vertAlign w:val="superscript"/>
              </w:rPr>
              <w:t>(e)</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(17,031)</w:t>
            </w:r>
          </w:p>
        </w:tc>
      </w:tr>
      <w:tr>
        <w:trPr>
          <w:trHeight w:val="229"/>
        </w:trPr>
        <w:tc>
          <w:tcPr>
            <w:tcW w:w="7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differences,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r>
      <w:tr>
        <w:trPr>
          <w:trHeight w:val="248"/>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dividend paid deduction of $85,087, $52,985 and $76,688 for the tax years ended December 31, 2021, 2020 and 2019, respectively.</w:t>
      </w: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85" w:lineRule="exact"/>
        <w:rPr>
          <w:sz w:val="20"/>
          <w:szCs w:val="20"/>
          <w:color w:val="auto"/>
        </w:rPr>
      </w:pPr>
    </w:p>
    <w:p>
      <w:pPr>
        <w:ind w:left="340" w:hanging="332"/>
        <w:spacing w:after="0" w:line="27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years ended December 31, 2021, 2020 and 2019, a non-cash valuation allowance of ($1,564), ($1,031) and ($1,032), respectively, was recorded to income tax expense (benefit) due to our limited ability to utilize Puerto Rico deferred tax assets in future years.</w:t>
      </w:r>
    </w:p>
    <w:p>
      <w:pPr>
        <w:spacing w:after="0" w:line="10" w:lineRule="exact"/>
        <w:rPr>
          <w:rFonts w:ascii="Arial" w:cs="Arial" w:eastAsia="Arial" w:hAnsi="Arial"/>
          <w:sz w:val="16"/>
          <w:szCs w:val="16"/>
          <w:color w:val="auto"/>
        </w:rPr>
      </w:pPr>
    </w:p>
    <w:p>
      <w:pPr>
        <w:ind w:left="340" w:right="20" w:hanging="332"/>
        <w:spacing w:after="0" w:line="275"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Act 257, the Puerto Rico corporate income tax rate was lowered from 39% to 37.5%. As a result, a non-cash benefit of $182 to income tax expense (benefit) was recorded for the reduction of the Puerto Rico net deferred tax liability for the year ended December 31, 2020.</w:t>
      </w:r>
    </w:p>
    <w:p>
      <w:pPr>
        <w:spacing w:after="0" w:line="10" w:lineRule="exact"/>
        <w:rPr>
          <w:rFonts w:ascii="Arial" w:cs="Arial" w:eastAsia="Arial" w:hAnsi="Arial"/>
          <w:sz w:val="16"/>
          <w:szCs w:val="16"/>
          <w:color w:val="auto"/>
        </w:rPr>
      </w:pPr>
    </w:p>
    <w:p>
      <w:pPr>
        <w:jc w:val="both"/>
        <w:ind w:left="340" w:hanging="332"/>
        <w:spacing w:after="0" w:line="322"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Management does not assert that the undistributed earnings of our Canadian subsidiaries will be permanently reinvested. For the years ended December 31, 2021, 2020 and 2019, we recognized a deferred tax expense (benefit) of $292, ($78) and ($102), respectively, for future foreign withholding taxes related to undistributed earnings.</w:t>
      </w:r>
    </w:p>
    <w:p>
      <w:pPr>
        <w:ind w:left="340" w:right="20" w:hanging="332"/>
        <w:spacing w:after="0" w:line="275"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income tax provision for the year ended December 31, 2019 is net of the deferred tax benefit of $17,031, which relates to the transfer of assets purchased from Fairway into our qualifying REIT subsidiary on June 28, 2019. The Fairway assets were initially placed in the TRS.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6"/>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liabilities not deducted for tax purposes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Net operating loss carry 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18,803</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 credit carry forwards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Charitable contributions carry forward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Investment in partnerships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23,553</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(19,433)</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(20,997)</w:t>
            </w:r>
          </w:p>
        </w:tc>
      </w:tr>
      <w:tr>
        <w:trPr>
          <w:trHeight w:val="223"/>
        </w:trPr>
        <w:tc>
          <w:tcPr>
            <w:tcW w:w="84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r>
      <w:tr>
        <w:trPr>
          <w:trHeight w:val="20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(5,443)</w:t>
            </w:r>
          </w:p>
        </w:tc>
      </w:tr>
      <w:tr>
        <w:trPr>
          <w:trHeight w:val="229"/>
        </w:trPr>
        <w:tc>
          <w:tcPr>
            <w:tcW w:w="8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w:t>
            </w:r>
          </w:p>
        </w:tc>
      </w:tr>
      <w:tr>
        <w:trPr>
          <w:trHeight w:val="230"/>
        </w:trPr>
        <w:tc>
          <w:tcPr>
            <w:tcW w:w="84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Undistributed earnings of foreign subsidiaries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84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As of December 31, 2021, we have approximately $149,212 of U.S. net operating loss carry forwards to offset future taxable income. Of this amount, $29,496 is subject to Internal Revenue Code §382 limitation but will be available to be fully utilized by no later than 2027. These carry forwards expire between 2028 through 2037. In addition, we have $1,205 of various credits available to offset future U.S. federal income tax.</w:t>
      </w:r>
    </w:p>
    <w:p>
      <w:pPr>
        <w:spacing w:after="0" w:line="165"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As of December 31, 2021, we have approximately $1,033,956 of state net operating loss carry forwards before valuation allowances. These state net operating losses are available to reduce future taxable income and expire at various times and amounts. In addition, we have $100 of various credits available to offset future state income tax. The valuation allowance related to state net operating loss carry forwards as of December 31, 2021 and 2020 was $334 and $321, respectively. The net changes in the total state valuation allowance for the years ended December 31, 2021 and 2020 was an increase of $13 and $320, respectively.</w:t>
      </w:r>
    </w:p>
    <w:p>
      <w:pPr>
        <w:spacing w:after="0" w:line="188"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of December 31, 2021, we had approximately $4,047 of Canadian net operating loss carry forwards before valuation allowances. These Canadian net operating losses are available to offset future taxable income. These carry forwards expire between 2040 and 2041.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As of December 31, 2021, we had approximately $39,863 of Puerto Rico net operating loss carry forwards before valuation allowances. These Puerto Rico net operating losses are available to offset future taxable income. These carry forwards expire between 2022 and 2029. In addition, we have $178 of alternative minimum tax credits available to offset future Puerto Rico income tax.</w:t>
      </w:r>
    </w:p>
    <w:p>
      <w:pPr>
        <w:spacing w:after="0" w:line="184"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2021 and 2020 was $19,099 and $20,676, respectively. The net change in the total valuation allowance for the years ended December 31, 2021 and 2020 was a decrease of $1,577 and $2,226, respectively. The amount of the deferred tax asset considered realizable, however, could be adjusted in the near term if estimates of future taxable income during the carry forward period increase.</w:t>
      </w:r>
    </w:p>
    <w:p>
      <w:pPr>
        <w:spacing w:after="0" w:line="172"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As of December 31, 2021, the Company has accumulated undistributed earnings generated by our foreign subsidiaries of approximately $19,682. Management does not designate these earnings as permanently reinvested and has recognized a deferred tax liability of approximately $984 related to foreign withholding taxes on these earnings. We have recognized a current year tax benefit of $77 related to 2021 earnings.</w:t>
      </w:r>
    </w:p>
    <w:p>
      <w:pPr>
        <w:spacing w:after="0" w:line="16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ectPr>
          <w:pgSz w:w="11900" w:h="16838" w:orient="portrait"/>
          <w:cols w:equalWidth="0" w:num="1">
            <w:col w:w="11240"/>
          </w:cols>
          <w:pgMar w:left="320" w:top="125"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related to prior years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related to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related to prior years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825" w:hanging="825"/>
        <w:spacing w:after="0"/>
        <w:tabs>
          <w:tab w:leader="none" w:pos="8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4,450</w:t>
      </w:r>
    </w:p>
    <w:p>
      <w:pPr>
        <w:spacing w:after="0" w:line="23" w:lineRule="exact"/>
        <w:rPr>
          <w:rFonts w:ascii="Arial" w:cs="Arial" w:eastAsia="Arial" w:hAnsi="Arial"/>
          <w:sz w:val="18"/>
          <w:szCs w:val="18"/>
          <w:color w:val="auto"/>
        </w:rPr>
      </w:pPr>
    </w:p>
    <w:p>
      <w:pPr>
        <w:ind w:left="965"/>
        <w:spacing w:after="0"/>
        <w:rPr>
          <w:rFonts w:ascii="Arial" w:cs="Arial" w:eastAsia="Arial" w:hAnsi="Arial"/>
          <w:sz w:val="18"/>
          <w:szCs w:val="18"/>
          <w:color w:val="auto"/>
        </w:rPr>
      </w:pPr>
      <w:r>
        <w:rPr>
          <w:rFonts w:ascii="Arial" w:cs="Arial" w:eastAsia="Arial" w:hAnsi="Arial"/>
          <w:sz w:val="18"/>
          <w:szCs w:val="18"/>
          <w:color w:val="auto"/>
        </w:rPr>
        <w:t>862</w:t>
      </w:r>
    </w:p>
    <w:p>
      <w:pPr>
        <w:spacing w:after="0" w:line="22" w:lineRule="exact"/>
        <w:rPr>
          <w:rFonts w:ascii="Arial" w:cs="Arial" w:eastAsia="Arial" w:hAnsi="Arial"/>
          <w:sz w:val="18"/>
          <w:szCs w:val="18"/>
          <w:color w:val="auto"/>
        </w:rPr>
      </w:pPr>
    </w:p>
    <w:p>
      <w:pPr>
        <w:ind w:left="965"/>
        <w:spacing w:after="0"/>
        <w:rPr>
          <w:rFonts w:ascii="Arial" w:cs="Arial" w:eastAsia="Arial" w:hAnsi="Arial"/>
          <w:sz w:val="18"/>
          <w:szCs w:val="18"/>
          <w:color w:val="auto"/>
        </w:rPr>
      </w:pPr>
      <w:r>
        <w:rPr>
          <w:rFonts w:ascii="Arial" w:cs="Arial" w:eastAsia="Arial" w:hAnsi="Arial"/>
          <w:sz w:val="18"/>
          <w:szCs w:val="18"/>
          <w:color w:val="auto"/>
        </w:rPr>
        <w:t>667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(1,013)</w:t>
      </w:r>
    </w:p>
    <w:p>
      <w:pPr>
        <w:spacing w:after="0" w:line="35" w:lineRule="exact"/>
        <w:rPr>
          <w:sz w:val="20"/>
          <w:szCs w:val="20"/>
          <w:color w:val="auto"/>
        </w:rPr>
      </w:pPr>
    </w:p>
    <w:p>
      <w:pPr>
        <w:ind w:left="825" w:hanging="825"/>
        <w:spacing w:after="0"/>
        <w:tabs>
          <w:tab w:leader="none" w:pos="8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4,966</w:t>
      </w:r>
    </w:p>
    <w:p>
      <w:pPr>
        <w:spacing w:after="0" w:line="23" w:lineRule="exact"/>
        <w:rPr>
          <w:rFonts w:ascii="Arial" w:cs="Arial" w:eastAsia="Arial" w:hAnsi="Arial"/>
          <w:sz w:val="18"/>
          <w:szCs w:val="18"/>
          <w:color w:val="auto"/>
        </w:rPr>
      </w:pPr>
    </w:p>
    <w:p>
      <w:pPr>
        <w:ind w:left="825"/>
        <w:spacing w:after="0"/>
        <w:rPr>
          <w:rFonts w:ascii="Arial" w:cs="Arial" w:eastAsia="Arial" w:hAnsi="Arial"/>
          <w:sz w:val="18"/>
          <w:szCs w:val="18"/>
          <w:color w:val="auto"/>
        </w:rPr>
      </w:pPr>
      <w:r>
        <w:rPr>
          <w:rFonts w:ascii="Arial" w:cs="Arial" w:eastAsia="Arial" w:hAnsi="Arial"/>
          <w:sz w:val="18"/>
          <w:szCs w:val="18"/>
          <w:color w:val="auto"/>
        </w:rPr>
        <w:t>1,166</w:t>
      </w:r>
    </w:p>
    <w:p>
      <w:pPr>
        <w:spacing w:after="0" w:line="22" w:lineRule="exact"/>
        <w:rPr>
          <w:rFonts w:ascii="Arial" w:cs="Arial" w:eastAsia="Arial" w:hAnsi="Arial"/>
          <w:sz w:val="18"/>
          <w:szCs w:val="18"/>
          <w:color w:val="auto"/>
        </w:rPr>
      </w:pPr>
    </w:p>
    <w:p>
      <w:pPr>
        <w:ind w:left="965"/>
        <w:spacing w:after="0"/>
        <w:rPr>
          <w:rFonts w:ascii="Arial" w:cs="Arial" w:eastAsia="Arial" w:hAnsi="Arial"/>
          <w:sz w:val="18"/>
          <w:szCs w:val="18"/>
          <w:color w:val="auto"/>
        </w:rPr>
      </w:pPr>
      <w:r>
        <w:rPr>
          <w:rFonts w:ascii="Arial" w:cs="Arial" w:eastAsia="Arial" w:hAnsi="Arial"/>
          <w:sz w:val="18"/>
          <w:szCs w:val="18"/>
          <w:color w:val="auto"/>
        </w:rPr>
        <w:t>381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(1,388)</w:t>
      </w:r>
    </w:p>
    <w:p>
      <w:pPr>
        <w:spacing w:after="0" w:line="35" w:lineRule="exact"/>
        <w:rPr>
          <w:sz w:val="20"/>
          <w:szCs w:val="20"/>
          <w:color w:val="auto"/>
        </w:rPr>
      </w:pPr>
    </w:p>
    <w:p>
      <w:pPr>
        <w:ind w:left="825" w:hanging="825"/>
        <w:spacing w:after="0"/>
        <w:tabs>
          <w:tab w:leader="none" w:pos="8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840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5" w:space="720"/>
            <w:col w:w="1305"/>
          </w:cols>
          <w:pgMar w:left="320" w:top="125" w:right="339" w:bottom="1440" w:gutter="0" w:footer="0" w:header="0"/>
          <w:type w:val="continuous"/>
        </w:sectPr>
      </w:pPr>
    </w:p>
    <w:p>
      <w:pPr>
        <w:spacing w:after="0" w:line="16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Included in the balance of unrecognized benefits at December 31, 2021 is $5,125 of tax benefits that, if recognized in future periods, would impact our effective tax rate. During the years ended December 31, 2021 and 2020, we recognized interest and penalties of ($42) and $173, respectively, as a component of income tax expense (benefit) in connection with our liabilities related to uncertain tax positions.</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Within the next twelve months, we expect to decrease our unrecognized tax benefits by approximately $1,389 as a result of the expiration of statute of limitations.</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2018, or for any U.S. state income tax audit prior to 2015. With respect to Canada and Puerto Rico, we are no longer subject to income tax audits for years before 2018 and 2017,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(13)Related Party Transactions</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Advertising Company or its subsidiaries through common ownership and directorate control.</w:t>
      </w:r>
    </w:p>
    <w:p>
      <w:pPr>
        <w:spacing w:after="0" w:line="170" w:lineRule="exact"/>
        <w:rPr>
          <w:sz w:val="20"/>
          <w:szCs w:val="20"/>
          <w:color w:val="auto"/>
        </w:rPr>
      </w:pPr>
    </w:p>
    <w:p>
      <w:pPr>
        <w:jc w:val="both"/>
        <w:ind w:firstLine="567"/>
        <w:spacing w:after="0" w:line="269" w:lineRule="auto"/>
        <w:rPr>
          <w:sz w:val="20"/>
          <w:szCs w:val="20"/>
          <w:color w:val="auto"/>
        </w:rPr>
      </w:pPr>
      <w:r>
        <w:rPr>
          <w:rFonts w:ascii="Arial" w:cs="Arial" w:eastAsia="Arial" w:hAnsi="Arial"/>
          <w:sz w:val="17"/>
          <w:szCs w:val="17"/>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 data back-up and recovery services to businesses. During the years ended December 31, 2021 and 2020, the Company was a customer of EATEL for data back-up and recovery services. The aggregate amount paid by the Company to EATEL for such services was $315 and $311 for the years ended December 31, 2021 and 2020, respectively. The Company was also contracted by EATEL to provide advertising services in the aggregate amount of $139 and $134 for the years ended December 31, 2021 and 2020, respectively.</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had $1,066 and no receivables from employees or executive officers at December 31, 2021 and 2020, respectively.</w:t>
      </w:r>
    </w:p>
    <w:p>
      <w:pPr>
        <w:spacing w:after="0" w:line="22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On July 12, 2021, Lamar invested $30,000 to acquire a 20% minority interest in Vistar Media, a leading global developer of programmatic technology for the digital out-of-home sector. For the year ended December 31, 2021, the Company recognized revenue of $10,586 from advertisements generated through Vistar's programmatic technology platform. We also incurred expenses of $880 related to these advertisements for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(14)Stockholders’ Equity</w:t>
      </w:r>
    </w:p>
    <w:p>
      <w:pPr>
        <w:spacing w:after="0" w:line="121"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2021 was $3,649. The Series AA preferred stock is entitled to one vote per share.</w:t>
      </w:r>
    </w:p>
    <w:p>
      <w:pPr>
        <w:spacing w:after="0" w:line="178" w:lineRule="exact"/>
        <w:rPr>
          <w:sz w:val="20"/>
          <w:szCs w:val="20"/>
          <w:color w:val="auto"/>
        </w:rPr>
      </w:pPr>
    </w:p>
    <w:p>
      <w:pPr>
        <w:jc w:val="both"/>
        <w:ind w:firstLine="567"/>
        <w:spacing w:after="0" w:line="290" w:lineRule="auto"/>
        <w:rPr>
          <w:sz w:val="20"/>
          <w:szCs w:val="20"/>
          <w:color w:val="auto"/>
        </w:rPr>
      </w:pPr>
      <w:r>
        <w:rPr>
          <w:rFonts w:ascii="Arial" w:cs="Arial" w:eastAsia="Arial" w:hAnsi="Arial"/>
          <w:sz w:val="16"/>
          <w:szCs w:val="16"/>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65"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On May 1, 2018, the Company entered into an equity distribution agreement (the “Sales Agreement”) with J.P. Morgan Securities LLC, 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18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18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w:t>
      </w:r>
    </w:p>
    <w:p>
      <w:pPr>
        <w:spacing w:after="0" w:line="188"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As of December 31, 2021, no shares of our Class A common stock have been sold under the 2021 Sales Agreement and accordingly $400,000 remained available to be sold under the 2021 Sales Agreement as of December 31, 2021.</w:t>
      </w:r>
    </w:p>
    <w:p>
      <w:pPr>
        <w:spacing w:after="0" w:line="170"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On August 6, 2018, the Company filed an automatically effective shelf registration statement that registered the offer and sale of an indeterminate amount of additional shares of our Class A common stock, which expired in August 2021. There were no shares issued under this shelf registration during the year ended December 31, 2021. On June 21, 2021, the Company filed a new automatically effective shelf registration statement that allows Lamar Advertising to offer and sell an indeterminate amount of additional shares of its Class A common stock on similar terms as the prior registration statement. As of December 31, 2021, the Company did not issue any shares under this shelf registration.</w:t>
      </w:r>
    </w:p>
    <w:p>
      <w:pPr>
        <w:spacing w:after="0" w:line="176"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On September 20, 2021, the Board of Directors authorized the extension of the repurchase program through March 31, 2023. There were no repurchases under the program as of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(15)Stock Compensation Plans</w:t>
      </w:r>
    </w:p>
    <w:p>
      <w:pPr>
        <w:spacing w:after="0" w:line="121"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17"/>
          <w:szCs w:val="17"/>
          <w:color w:val="auto"/>
        </w:rPr>
        <w:t>Lamar’s 1996 Equity Incentive Plan, as amended, (the “1996 Plan”) has reserved 17.5 million shares of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issuance to directors and employees, including shares underlying granted options and common stock reserved for issuance under its performance-based incentive program.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78"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Company is required to classify the awards affected by the amendment as liability-classified awards at fair value each period prior to their settlement. As of December 31, 2021 and 2020, the Company recorded a liability, in accrued expenses, of $30,450 and $11,589, respectively, related to its equity incentive awards affected by this amendment.</w:t>
      </w:r>
    </w:p>
    <w:p>
      <w:pPr>
        <w:spacing w:after="0" w:line="16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highly subjective assumptions, including expected term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8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184"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Grant Year</w:t>
            </w:r>
          </w:p>
        </w:tc>
        <w:tc>
          <w:tcPr>
            <w:tcW w:w="3620" w:type="dxa"/>
            <w:vAlign w:val="bottom"/>
          </w:tcPr>
          <w:p>
            <w:pPr>
              <w:jc w:val="center"/>
              <w:ind w:left="2148"/>
              <w:spacing w:after="0"/>
              <w:rPr>
                <w:sz w:val="20"/>
                <w:szCs w:val="20"/>
                <w:color w:val="auto"/>
              </w:rPr>
            </w:pPr>
            <w:r>
              <w:rPr>
                <w:rFonts w:ascii="Arial" w:cs="Arial" w:eastAsia="Arial" w:hAnsi="Arial"/>
                <w:sz w:val="14"/>
                <w:szCs w:val="14"/>
                <w:b w:val="1"/>
                <w:bCs w:val="1"/>
                <w:color w:val="auto"/>
                <w:w w:val="94"/>
              </w:rPr>
              <w:t>Dividend</w:t>
            </w: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Expected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Risk Free</w:t>
            </w: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86"/>
        </w:trPr>
        <w:tc>
          <w:tcPr>
            <w:tcW w:w="3340" w:type="dxa"/>
            <w:vAlign w:val="bottom"/>
            <w:vMerge w:val="continue"/>
          </w:tcPr>
          <w:p>
            <w:pPr>
              <w:spacing w:after="0"/>
              <w:rPr>
                <w:sz w:val="16"/>
                <w:szCs w:val="16"/>
                <w:color w:val="auto"/>
              </w:rPr>
            </w:pPr>
          </w:p>
        </w:tc>
        <w:tc>
          <w:tcPr>
            <w:tcW w:w="3620" w:type="dxa"/>
            <w:vAlign w:val="bottom"/>
          </w:tcPr>
          <w:p>
            <w:pPr>
              <w:jc w:val="center"/>
              <w:ind w:left="2148"/>
              <w:spacing w:after="0"/>
              <w:rPr>
                <w:sz w:val="20"/>
                <w:szCs w:val="20"/>
                <w:color w:val="auto"/>
              </w:rPr>
            </w:pPr>
            <w:r>
              <w:rPr>
                <w:rFonts w:ascii="Arial" w:cs="Arial" w:eastAsia="Arial" w:hAnsi="Arial"/>
                <w:sz w:val="14"/>
                <w:szCs w:val="14"/>
                <w:b w:val="1"/>
                <w:bCs w:val="1"/>
                <w:color w:val="auto"/>
                <w:w w:val="95"/>
              </w:rPr>
              <w:t>Yield</w:t>
            </w: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Volatility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94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Lives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right w:val="single" w:sz="8" w:color="CCEEFF"/>
            </w:tcBorders>
            <w:shd w:val="clear" w:color="auto" w:fill="CFF0FC"/>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20" w:type="dxa"/>
            <w:vAlign w:val="bottom"/>
            <w:gridSpan w:val="2"/>
          </w:tcPr>
          <w:p>
            <w:pPr>
              <w:jc w:val="right"/>
              <w:ind w:right="415"/>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56"/>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ind w:right="54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15"/>
              <w:spacing w:after="0"/>
              <w:rPr>
                <w:sz w:val="20"/>
                <w:szCs w:val="20"/>
                <w:color w:val="auto"/>
              </w:rPr>
            </w:pPr>
            <w:r>
              <w:rPr>
                <w:rFonts w:ascii="Arial" w:cs="Arial" w:eastAsia="Arial" w:hAnsi="Arial"/>
                <w:sz w:val="18"/>
                <w:szCs w:val="18"/>
                <w:color w:val="auto"/>
              </w:rPr>
              <w:t>46%</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56"/>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54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7040" w:type="dxa"/>
            <w:vAlign w:val="bottom"/>
            <w:gridSpan w:val="4"/>
          </w:tcPr>
          <w:p>
            <w:pPr>
              <w:ind w:left="580"/>
              <w:spacing w:after="0"/>
              <w:rPr>
                <w:sz w:val="20"/>
                <w:szCs w:val="20"/>
                <w:color w:val="auto"/>
              </w:rPr>
            </w:pPr>
            <w:r>
              <w:rPr>
                <w:rFonts w:ascii="Arial" w:cs="Arial" w:eastAsia="Arial" w:hAnsi="Arial"/>
                <w:sz w:val="18"/>
                <w:szCs w:val="18"/>
                <w:color w:val="auto"/>
                <w:w w:val="90"/>
              </w:rPr>
              <w:t>Information regarding the 1996 Plan for the year ended December 31, 2021 is as follows: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1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4"/>
        </w:trPr>
        <w:tc>
          <w:tcPr>
            <w:tcW w:w="562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Outstanding, beginning of year</w:t>
            </w:r>
          </w:p>
        </w:tc>
        <w:tc>
          <w:tcPr>
            <w:tcW w:w="1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598,926</w:t>
            </w:r>
          </w:p>
        </w:tc>
        <w:tc>
          <w:tcPr>
            <w:tcW w:w="180" w:type="dxa"/>
            <w:vAlign w:val="bottom"/>
            <w:tcBorders>
              <w:top w:val="single" w:sz="8" w:color="auto"/>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76,500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(156,491)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Outstanding, end of year</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518,935</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Exercisable at end of year</w:t>
            </w:r>
          </w:p>
        </w:tc>
        <w:tc>
          <w:tcPr>
            <w:tcW w:w="1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353,035</w:t>
            </w:r>
          </w:p>
        </w:tc>
        <w:tc>
          <w:tcPr>
            <w:tcW w:w="180" w:type="dxa"/>
            <w:vAlign w:val="bottom"/>
            <w:tcBorders>
              <w:bottom w:val="single" w:sz="8" w:color="auto"/>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At December 31, 2021 there was $2,785 of unrecognized compensation cost related to stock options granted which is expected to be recognized over a weighted-average period of 1.78 years.</w:t>
      </w:r>
    </w:p>
    <w:p>
      <w:pPr>
        <w:spacing w:after="0" w:line="17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Shares available for future stock option and restricted share grants to employees and directors under existing plans were 2,268,181 at December 31, 2021. The aggregate intrinsic value of options outstanding as of December 31, 2021 was $29,032, and the aggregate intrinsic value of options exercisable was $22,941. Total intrinsic value of options exercised was $5,572 for the year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212529"/>
        </w:rPr>
        <w:t>Lamar Advertising’s 2009 Employee Stock Purchase Plan (the “2009 ESPP”), approved by our shareholders on May 28,</w:t>
      </w:r>
      <w:r>
        <w:rPr>
          <w:rFonts w:ascii="Arial" w:cs="Arial" w:eastAsia="Arial" w:hAnsi="Arial"/>
          <w:sz w:val="18"/>
          <w:szCs w:val="18"/>
          <w:i w:val="1"/>
          <w:iCs w:val="1"/>
          <w:color w:val="auto"/>
        </w:rPr>
        <w:t xml:space="preserve"> </w:t>
      </w:r>
      <w:r>
        <w:rPr>
          <w:rFonts w:ascii="Arial" w:cs="Arial" w:eastAsia="Arial" w:hAnsi="Arial"/>
          <w:sz w:val="18"/>
          <w:szCs w:val="18"/>
          <w:color w:val="212529"/>
        </w:rPr>
        <w:t>2009, expired by its terms on June 30, 2019. On May 30, 2019, our shareholders approved Lamar Advertising’s 2019 Employee Stock Purchase Plan (the “2019 ESPP”). The 2019 ESPP became effective upon the expiration of the 2009 ESPP. The number of shares of Class A common stock available for issuance under the 2019 ESPP was automatically increased by 86,490 shares on January 1, 2021 pursuant to the automatic increase provisions of the 2019 ESPP.</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2019 ESPP share activity for the year ended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2020</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369,771</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20" w:type="dxa"/>
            <w:vAlign w:val="bottom"/>
          </w:tcPr>
          <w:p>
            <w:pPr>
              <w:jc w:val="right"/>
              <w:spacing w:after="0"/>
              <w:rPr>
                <w:sz w:val="20"/>
                <w:szCs w:val="20"/>
                <w:color w:val="auto"/>
              </w:rPr>
            </w:pPr>
            <w:r>
              <w:rPr>
                <w:rFonts w:ascii="Arial" w:cs="Arial" w:eastAsia="Arial" w:hAnsi="Arial"/>
                <w:sz w:val="18"/>
                <w:szCs w:val="18"/>
                <w:color w:val="auto"/>
              </w:rPr>
              <w:t>86,490</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(114,035)</w:t>
            </w: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Available for future purchases,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342,226</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Unrestricted shares of our Class A common stock may be awarded to key officers, employees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1996 Plan based on certain Company performance measures for fiscal year 2021. The number of shares to be issued, if any, are dependent on the level of achievement of these performance measures as determined by the Company’s Compensation Committee based on our 2021 results and are issued in the first half of 2022. The shares subject to these awards generally can range from a minimum of 0% to a maximum of either 100% of the target number of shares or 150% of a target dollar amount depending on the level at which the goals are attained. Based on the Company’s performance measures achieved through December 31, 2021, the Company has accrued $29,324 as stock-based compensation expense related to these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(16)Benefit Plans</w:t>
      </w:r>
    </w:p>
    <w:p>
      <w:pPr>
        <w:spacing w:after="0" w:line="121"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7"/>
          <w:szCs w:val="17"/>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2021, the Company maintained $8,164 in letters of credit with a bank to meet requirements of the Company’s worker’s compensation and general liability insurance carrier.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Profit Sharing Plan</w:t>
      </w:r>
    </w:p>
    <w:p>
      <w:pPr>
        <w:spacing w:after="0" w:line="117"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6"/>
          <w:szCs w:val="16"/>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$5,811, $5,714 and $5,688 for the years ended December 31, 2021, 2020 and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7"/>
          <w:szCs w:val="17"/>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2021, 2020 and 2019, the Company contributed $1,540, $1,616 and $1,675,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(17)Commitment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Our off balance sheet commitments consist of guaranteed minimum payments to local transit municipalities and airport authorities for agreements which entitle us to rent advertising space to customers, in airports and on buses, benches or shelters. Also included are other contractual agreements that occur in the ordinary course of business which do not meet the criteria of a lease under ASC 842. The following is a summary of the minimum payments related to these agreements.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49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35,641</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2023</w:t>
            </w:r>
          </w:p>
        </w:tc>
        <w:tc>
          <w:tcPr>
            <w:tcW w:w="4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28,865</w:t>
            </w:r>
          </w:p>
        </w:tc>
      </w:tr>
      <w:tr>
        <w:trPr>
          <w:trHeight w:val="22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9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2025</w:t>
            </w:r>
          </w:p>
        </w:tc>
        <w:tc>
          <w:tcPr>
            <w:tcW w:w="4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20,397</w:t>
            </w:r>
          </w:p>
        </w:tc>
      </w:tr>
      <w:tr>
        <w:trPr>
          <w:trHeight w:val="22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9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20,051</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right="20" w:firstLine="567"/>
        <w:spacing w:after="0" w:line="34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(18)Distribution Restrictions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the senior credit facility. As of December 31, 2021 and 2020, Lamar Media was permitted under the terms of its outstanding senior subordinated and senior notes to make transfers to Lamar Advertising in the form of cash dividends, loans or advances in amounts up to $3,921,979 and $3,625,712, respectively.</w:t>
      </w:r>
    </w:p>
    <w:p>
      <w:pPr>
        <w:spacing w:after="0" w:line="187"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As of December 31, 2021, the senior credit facility allows Lamar Media to make transfers to Lamar Advertising in any taxable year up to the amount of Lamar Advertising’s taxable income (without any deduction for dividends paid). In addition, as of December 31, 2021, transfers to Lamar Advertising are permitted under the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2021, the total debt ratio was less than 7.0 to 1 and Lamar Media’s secured debt ratio was less than 4.5 to 1, and the available cumulative credit was $2,672,459.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(19)Fair Value of Financial Instruments</w:t>
      </w:r>
    </w:p>
    <w:p>
      <w:pPr>
        <w:spacing w:after="0" w:line="121"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At December 31, 2021 and 2020,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long-term debt (including current maturities) was $3,059,961, which is greater than both the gross and carrying amount of $3,050,454 as of December 31, 2021. The majority of the fair value is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determined using observed prices of publicly traded debt (level 1 in the fair value hierarchy) and the remaining is valued based on quoted prices for similar debt (level 2 in the fair value hierarchy).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(20)Information about Geographic Areas</w:t>
      </w:r>
    </w:p>
    <w:p>
      <w:pPr>
        <w:spacing w:after="0" w:line="121" w:lineRule="exact"/>
        <w:rPr>
          <w:sz w:val="20"/>
          <w:szCs w:val="20"/>
          <w:color w:val="auto"/>
        </w:rPr>
      </w:pPr>
    </w:p>
    <w:p>
      <w:pPr>
        <w:jc w:val="both"/>
        <w:ind w:firstLine="567"/>
        <w:spacing w:after="0" w:line="286" w:lineRule="auto"/>
        <w:rPr>
          <w:sz w:val="20"/>
          <w:szCs w:val="20"/>
          <w:color w:val="auto"/>
        </w:rPr>
      </w:pPr>
      <w:r>
        <w:rPr>
          <w:rFonts w:ascii="Arial" w:cs="Arial" w:eastAsia="Arial" w:hAnsi="Arial"/>
          <w:sz w:val="17"/>
          <w:szCs w:val="17"/>
          <w:color w:val="auto"/>
        </w:rPr>
        <w:t>Revenues from external customers attributable to foreign countries totaled $24,354, $22,819 and $34,517 for the years ended December 31, 2021, 2020 and 2019, respectively. Net carrying value of long-lived assets located in foreign countries totaled $11,318 and $8,727 as of December 31, 2021 and 2020, respectively. All other revenues from external customers and long-lived assets relate to domestic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New Accounting Pronouncements</w:t>
      </w:r>
    </w:p>
    <w:p>
      <w:pPr>
        <w:spacing w:after="0" w:line="12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79"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which provides optional expedients and exceptions to account for contracts, hedging relationships and other transactions that 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London Interbank Offered Rate (“LIBOR”) or another reference rate if certain criteria are met. In January 2021, the FASB clarified the scope of this guidance with the issuance of ASU 2021-01, </w:t>
      </w:r>
      <w:r>
        <w:rPr>
          <w:rFonts w:ascii="Arial" w:cs="Arial" w:eastAsia="Arial" w:hAnsi="Arial"/>
          <w:sz w:val="17"/>
          <w:szCs w:val="17"/>
          <w:i w:val="1"/>
          <w:iCs w:val="1"/>
          <w:color w:val="auto"/>
        </w:rPr>
        <w:t>Reference Rate Reform: Scope</w:t>
      </w:r>
      <w:r>
        <w:rPr>
          <w:rFonts w:ascii="Arial" w:cs="Arial" w:eastAsia="Arial" w:hAnsi="Arial"/>
          <w:sz w:val="17"/>
          <w:szCs w:val="17"/>
          <w:color w:val="auto"/>
        </w:rPr>
        <w:t>. ASU 2020-04 may be applied prospectively to contract modifications made and hedging relationships entered into or evaluated on or before December 31, 2022. As of December 31, 2021, the Company has not modified any contracts as a result of reference rate reform and is evaluating the impact this standard may have on its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Charged to</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5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Costs and</w:t>
            </w: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Period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Expenses</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1"/>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22,902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20,997</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2019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23"/>
                <w:szCs w:val="23"/>
                <w:b w:val="1"/>
                <w:bCs w:val="1"/>
                <w:color w:val="auto"/>
                <w:vertAlign w:val="superscript"/>
              </w:rPr>
              <w:t>(1)</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Encumbrances</w:t>
            </w:r>
          </w:p>
        </w:tc>
        <w:tc>
          <w:tcPr>
            <w:tcW w:w="148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Construction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89"/>
        </w:trPr>
        <w:tc>
          <w:tcPr>
            <w:tcW w:w="18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13"/>
                <w:szCs w:val="13"/>
                <w:b w:val="1"/>
                <w:bCs w:val="1"/>
                <w:color w:val="auto"/>
                <w:w w:val="96"/>
              </w:rPr>
              <w:t>Amount</w:t>
            </w:r>
            <w:r>
              <w:rPr>
                <w:rFonts w:ascii="Arial" w:cs="Arial" w:eastAsia="Arial" w:hAnsi="Arial"/>
                <w:sz w:val="21"/>
                <w:szCs w:val="21"/>
                <w:b w:val="1"/>
                <w:bCs w:val="1"/>
                <w:color w:val="auto"/>
                <w:w w:val="96"/>
                <w:vertAlign w:val="superscript"/>
              </w:rPr>
              <w:t>(3)</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354,053 Displays</w:t>
            </w:r>
          </w:p>
        </w:tc>
        <w:tc>
          <w:tcPr>
            <w:tcW w:w="100" w:type="dxa"/>
            <w:vAlign w:val="bottom"/>
          </w:tcPr>
          <w:p>
            <w:pPr>
              <w:spacing w:after="0"/>
              <w:rPr>
                <w:sz w:val="19"/>
                <w:szCs w:val="19"/>
                <w:color w:val="auto"/>
              </w:rPr>
            </w:pPr>
          </w:p>
        </w:tc>
        <w:tc>
          <w:tcPr>
            <w:tcW w:w="126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3,439,618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(2,287,590)</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single asset exceeded 5% of the total gross carrying amount at December 31, 2021</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information is omitted, as it would be impracticable to compile such information on a site-by-site basis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sites under construction</w:t>
      </w:r>
    </w:p>
    <w:p>
      <w:pPr>
        <w:spacing w:after="0" w:line="21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r>
      <w:tr>
        <w:trPr>
          <w:trHeight w:val="216"/>
        </w:trPr>
        <w:tc>
          <w:tcPr>
            <w:tcW w:w="70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real estate assets:</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3,293,778</w:t>
            </w:r>
          </w:p>
        </w:tc>
        <w:tc>
          <w:tcPr>
            <w:tcW w:w="4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3,333,590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3,201,434</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w:t>
            </w: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w w:val="99"/>
              </w:rPr>
              <w:t>Capital expenditures on improvements/redevelopments of 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25,025</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Capital expenditures other recurring</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36,354</w:t>
            </w:r>
          </w:p>
        </w:tc>
      </w:tr>
      <w:tr>
        <w:trPr>
          <w:trHeight w:val="229"/>
        </w:trPr>
        <w:tc>
          <w:tcPr>
            <w:tcW w:w="7060" w:type="dxa"/>
            <w:vAlign w:val="bottom"/>
          </w:tcPr>
          <w:p>
            <w:pPr>
              <w:ind w:left="180"/>
              <w:spacing w:after="0" w:line="230" w:lineRule="exact"/>
              <w:rPr>
                <w:sz w:val="20"/>
                <w:szCs w:val="20"/>
                <w:color w:val="auto"/>
              </w:rPr>
            </w:pPr>
            <w:r>
              <w:rPr>
                <w:rFonts w:ascii="Arial" w:cs="Arial" w:eastAsia="Arial" w:hAnsi="Arial"/>
                <w:sz w:val="18"/>
                <w:szCs w:val="18"/>
                <w:color w:val="auto"/>
              </w:rPr>
              <w:t>Land acquisitions</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22,965</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(35,320)</w:t>
            </w: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3,439,618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3,333,590</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2,192,700</w:t>
            </w:r>
          </w:p>
        </w:tc>
        <w:tc>
          <w:tcPr>
            <w:tcW w:w="4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2,166,579</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2,082,335</w:t>
            </w: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111,531</w:t>
            </w: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(27,890)</w:t>
            </w: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2,166,579</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non-cash amounts of $1,541, $621 and $554 at December 31, 2021, 2020 and 2019, respectively</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Includes non-cash amounts of $48,848 at December 31, 2021 related to the revision in cost estimate included in the calculation of asset retirement obligations</w:t>
      </w:r>
    </w:p>
    <w:p>
      <w:pPr>
        <w:spacing w:after="0" w:line="70" w:lineRule="exact"/>
        <w:rPr>
          <w:rFonts w:ascii="Arial" w:cs="Arial" w:eastAsia="Arial" w:hAnsi="Arial"/>
          <w:sz w:val="15"/>
          <w:szCs w:val="15"/>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preliminary allocation of assets acquired during 2021</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non-cash amounts of $3,843 and $1,928 at December 31, 2021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20" w:type="dxa"/>
            <w:vAlign w:val="bottom"/>
            <w:gridSpan w:val="1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Management’s Report on Internal Control Over Financial Reporting</w:t>
              </w:r>
            </w:hyperlink>
          </w:p>
        </w:tc>
        <w:tc>
          <w:tcPr>
            <w:tcW w:w="6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10"/>
          </w:tcPr>
          <w:p>
            <w:pPr>
              <w:spacing w:after="0"/>
              <w:rPr>
                <w:rFonts w:ascii="Arial" w:cs="Arial" w:eastAsia="Arial" w:hAnsi="Arial"/>
                <w:sz w:val="18"/>
                <w:szCs w:val="18"/>
                <w:color w:val="0000FF"/>
                <w:w w:val="98"/>
              </w:rPr>
            </w:pPr>
            <w:hyperlink w:anchor="page82">
              <w:r>
                <w:rPr>
                  <w:rFonts w:ascii="Arial" w:cs="Arial" w:eastAsia="Arial" w:hAnsi="Arial"/>
                  <w:sz w:val="18"/>
                  <w:szCs w:val="18"/>
                  <w:color w:val="0000FF"/>
                  <w:w w:val="98"/>
                </w:rPr>
                <w:t xml:space="preserve">Report of Independent Registered Public Accounting Firm — Opinion on Internal Control Over Financial Reporting </w:t>
              </w:r>
            </w:hyperlink>
            <w:r>
              <w:rPr>
                <w:rFonts w:ascii="Arial" w:cs="Arial" w:eastAsia="Arial" w:hAnsi="Arial"/>
                <w:sz w:val="18"/>
                <w:szCs w:val="18"/>
                <w:color w:val="000000"/>
                <w:w w:val="98"/>
              </w:rPr>
              <w:t>(KPMG</w:t>
            </w:r>
            <w:r>
              <w:rPr>
                <w:rFonts w:ascii="Arial" w:cs="Arial" w:eastAsia="Arial" w:hAnsi="Arial"/>
                <w:sz w:val="18"/>
                <w:szCs w:val="18"/>
                <w:color w:val="0000FF"/>
                <w:w w:val="98"/>
              </w:rPr>
              <w:t xml:space="preserve"> </w:t>
            </w:r>
            <w:r>
              <w:rPr>
                <w:rFonts w:ascii="Arial" w:cs="Arial" w:eastAsia="Arial" w:hAnsi="Arial"/>
                <w:sz w:val="18"/>
                <w:szCs w:val="18"/>
                <w:color w:val="000000"/>
                <w:w w:val="98"/>
              </w:rPr>
              <w:t>LLP, Baton</w:t>
            </w:r>
          </w:p>
        </w:tc>
        <w:tc>
          <w:tcPr>
            <w:tcW w:w="640" w:type="dxa"/>
            <w:vAlign w:val="bottom"/>
            <w:vMerge w:val="restart"/>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195"/>
        </w:trPr>
        <w:tc>
          <w:tcPr>
            <w:tcW w:w="8400" w:type="dxa"/>
            <w:vAlign w:val="bottom"/>
            <w:tcBorders>
              <w:top w:val="single" w:sz="8" w:color="0000FF"/>
            </w:tcBorders>
            <w:gridSpan w:val="8"/>
          </w:tcPr>
          <w:p>
            <w:pPr>
              <w:spacing w:after="0" w:line="195" w:lineRule="exact"/>
              <w:rPr>
                <w:sz w:val="20"/>
                <w:szCs w:val="20"/>
                <w:color w:val="auto"/>
              </w:rPr>
            </w:pPr>
            <w:r>
              <w:rPr>
                <w:rFonts w:ascii="Arial" w:cs="Arial" w:eastAsia="Arial" w:hAnsi="Arial"/>
                <w:sz w:val="18"/>
                <w:szCs w:val="18"/>
                <w:color w:val="auto"/>
              </w:rPr>
              <w:t>Rouge, LA, Audit Firm ID: 185)</w:t>
            </w: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520" w:type="dxa"/>
            <w:vAlign w:val="bottom"/>
            <w:gridSpan w:val="10"/>
          </w:tcPr>
          <w:p>
            <w:pPr>
              <w:spacing w:after="0" w:line="190" w:lineRule="exact"/>
              <w:rPr>
                <w:rFonts w:ascii="Arial" w:cs="Arial" w:eastAsia="Arial" w:hAnsi="Arial"/>
                <w:sz w:val="18"/>
                <w:szCs w:val="18"/>
                <w:color w:val="0000FF"/>
                <w:w w:val="94"/>
              </w:rPr>
            </w:pPr>
            <w:hyperlink w:anchor="page83">
              <w:r>
                <w:rPr>
                  <w:rFonts w:ascii="Arial" w:cs="Arial" w:eastAsia="Arial" w:hAnsi="Arial"/>
                  <w:sz w:val="18"/>
                  <w:szCs w:val="18"/>
                  <w:color w:val="0000FF"/>
                  <w:w w:val="94"/>
                </w:rPr>
                <w:t xml:space="preserve">Report of Independent Registered Public Accounting Firm — Opinion on the Consolidated Financial Statements </w:t>
              </w:r>
            </w:hyperlink>
            <w:r>
              <w:rPr>
                <w:rFonts w:ascii="Arial" w:cs="Arial" w:eastAsia="Arial" w:hAnsi="Arial"/>
                <w:sz w:val="18"/>
                <w:szCs w:val="18"/>
                <w:color w:val="000000"/>
                <w:w w:val="94"/>
              </w:rPr>
              <w:t>(KPMG</w:t>
            </w:r>
            <w:r>
              <w:rPr>
                <w:rFonts w:ascii="Arial" w:cs="Arial" w:eastAsia="Arial" w:hAnsi="Arial"/>
                <w:sz w:val="18"/>
                <w:szCs w:val="18"/>
                <w:color w:val="0000FF"/>
                <w:w w:val="94"/>
              </w:rPr>
              <w:t xml:space="preserve"> </w:t>
            </w:r>
            <w:r>
              <w:rPr>
                <w:rFonts w:ascii="Arial" w:cs="Arial" w:eastAsia="Arial" w:hAnsi="Arial"/>
                <w:sz w:val="18"/>
                <w:szCs w:val="18"/>
                <w:color w:val="000000"/>
                <w:w w:val="94"/>
              </w:rPr>
              <w:t>LLP, Baton Rouge,</w:t>
            </w:r>
          </w:p>
        </w:tc>
        <w:tc>
          <w:tcPr>
            <w:tcW w:w="640" w:type="dxa"/>
            <w:vAlign w:val="bottom"/>
            <w:vMerge w:val="restart"/>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195"/>
        </w:trPr>
        <w:tc>
          <w:tcPr>
            <w:tcW w:w="8160" w:type="dxa"/>
            <w:vAlign w:val="bottom"/>
            <w:tcBorders>
              <w:top w:val="single" w:sz="8" w:color="0000FF"/>
            </w:tcBorders>
            <w:gridSpan w:val="7"/>
          </w:tcPr>
          <w:p>
            <w:pPr>
              <w:spacing w:after="0" w:line="195" w:lineRule="exact"/>
              <w:rPr>
                <w:sz w:val="20"/>
                <w:szCs w:val="20"/>
                <w:color w:val="auto"/>
              </w:rPr>
            </w:pPr>
            <w:r>
              <w:rPr>
                <w:rFonts w:ascii="Arial" w:cs="Arial" w:eastAsia="Arial" w:hAnsi="Arial"/>
                <w:sz w:val="18"/>
                <w:szCs w:val="18"/>
                <w:color w:val="auto"/>
              </w:rPr>
              <w:t>LA, Audit Firm ID: 185)</w:t>
            </w:r>
          </w:p>
        </w:tc>
        <w:tc>
          <w:tcPr>
            <w:tcW w:w="560" w:type="dxa"/>
            <w:vAlign w:val="bottom"/>
            <w:gridSpan w:val="2"/>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0000FF"/>
            </w:tcBorders>
            <w:gridSpan w:val="2"/>
          </w:tcPr>
          <w:p>
            <w:pPr>
              <w:spacing w:after="0" w:line="190" w:lineRule="exact"/>
              <w:rPr>
                <w:rFonts w:ascii="Arial" w:cs="Arial" w:eastAsia="Arial" w:hAnsi="Arial"/>
                <w:sz w:val="18"/>
                <w:szCs w:val="18"/>
                <w:color w:val="0000FF"/>
                <w:w w:val="88"/>
              </w:rPr>
            </w:pPr>
            <w:hyperlink w:anchor="page85">
              <w:r>
                <w:rPr>
                  <w:rFonts w:ascii="Arial" w:cs="Arial" w:eastAsia="Arial" w:hAnsi="Arial"/>
                  <w:sz w:val="18"/>
                  <w:szCs w:val="18"/>
                  <w:color w:val="0000FF"/>
                  <w:w w:val="88"/>
                </w:rPr>
                <w:t xml:space="preserve">Consolidated Balance Sheets as of December 31, 2021 and </w:t>
              </w:r>
            </w:hyperlink>
            <w:r>
              <w:rPr>
                <w:rFonts w:ascii="Arial" w:cs="Arial" w:eastAsia="Arial" w:hAnsi="Arial"/>
                <w:sz w:val="18"/>
                <w:szCs w:val="18"/>
                <w:color w:val="0000FF"/>
                <w:w w:val="88"/>
              </w:rPr>
              <w:t>2020</w:t>
            </w:r>
          </w:p>
        </w:tc>
        <w:tc>
          <w:tcPr>
            <w:tcW w:w="5860" w:type="dxa"/>
            <w:vAlign w:val="bottom"/>
            <w:gridSpan w:val="8"/>
          </w:tcPr>
          <w:p>
            <w:pPr>
              <w:spacing w:after="0"/>
              <w:rPr>
                <w:sz w:val="16"/>
                <w:szCs w:val="16"/>
                <w:color w:val="auto"/>
              </w:rPr>
            </w:pPr>
          </w:p>
        </w:tc>
        <w:tc>
          <w:tcPr>
            <w:tcW w:w="640" w:type="dxa"/>
            <w:vAlign w:val="bottom"/>
          </w:tcPr>
          <w:p>
            <w:pPr>
              <w:jc w:val="right"/>
              <w:spacing w:after="0" w:line="190" w:lineRule="exact"/>
              <w:rPr>
                <w:rFonts w:ascii="Arial" w:cs="Arial" w:eastAsia="Arial" w:hAnsi="Arial"/>
                <w:sz w:val="18"/>
                <w:szCs w:val="18"/>
                <w:color w:val="auto"/>
              </w:rPr>
            </w:pPr>
            <w:hyperlink w:anchor="page85">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210"/>
        </w:trPr>
        <w:tc>
          <w:tcPr>
            <w:tcW w:w="872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 xml:space="preserve">Consolidated Statements of Income and Comprehensive Income for the years ended December 31, </w:t>
              </w:r>
            </w:hyperlink>
            <w:r>
              <w:rPr>
                <w:rFonts w:ascii="Arial" w:cs="Arial" w:eastAsia="Arial" w:hAnsi="Arial"/>
                <w:sz w:val="18"/>
                <w:szCs w:val="18"/>
                <w:color w:val="0000FF"/>
                <w:w w:val="89"/>
              </w:rPr>
              <w:t xml:space="preserve">2021, 2020 </w:t>
            </w:r>
            <w:hyperlink w:anchor="page86">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1800" w:type="dxa"/>
            <w:vAlign w:val="bottom"/>
          </w:tcPr>
          <w:p>
            <w:pPr>
              <w:spacing w:after="0"/>
              <w:rPr>
                <w:sz w:val="18"/>
                <w:szCs w:val="18"/>
                <w:color w:val="auto"/>
              </w:rPr>
            </w:pPr>
          </w:p>
        </w:tc>
        <w:tc>
          <w:tcPr>
            <w:tcW w:w="6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209"/>
        </w:trPr>
        <w:tc>
          <w:tcPr>
            <w:tcW w:w="10520" w:type="dxa"/>
            <w:vAlign w:val="bottom"/>
            <w:gridSpan w:val="10"/>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 xml:space="preserve">Consolidated Statements of Stockholder’s Equity for the years ended December 31, </w:t>
              </w:r>
            </w:hyperlink>
            <w:r>
              <w:rPr>
                <w:rFonts w:ascii="Arial" w:cs="Arial" w:eastAsia="Arial" w:hAnsi="Arial"/>
                <w:sz w:val="18"/>
                <w:szCs w:val="18"/>
                <w:color w:val="0000FF"/>
              </w:rPr>
              <w:t xml:space="preserve">2021, 2020 </w:t>
            </w:r>
            <w:hyperlink w:anchor="page87">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87</w:t>
              </w:r>
            </w:hyperlink>
          </w:p>
        </w:tc>
        <w:tc>
          <w:tcPr>
            <w:tcW w:w="0" w:type="dxa"/>
            <w:vAlign w:val="bottom"/>
          </w:tcPr>
          <w:p>
            <w:pPr>
              <w:spacing w:after="0"/>
              <w:rPr>
                <w:sz w:val="1"/>
                <w:szCs w:val="1"/>
                <w:color w:val="auto"/>
              </w:rPr>
            </w:pPr>
          </w:p>
        </w:tc>
      </w:tr>
      <w:tr>
        <w:trPr>
          <w:trHeight w:val="209"/>
        </w:trPr>
        <w:tc>
          <w:tcPr>
            <w:tcW w:w="69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2021, 2020 </w:t>
            </w:r>
            <w:hyperlink w:anchor="page88">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2019</w:t>
            </w:r>
          </w:p>
        </w:tc>
        <w:tc>
          <w:tcPr>
            <w:tcW w:w="660" w:type="dxa"/>
            <w:vAlign w:val="bottom"/>
            <w:tcBorders>
              <w:top w:val="single" w:sz="8" w:color="0000FF"/>
            </w:tcBorders>
          </w:tcPr>
          <w:p>
            <w:pPr>
              <w:spacing w:after="0"/>
              <w:rPr>
                <w:sz w:val="18"/>
                <w:szCs w:val="18"/>
                <w:color w:val="auto"/>
              </w:rPr>
            </w:pPr>
          </w:p>
        </w:tc>
        <w:tc>
          <w:tcPr>
            <w:tcW w:w="2940" w:type="dxa"/>
            <w:vAlign w:val="bottom"/>
            <w:gridSpan w:val="5"/>
          </w:tcPr>
          <w:p>
            <w:pPr>
              <w:spacing w:after="0"/>
              <w:rPr>
                <w:sz w:val="18"/>
                <w:szCs w:val="18"/>
                <w:color w:val="auto"/>
              </w:rPr>
            </w:pPr>
          </w:p>
        </w:tc>
        <w:tc>
          <w:tcPr>
            <w:tcW w:w="64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88</w:t>
              </w:r>
            </w:hyperlink>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Notes to Consolidated Financial Statements</w:t>
              </w:r>
            </w:hyperlink>
          </w:p>
        </w:tc>
        <w:tc>
          <w:tcPr>
            <w:tcW w:w="7360" w:type="dxa"/>
            <w:vAlign w:val="bottom"/>
            <w:gridSpan w:val="9"/>
          </w:tcPr>
          <w:p>
            <w:pPr>
              <w:spacing w:after="0"/>
              <w:rPr>
                <w:sz w:val="18"/>
                <w:szCs w:val="18"/>
                <w:color w:val="auto"/>
              </w:rPr>
            </w:pPr>
          </w:p>
        </w:tc>
        <w:tc>
          <w:tcPr>
            <w:tcW w:w="64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89</w:t>
              </w:r>
            </w:hyperlink>
          </w:p>
        </w:tc>
        <w:tc>
          <w:tcPr>
            <w:tcW w:w="0" w:type="dxa"/>
            <w:vAlign w:val="bottom"/>
          </w:tcPr>
          <w:p>
            <w:pPr>
              <w:spacing w:after="0"/>
              <w:rPr>
                <w:sz w:val="1"/>
                <w:szCs w:val="1"/>
                <w:color w:val="auto"/>
              </w:rPr>
            </w:pPr>
          </w:p>
        </w:tc>
      </w:tr>
      <w:tr>
        <w:trPr>
          <w:trHeight w:val="209"/>
        </w:trPr>
        <w:tc>
          <w:tcPr>
            <w:tcW w:w="10520" w:type="dxa"/>
            <w:vAlign w:val="bottom"/>
            <w:gridSpan w:val="1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 xml:space="preserve">Schedule II — Valuation and Qualifying Accounts for the years ended December 31, </w:t>
              </w:r>
            </w:hyperlink>
            <w:r>
              <w:rPr>
                <w:rFonts w:ascii="Arial" w:cs="Arial" w:eastAsia="Arial" w:hAnsi="Arial"/>
                <w:sz w:val="18"/>
                <w:szCs w:val="18"/>
                <w:color w:val="0000FF"/>
              </w:rPr>
              <w:t xml:space="preserve">2021, 2020 </w:t>
            </w:r>
            <w:hyperlink w:anchor="page100">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20"/>
        </w:trPr>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1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 xml:space="preserve">Schedule III — Schedule of Real Estate and Accumulated Depreciation as of December 31, </w:t>
              </w:r>
            </w:hyperlink>
            <w:r>
              <w:rPr>
                <w:rFonts w:ascii="Arial" w:cs="Arial" w:eastAsia="Arial" w:hAnsi="Arial"/>
                <w:sz w:val="18"/>
                <w:szCs w:val="18"/>
                <w:color w:val="0000FF"/>
              </w:rPr>
              <w:t xml:space="preserve">2021, 2020 </w:t>
            </w:r>
            <w:hyperlink w:anchor="page101">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64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101</w:t>
              </w:r>
            </w:hyperlink>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jc w:val="both"/>
        <w:ind w:firstLine="567"/>
        <w:spacing w:after="0" w:line="273" w:lineRule="auto"/>
        <w:rPr>
          <w:sz w:val="20"/>
          <w:szCs w:val="20"/>
          <w:color w:val="auto"/>
        </w:rPr>
      </w:pPr>
      <w:r>
        <w:rPr>
          <w:rFonts w:ascii="Arial" w:cs="Arial" w:eastAsia="Arial" w:hAnsi="Arial"/>
          <w:sz w:val="17"/>
          <w:szCs w:val="17"/>
          <w:color w:val="auto"/>
        </w:rPr>
        <w:t xml:space="preserve">Lamar Media Corp.’s management assessed the effectiveness of Lamar Media Corp.’s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this assessment, Lamar Media Corp.’s management has concluded that, as of December 31, 2021, Lamar Media Corp.’s internal control over financial reporting is effective based on those criteria. The effectiveness of Lamar Media Corp.’s internal control over financial reporting as of December 31, 2021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audited Lamar Media Corp. and subsidiaries' (the Company)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and comprehensive income, stockholder’s equity, and cash flows for each of the years in the three-year period ended December 31, 2021, and the related notes and financial statement schedules II to III (collectively, the consolidated financial statements), and our report dated February 25, 2022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44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Lamar Media Corp. and subsidiaries (the Company) as of December 31, 2021 and 2020, the related consolidated statements of income and comprehensive income, stockholder’s equity, and cash flows for each of the years in the three-year period ended December 31, 2021, and the related notes and financial statement schedules II to III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0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effectiveness of the Company’s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the accounting lease term for the portfolio of billboard land leases</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over 69,000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w:t>
      </w:r>
    </w:p>
    <w:p>
      <w:pPr>
        <w:spacing w:after="0" w:line="219"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1"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44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 and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44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121,069</w:t>
            </w:r>
          </w:p>
        </w:tc>
        <w:tc>
          <w:tcPr>
            <w:tcW w:w="0" w:type="dxa"/>
            <w:vAlign w:val="bottom"/>
          </w:tcPr>
          <w:p>
            <w:pPr>
              <w:spacing w:after="0"/>
              <w:rPr>
                <w:sz w:val="1"/>
                <w:szCs w:val="1"/>
                <w:color w:val="auto"/>
              </w:rPr>
            </w:pPr>
          </w:p>
        </w:tc>
      </w:tr>
      <w:tr>
        <w:trPr>
          <w:trHeight w:val="229"/>
        </w:trPr>
        <w:tc>
          <w:tcPr>
            <w:tcW w:w="8440" w:type="dxa"/>
            <w:vAlign w:val="bottom"/>
          </w:tcPr>
          <w:p>
            <w:pPr>
              <w:jc w:val="center"/>
              <w:spacing w:after="0"/>
              <w:rPr>
                <w:sz w:val="20"/>
                <w:szCs w:val="20"/>
                <w:color w:val="auto"/>
              </w:rPr>
            </w:pPr>
            <w:r>
              <w:rPr>
                <w:rFonts w:ascii="Arial" w:cs="Arial" w:eastAsia="Arial" w:hAnsi="Arial"/>
                <w:sz w:val="18"/>
                <w:szCs w:val="18"/>
                <w:color w:val="auto"/>
                <w:w w:val="90"/>
              </w:rPr>
              <w:t>Receivables, net of allowance for doubtful accounts of $11,195 and $14,946 as of 2021 and 2020,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240,854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380,070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3,782,288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3,615,505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(2,445,014)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(2,333,656)</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1,337,274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1,281,849</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1,224,672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Goodwill (note 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1,926,274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1,902,177</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 (note 3)</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913,978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6,031,031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8"/>
              </w:rPr>
              <w:t>Current maturities of long-term debt, net of deferred financing costs of $585 and $445 in 2021 and 2020,</w:t>
            </w: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174,778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respectively (note 5)</w:t>
            </w: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195,439</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financing lease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 (note 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98,478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137,103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655,245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541,062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Long-term debt, net of deferred financing costs of $36,274 and $39,672 in 2021 and 2020, respectively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2,838,817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995,356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993,776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retirement obligation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269,367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36,605</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4,822,685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4,581,863</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Common stock, $0.01 par value, authorized 3,000 shares; 100 shares issued and outstanding at 2021 and 2020</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3,071,905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3,034,357</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comprehensive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(1,864,414)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(1,842,447)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1,208,346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6,031,031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1,787,401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1,568,856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1,753,644</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590,078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 (exclusive of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318,380</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84,229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250,028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1,265,396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1,235,474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518,170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137,623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150,616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investee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123,841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162,061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149,852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372,540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373,213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Paid-In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20" w:type="dxa"/>
            <w:vAlign w:val="bottom"/>
            <w:gridSpan w:val="2"/>
            <w:vMerge w:val="continue"/>
          </w:tcPr>
          <w:p>
            <w:pPr>
              <w:spacing w:after="0"/>
              <w:rPr>
                <w:sz w:val="11"/>
                <w:szCs w:val="11"/>
                <w:color w:val="auto"/>
              </w:rPr>
            </w:pPr>
          </w:p>
        </w:tc>
        <w:tc>
          <w:tcPr>
            <w:tcW w:w="13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2018</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2,922,907</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(1,802,723)</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1,120,196</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69,822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69,822</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372,540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372,540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(393,700)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(393,700)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2,992,729</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(1,823,883)</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41,628</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243,873</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(262,437)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(262,437)</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37,548</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388,908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388,908</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(410,875)</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(410,875)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3,071,905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(1,864,414)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1,208,346</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388,908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243,873</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372,540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271,294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251,296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250,028</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29,647</w:t>
            </w: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5,365</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(7,241)</w:t>
            </w: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Deferred income tax expense (benefit)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(14,130)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(24,684)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(28,357)</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7,629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(11,257)</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w:t>
            </w:r>
          </w:p>
        </w:tc>
        <w:tc>
          <w:tcPr>
            <w:tcW w:w="0" w:type="dxa"/>
            <w:vAlign w:val="bottom"/>
          </w:tcPr>
          <w:p>
            <w:pPr>
              <w:spacing w:after="0"/>
              <w:rPr>
                <w:sz w:val="1"/>
                <w:szCs w:val="1"/>
                <w:color w:val="auto"/>
              </w:rPr>
            </w:pPr>
          </w:p>
        </w:tc>
      </w:tr>
      <w:tr>
        <w:trPr>
          <w:trHeight w:val="168"/>
        </w:trPr>
        <w:tc>
          <w:tcPr>
            <w:tcW w:w="7020" w:type="dxa"/>
            <w:vAlign w:val="bottom"/>
          </w:tcPr>
          <w:p>
            <w:pPr>
              <w:ind w:left="480"/>
              <w:spacing w:after="0"/>
              <w:rPr>
                <w:sz w:val="20"/>
                <w:szCs w:val="20"/>
                <w:color w:val="auto"/>
              </w:rPr>
            </w:pPr>
            <w:r>
              <w:rPr>
                <w:rFonts w:ascii="Arial" w:cs="Arial" w:eastAsia="Arial" w:hAnsi="Arial"/>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24,549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9,102</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(53,911)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(10,743)</w:t>
            </w:r>
          </w:p>
        </w:tc>
        <w:tc>
          <w:tcPr>
            <w:tcW w:w="0" w:type="dxa"/>
            <w:vAlign w:val="bottom"/>
          </w:tcPr>
          <w:p>
            <w:pPr>
              <w:spacing w:after="0"/>
              <w:rPr>
                <w:sz w:val="1"/>
                <w:szCs w:val="1"/>
                <w:color w:val="auto"/>
              </w:rPr>
            </w:pPr>
          </w:p>
        </w:tc>
      </w:tr>
      <w:tr>
        <w:trPr>
          <w:trHeight w:val="163"/>
        </w:trPr>
        <w:tc>
          <w:tcPr>
            <w:tcW w:w="7020" w:type="dxa"/>
            <w:vAlign w:val="bottom"/>
            <w:tcBorders>
              <w:bottom w:val="single" w:sz="8" w:color="CCEEFF"/>
            </w:tcBorders>
          </w:tcPr>
          <w:p>
            <w:pPr>
              <w:ind w:left="680"/>
              <w:spacing w:after="0" w:line="141" w:lineRule="exact"/>
              <w:rPr>
                <w:sz w:val="20"/>
                <w:szCs w:val="20"/>
                <w:color w:val="auto"/>
              </w:rPr>
            </w:pPr>
            <w:r>
              <w:rPr>
                <w:rFonts w:ascii="Arial" w:cs="Arial" w:eastAsia="Arial" w:hAnsi="Arial"/>
                <w:sz w:val="13"/>
                <w:szCs w:val="13"/>
                <w:color w:val="auto"/>
              </w:rPr>
              <w:t>Cash flows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715,546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539,029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604,940</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(126,090)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(62,272)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(140,956)</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(312,257)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(45,584)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(226,278)</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Payment for investments in equity securities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Decrease (increase) in notes receivable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Proceeds received from property insurance claims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disposition of assets and investments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163"/>
        </w:trPr>
        <w:tc>
          <w:tcPr>
            <w:tcW w:w="7020" w:type="dxa"/>
            <w:vAlign w:val="bottom"/>
            <w:tcBorders>
              <w:bottom w:val="single" w:sz="8" w:color="CCEEFF"/>
            </w:tcBorders>
          </w:tcPr>
          <w:p>
            <w:pPr>
              <w:ind w:left="680"/>
              <w:spacing w:after="0" w:line="141" w:lineRule="exact"/>
              <w:rPr>
                <w:sz w:val="20"/>
                <w:szCs w:val="20"/>
                <w:color w:val="auto"/>
              </w:rPr>
            </w:pPr>
            <w:r>
              <w:rPr>
                <w:rFonts w:ascii="Arial" w:cs="Arial" w:eastAsia="Arial" w:hAnsi="Arial"/>
                <w:sz w:val="13"/>
                <w:szCs w:val="13"/>
                <w:color w:val="auto"/>
              </w:rPr>
              <w:t>Cash flows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(461,760)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(96,888)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(362,034)</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Proceeds received from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200,000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725,000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495,000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(625,000)</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(34,471)</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Borrowings on long term debt</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Principal payments on financing leases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senior credit facility term loans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180,000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122,500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(127,500)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(32,950)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(4,463)</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note offering</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550,000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1,549,250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255,000</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Redemption of senior notes and senior subordinated notes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(668,688)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(1,058,596)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on senior credit facility term loans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(978,097)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020" w:type="dxa"/>
            <w:vAlign w:val="bottom"/>
          </w:tcPr>
          <w:p>
            <w:pPr>
              <w:ind w:left="220"/>
              <w:spacing w:after="0"/>
              <w:rPr>
                <w:sz w:val="20"/>
                <w:szCs w:val="20"/>
                <w:color w:val="auto"/>
              </w:rPr>
            </w:pPr>
            <w:r>
              <w:rPr>
                <w:rFonts w:ascii="Arial" w:cs="Arial" w:eastAsia="Arial" w:hAnsi="Arial"/>
                <w:sz w:val="13"/>
                <w:szCs w:val="13"/>
                <w:color w:val="auto"/>
              </w:rPr>
              <w:t>Distributions to non-controlling interest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Dividends to parent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(410,875)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(262,437)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(393,700)</w:t>
            </w:r>
          </w:p>
        </w:tc>
        <w:tc>
          <w:tcPr>
            <w:tcW w:w="0" w:type="dxa"/>
            <w:vAlign w:val="bottom"/>
          </w:tcPr>
          <w:p>
            <w:pPr>
              <w:spacing w:after="0"/>
              <w:rPr>
                <w:sz w:val="1"/>
                <w:szCs w:val="1"/>
                <w:color w:val="auto"/>
              </w:rPr>
            </w:pPr>
          </w:p>
        </w:tc>
      </w:tr>
      <w:tr>
        <w:trPr>
          <w:trHeight w:val="16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Contributions from parent</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37,548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41,628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69,822</w:t>
            </w: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680"/>
              <w:spacing w:after="0" w:line="147" w:lineRule="exact"/>
              <w:rPr>
                <w:sz w:val="20"/>
                <w:szCs w:val="20"/>
                <w:color w:val="auto"/>
              </w:rPr>
            </w:pPr>
            <w:r>
              <w:rPr>
                <w:rFonts w:ascii="Arial" w:cs="Arial" w:eastAsia="Arial" w:hAnsi="Arial"/>
                <w:sz w:val="13"/>
                <w:szCs w:val="13"/>
                <w:color w:val="auto"/>
              </w:rPr>
              <w:t>Cash flows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(275,648)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(347,073)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(238,433)</w:t>
            </w:r>
          </w:p>
        </w:tc>
        <w:tc>
          <w:tcPr>
            <w:tcW w:w="0" w:type="dxa"/>
            <w:vAlign w:val="bottom"/>
          </w:tcPr>
          <w:p>
            <w:pPr>
              <w:spacing w:after="0"/>
              <w:rPr>
                <w:sz w:val="1"/>
                <w:szCs w:val="1"/>
                <w:color w:val="auto"/>
              </w:rPr>
            </w:pPr>
          </w:p>
        </w:tc>
      </w:tr>
      <w:tr>
        <w:trPr>
          <w:trHeight w:val="163"/>
        </w:trPr>
        <w:tc>
          <w:tcPr>
            <w:tcW w:w="702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680"/>
              <w:spacing w:after="0" w:line="147" w:lineRule="exact"/>
              <w:rPr>
                <w:sz w:val="20"/>
                <w:szCs w:val="20"/>
                <w:color w:val="auto"/>
              </w:rPr>
            </w:pPr>
            <w:r>
              <w:rPr>
                <w:rFonts w:ascii="Arial" w:cs="Arial" w:eastAsia="Arial" w:hAnsi="Arial"/>
                <w:sz w:val="13"/>
                <w:szCs w:val="13"/>
                <w:color w:val="auto"/>
              </w:rPr>
              <w:t>Net (decrease) increase in cash and cash equivalents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95,381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4,694</w:t>
            </w:r>
          </w:p>
        </w:tc>
        <w:tc>
          <w:tcPr>
            <w:tcW w:w="0" w:type="dxa"/>
            <w:vAlign w:val="bottom"/>
          </w:tcPr>
          <w:p>
            <w:pPr>
              <w:spacing w:after="0"/>
              <w:rPr>
                <w:sz w:val="1"/>
                <w:szCs w:val="1"/>
                <w:color w:val="auto"/>
              </w:rPr>
            </w:pPr>
          </w:p>
        </w:tc>
      </w:tr>
      <w:tr>
        <w:trPr>
          <w:trHeight w:val="16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121,069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25,688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20,994</w:t>
            </w:r>
          </w:p>
        </w:tc>
        <w:tc>
          <w:tcPr>
            <w:tcW w:w="0" w:type="dxa"/>
            <w:vAlign w:val="bottom"/>
          </w:tcPr>
          <w:p>
            <w:pPr>
              <w:spacing w:after="0"/>
              <w:rPr>
                <w:sz w:val="1"/>
                <w:szCs w:val="1"/>
                <w:color w:val="auto"/>
              </w:rPr>
            </w:pPr>
          </w:p>
        </w:tc>
      </w:tr>
      <w:tr>
        <w:trPr>
          <w:trHeight w:val="194"/>
        </w:trPr>
        <w:tc>
          <w:tcPr>
            <w:tcW w:w="702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121,069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25,688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112,080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130,864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139,585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Cash paid for state and federal income taxes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780" w:type="dxa"/>
            <w:vAlign w:val="bottom"/>
            <w:tcBorders>
              <w:bottom w:val="single" w:sz="8" w:color="auto"/>
            </w:tcBorders>
          </w:tcPr>
          <w:p>
            <w:pPr>
              <w:jc w:val="right"/>
              <w:ind w:right="637"/>
              <w:spacing w:after="0" w:line="14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8,388</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7"/>
              <w:spacing w:after="0" w:line="149"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4,033</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14,449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7"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Lamar Media Corp. (“Lamar Media”) is a wholly owned subsidiary of Lamar Advertising Company. Lamar Media is engaged in the outdoor advertising business operating approximately 153,800 outdoor advertising displays in 45 states and Canada. Lamar Media’s operating strategy is to be the leading provider of outdoor advertising services in the markets it serves.</w:t>
      </w:r>
    </w:p>
    <w:p>
      <w:pPr>
        <w:spacing w:after="0" w:line="184"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7" w:lineRule="exact"/>
        <w:rPr>
          <w:sz w:val="20"/>
          <w:szCs w:val="20"/>
          <w:color w:val="auto"/>
        </w:rPr>
      </w:pPr>
    </w:p>
    <w:p>
      <w:pPr>
        <w:jc w:val="both"/>
        <w:ind w:firstLine="567"/>
        <w:spacing w:after="0" w:line="279" w:lineRule="auto"/>
        <w:rPr>
          <w:sz w:val="20"/>
          <w:szCs w:val="20"/>
          <w:color w:val="auto"/>
        </w:rPr>
      </w:pPr>
      <w:r>
        <w:rPr>
          <w:rFonts w:ascii="Arial" w:cs="Arial" w:eastAsia="Arial" w:hAnsi="Arial"/>
          <w:sz w:val="17"/>
          <w:szCs w:val="17"/>
          <w:color w:val="auto"/>
        </w:rPr>
        <w:t>Certain footnotes are not provided for the accompanying financial statements as the information in notes 2, 3, 5, 7, 10, 11, 12, 13, 14, 15, 16, 17, 18, 19, 20, and 21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6"/>
          <w:szCs w:val="16"/>
          <w:color w:val="auto"/>
        </w:rPr>
        <w:t>The accompanying consolidated financial statements include Lamar Media, its wholly owned subsidiaries, The Lamar Company, L.L.C., Lamar Central Outdoor, LLC, Lamar TRS Holdings, LLC, Lamar Advertising Southwest, Inc., Interstate Logos, L.L.C., Lamar Obie Company, LLC, Lamar Canadian Outdoor Company, Lamar Advertising of Puerto Rico, Inc., Lamar QRS Receivables, LLC, Fairway Media Group, LCC, Ashby Street Outdoor Holdings, LLC and their majority-owned subsidiaries. All inter-company transactions and balances have been eliminated in consolidation.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Non-cash Financing Activities</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year ended December 31, 2020, the Company had non-cash financing activities related to financing lease liabilities of $19,891. There were no significant non-cash financing activities during the years ended December 31, 2021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intangible assets at December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4200" w:type="dxa"/>
            <w:vAlign w:val="bottom"/>
          </w:tcPr>
          <w:p>
            <w:pPr>
              <w:spacing w:after="0"/>
              <w:rPr>
                <w:sz w:val="15"/>
                <w:szCs w:val="15"/>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Estimated Life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r>
      <w:tr>
        <w:trPr>
          <w:trHeight w:val="188"/>
        </w:trPr>
        <w:tc>
          <w:tcPr>
            <w:tcW w:w="4200" w:type="dxa"/>
            <w:vAlign w:val="bottom"/>
          </w:tcPr>
          <w:p>
            <w:pPr>
              <w:spacing w:after="0"/>
              <w:rPr>
                <w:sz w:val="16"/>
                <w:szCs w:val="16"/>
                <w:color w:val="auto"/>
              </w:rPr>
            </w:pPr>
          </w:p>
        </w:tc>
        <w:tc>
          <w:tcPr>
            <w:tcW w:w="156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(Years)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211"/>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676,846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587,056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645,739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563,135</w:t>
            </w:r>
          </w:p>
        </w:tc>
        <w:tc>
          <w:tcPr>
            <w:tcW w:w="20" w:type="dxa"/>
            <w:vAlign w:val="bottom"/>
          </w:tcPr>
          <w:p>
            <w:pPr>
              <w:spacing w:after="0"/>
              <w:rPr>
                <w:sz w:val="19"/>
                <w:szCs w:val="19"/>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Non-competition agreement</w:t>
            </w:r>
          </w:p>
        </w:tc>
        <w:tc>
          <w:tcPr>
            <w:tcW w:w="156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20" w:type="dxa"/>
            <w:vAlign w:val="bottom"/>
          </w:tcPr>
          <w:p>
            <w:pPr>
              <w:spacing w:after="0"/>
              <w:rPr>
                <w:sz w:val="19"/>
                <w:szCs w:val="19"/>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Site locations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1,680,333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2,412,745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1,593,805</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38,547</w:t>
            </w:r>
          </w:p>
        </w:tc>
        <w:tc>
          <w:tcPr>
            <w:tcW w:w="2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3,416,369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2,371,660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3,174,112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2,260,134</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2,178,941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252,667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2,154,844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252,667</w:t>
            </w:r>
          </w:p>
        </w:tc>
        <w:tc>
          <w:tcPr>
            <w:tcW w:w="20" w:type="dxa"/>
            <w:vAlign w:val="bottom"/>
          </w:tcPr>
          <w:p>
            <w:pPr>
              <w:spacing w:after="0"/>
              <w:rPr>
                <w:sz w:val="20"/>
                <w:szCs w:val="20"/>
                <w:color w:val="auto"/>
              </w:rPr>
            </w:pPr>
          </w:p>
        </w:tc>
      </w:tr>
      <w:tr>
        <w:trPr>
          <w:trHeight w:val="890"/>
        </w:trPr>
        <w:tc>
          <w:tcPr>
            <w:tcW w:w="4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(Dollars in thousands, except share and per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changes in the gross carrying amount of goodwill for the years ended December 31, 2021 and 2020 are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price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price adjustments and 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5" w:hanging="505"/>
        <w:spacing w:after="0"/>
        <w:tabs>
          <w:tab w:leader="none" w:pos="5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2,154,790</w:t>
      </w:r>
    </w:p>
    <w:p>
      <w:pPr>
        <w:spacing w:after="0" w:line="46" w:lineRule="exact"/>
        <w:rPr>
          <w:rFonts w:ascii="Arial" w:cs="Arial" w:eastAsia="Arial" w:hAnsi="Arial"/>
          <w:sz w:val="16"/>
          <w:szCs w:val="16"/>
          <w:color w:val="auto"/>
        </w:rPr>
      </w:pPr>
    </w:p>
    <w:p>
      <w:pPr>
        <w:ind w:left="1045"/>
        <w:spacing w:after="0"/>
        <w:rPr>
          <w:rFonts w:ascii="Arial" w:cs="Arial" w:eastAsia="Arial" w:hAnsi="Arial"/>
          <w:sz w:val="16"/>
          <w:szCs w:val="16"/>
          <w:color w:val="auto"/>
        </w:rPr>
      </w:pPr>
      <w:r>
        <w:rPr>
          <w:rFonts w:ascii="Arial" w:cs="Arial" w:eastAsia="Arial" w:hAnsi="Arial"/>
          <w:sz w:val="16"/>
          <w:szCs w:val="16"/>
          <w:color w:val="auto"/>
        </w:rPr>
        <w:t>54</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2,154,844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24,089</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ind w:left="505" w:hanging="505"/>
        <w:spacing w:after="0"/>
        <w:tabs>
          <w:tab w:leader="none" w:pos="5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2,178,941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01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8401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215" w:space="720"/>
            <w:col w:w="1305"/>
          </w:cols>
          <w:pgMar w:left="320" w:top="121"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accrued expenses at December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10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variable lease and contract expense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Non-cash compensation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16,841</w:t>
            </w: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16,998</w:t>
            </w:r>
          </w:p>
        </w:tc>
        <w:tc>
          <w:tcPr>
            <w:tcW w:w="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127,318</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(5) Long-term Debt</w:t>
            </w: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tcPr>
          <w:p>
            <w:pPr>
              <w:ind w:left="580"/>
              <w:spacing w:after="0"/>
              <w:rPr>
                <w:sz w:val="20"/>
                <w:szCs w:val="20"/>
                <w:color w:val="auto"/>
              </w:rPr>
            </w:pPr>
            <w:r>
              <w:rPr>
                <w:rFonts w:ascii="Arial" w:cs="Arial" w:eastAsia="Arial" w:hAnsi="Arial"/>
                <w:sz w:val="18"/>
                <w:szCs w:val="18"/>
                <w:color w:val="auto"/>
              </w:rPr>
              <w:t>Long-term debt consists of the following at December 31, 2021 and 2020:</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1"/>
                <w:szCs w:val="11"/>
                <w:color w:val="auto"/>
              </w:rPr>
            </w:pPr>
          </w:p>
        </w:tc>
        <w:tc>
          <w:tcPr>
            <w:tcW w:w="13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Deferred financing</w:t>
            </w:r>
          </w:p>
        </w:tc>
        <w:tc>
          <w:tcPr>
            <w:tcW w:w="40" w:type="dxa"/>
            <w:vAlign w:val="bottom"/>
          </w:tcPr>
          <w:p>
            <w:pPr>
              <w:spacing w:after="0"/>
              <w:rPr>
                <w:sz w:val="11"/>
                <w:szCs w:val="11"/>
                <w:color w:val="auto"/>
              </w:rPr>
            </w:pPr>
          </w:p>
        </w:tc>
        <w:tc>
          <w:tcPr>
            <w:tcW w:w="13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3"/>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549,359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3,050,454</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(175,363)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2,875,091</w:t>
            </w:r>
          </w:p>
        </w:tc>
        <w:tc>
          <w:tcPr>
            <w:tcW w:w="10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Deferred financing</w:t>
            </w:r>
          </w:p>
        </w:tc>
        <w:tc>
          <w:tcPr>
            <w:tcW w:w="13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3"/>
              </w:rPr>
              <w:t>Debt, net of deferred</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6"/>
              </w:rPr>
              <w:t>costs</w:t>
            </w:r>
          </w:p>
        </w:tc>
        <w:tc>
          <w:tcPr>
            <w:tcW w:w="160" w:type="dxa"/>
            <w:vAlign w:val="bottom"/>
          </w:tcPr>
          <w:p>
            <w:pPr>
              <w:spacing w:after="0"/>
              <w:rPr>
                <w:sz w:val="16"/>
                <w:szCs w:val="16"/>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b w:val="1"/>
                <w:bCs w:val="1"/>
                <w:color w:val="auto"/>
                <w:w w:val="91"/>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122,055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4%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541,369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7/8%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5 3/4%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647,056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2,926,633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0"/>
              <w:spacing w:after="0"/>
              <w:rPr>
                <w:sz w:val="20"/>
                <w:szCs w:val="20"/>
                <w:color w:val="auto"/>
              </w:rPr>
            </w:pPr>
            <w:r>
              <w:rPr>
                <w:rFonts w:ascii="Arial" w:cs="Arial" w:eastAsia="Arial" w:hAnsi="Arial"/>
                <w:sz w:val="18"/>
                <w:szCs w:val="18"/>
                <w:color w:val="auto"/>
              </w:rPr>
              <w:t>Long-term debt contractual maturities are as follows: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Deferred financing</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Debt, net of deferred</w:t>
            </w: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6"/>
              </w:rPr>
              <w:t>costs</w:t>
            </w:r>
          </w:p>
        </w:tc>
        <w:tc>
          <w:tcPr>
            <w:tcW w:w="160" w:type="dxa"/>
            <w:vAlign w:val="bottom"/>
          </w:tcPr>
          <w:p>
            <w:pPr>
              <w:spacing w:after="0"/>
              <w:rPr>
                <w:sz w:val="16"/>
                <w:szCs w:val="16"/>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b w:val="1"/>
                <w:bCs w:val="1"/>
                <w:color w:val="auto"/>
                <w:w w:val="91"/>
              </w:rPr>
              <w:t>financing costs</w:t>
            </w:r>
          </w:p>
        </w:tc>
        <w:tc>
          <w:tcPr>
            <w:tcW w:w="0" w:type="dxa"/>
            <w:vAlign w:val="bottom"/>
          </w:tcPr>
          <w:p>
            <w:pPr>
              <w:spacing w:after="0"/>
              <w:rPr>
                <w:sz w:val="1"/>
                <w:szCs w:val="1"/>
                <w:color w:val="auto"/>
              </w:rPr>
            </w:pP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175,400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174,815</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172,049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Later years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2,665,545</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Affiliates, as used within these statements, are persons or entities that are affiliated with Lamar Media Corp. or its subsidiaries through common ownership and directorate control.</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As of December 31, 2021 and 2020, there was a payable to Lamar Advertising Company, its parent, in the amount of $3,018 and $3,928, respectively.</w:t>
      </w:r>
    </w:p>
    <w:p>
      <w:pPr>
        <w:spacing w:after="0" w:line="1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Effective December 31, 2021 and 2020, Lamar Advertising Company contributed $37,548 and $41,628, respectively, to Lamar Media which resulted in an increase in Lamar Media’s additional paid-in capital.</w:t>
      </w:r>
    </w:p>
    <w:p>
      <w:pPr>
        <w:spacing w:after="0" w:line="274"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Summarized Financial Information of Subsidiaries</w:t>
      </w:r>
    </w:p>
    <w:p>
      <w:pPr>
        <w:spacing w:after="0" w:line="121" w:lineRule="exact"/>
        <w:rPr>
          <w:sz w:val="20"/>
          <w:szCs w:val="20"/>
          <w:color w:val="auto"/>
        </w:rPr>
      </w:pPr>
    </w:p>
    <w:p>
      <w:pPr>
        <w:jc w:val="both"/>
        <w:ind w:firstLine="567"/>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Lamar Media Corp.</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2"/>
        </w:trPr>
        <w:tc>
          <w:tcPr>
            <w:tcW w:w="4220" w:type="dxa"/>
            <w:vAlign w:val="bottom"/>
          </w:tcPr>
          <w:p>
            <w:pPr>
              <w:ind w:left="17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91,119</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1,337,274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1,198,934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2,953,600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4,188,436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311,046</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(4,576,531)</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4,279,555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174,415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190,748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22,009</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437,141</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196,095</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2,836,801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212,399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292,194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292,281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(463,607)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3,071,209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1,708,814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506,269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(463,607)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1,208,346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4,105,671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(4,112,924)</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4,279,555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92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Lamar Media Corp.</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2"/>
        </w:trPr>
        <w:tc>
          <w:tcPr>
            <w:tcW w:w="4220" w:type="dxa"/>
            <w:vAlign w:val="bottom"/>
          </w:tcPr>
          <w:p>
            <w:pPr>
              <w:ind w:left="17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110,678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2,798,343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2,816,155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3,912,122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(4,228,383)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359,411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979,785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2,829,956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3,957,663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(3,963,799)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93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20" w:type="dxa"/>
            <w:vAlign w:val="bottom"/>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1,787,401</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576,507</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326,636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93,074</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271,294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1,231,886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1,265,396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21,604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105,621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398,164</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388,908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388,908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514,092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388,908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20" w:type="dxa"/>
            <w:vAlign w:val="bottom"/>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1,568,856</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557,661</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287,874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70,457</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251,296</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loss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1,124,837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1,158,262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410,594</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136,826</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248,533</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1"/>
                <w:szCs w:val="21"/>
                <w:color w:val="auto"/>
                <w:vertAlign w:val="superscript"/>
              </w:rPr>
              <w:t>(2)</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700"/>
              <w:spacing w:after="0"/>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244,122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60" w:type="dxa"/>
            <w:vAlign w:val="bottom"/>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20" w:type="dxa"/>
            <w:vAlign w:val="bottom"/>
          </w:tcPr>
          <w:p>
            <w:pPr>
              <w:ind w:left="1320"/>
              <w:spacing w:after="0"/>
              <w:rPr>
                <w:sz w:val="20"/>
                <w:szCs w:val="20"/>
                <w:color w:val="auto"/>
              </w:rPr>
            </w:pPr>
            <w:r>
              <w:rPr>
                <w:rFonts w:ascii="Arial" w:cs="Arial" w:eastAsia="Arial" w:hAnsi="Arial"/>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1,753,644</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590,078</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310,813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318,380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84,229</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250,028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1,202,430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1,235,474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518,170</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(517,516)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149,852</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Income (loss) before income tax (benefit) expense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507,410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(517,516)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368,318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(benefit) expense</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514,770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(517,516)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372,540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373,213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income tax (benefit) expense reflected in each column does not include any tax effect of the equity in earnings from subsidiaries.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Lamar Media</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Corp.</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Payment for investments in equity securities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 of assets and investments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intercompany notes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Decrease in notes receivable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Principal payments on financing leases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note offering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w w:val="96"/>
              </w:rPr>
              <w:t>Redemption of senior notes and senior subordinated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accounts receivable securitization program</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tcPr>
          <w:p>
            <w:pPr>
              <w:ind w:left="220"/>
              <w:spacing w:after="0" w:line="176" w:lineRule="exact"/>
              <w:rPr>
                <w:sz w:val="20"/>
                <w:szCs w:val="20"/>
                <w:color w:val="auto"/>
              </w:rPr>
            </w:pPr>
            <w:r>
              <w:rPr>
                <w:rFonts w:ascii="Arial" w:cs="Arial" w:eastAsia="Arial" w:hAnsi="Arial"/>
                <w:sz w:val="18"/>
                <w:szCs w:val="18"/>
                <w:color w:val="auto"/>
                <w:w w:val="96"/>
              </w:rPr>
              <w:t>Proceeds received from accounts receivable securitization</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program</w:t>
            </w: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Dividends (to) from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708,341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(391,912)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418,060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Lamar Media</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Corp.</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668,673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(619,877)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(Increase) decrease in intercompany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note offering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w w:val="96"/>
              </w:rPr>
              <w:t>Redemption of senior notes and senior subordinated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senior credit facility term loans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Payments on senior credit facility term loans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Proceeds received from accounts receivable securitization</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Dividends (to) from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(619,877)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619,877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(583,254)</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513,533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Lamar Media</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Corp.</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604,940</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(226,278)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(140,956)</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insurance claims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Investment in subsidiaries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intercompany notes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Increase in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(357,326)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(362,034)</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0" w:type="dxa"/>
            <w:vAlign w:val="bottom"/>
          </w:tcPr>
          <w:p>
            <w:pPr>
              <w:spacing w:after="0"/>
              <w:rPr>
                <w:sz w:val="1"/>
                <w:szCs w:val="1"/>
                <w:color w:val="auto"/>
              </w:rPr>
            </w:pPr>
          </w:p>
        </w:tc>
      </w:tr>
      <w:tr>
        <w:trPr>
          <w:trHeight w:val="176"/>
        </w:trPr>
        <w:tc>
          <w:tcPr>
            <w:tcW w:w="4740" w:type="dxa"/>
            <w:vAlign w:val="bottom"/>
          </w:tcPr>
          <w:p>
            <w:pPr>
              <w:ind w:left="220"/>
              <w:spacing w:after="0" w:line="176" w:lineRule="exact"/>
              <w:rPr>
                <w:sz w:val="20"/>
                <w:szCs w:val="20"/>
                <w:color w:val="auto"/>
              </w:rPr>
            </w:pPr>
            <w:r>
              <w:rPr>
                <w:rFonts w:ascii="Arial" w:cs="Arial" w:eastAsia="Arial" w:hAnsi="Arial"/>
                <w:sz w:val="18"/>
                <w:szCs w:val="18"/>
                <w:color w:val="auto"/>
                <w:w w:val="96"/>
              </w:rPr>
              <w:t>Proceeds received from accounts receivable securitization</w:t>
            </w: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program</w:t>
            </w: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accounts receivable securitization program</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note offering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Contributions from (to)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69,822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(to) from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(393,700)</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(384,081)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387,166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(238,433)</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Charged to Costs</w:t>
            </w:r>
          </w:p>
        </w:tc>
        <w:tc>
          <w:tcPr>
            <w:tcW w:w="13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Beginning of Period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and Expenses</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1"/>
        </w:trPr>
        <w:tc>
          <w:tcPr>
            <w:tcW w:w="56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14,946</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22,902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20,997</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2019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23"/>
                <w:szCs w:val="23"/>
                <w:b w:val="1"/>
                <w:bCs w:val="1"/>
                <w:color w:val="auto"/>
                <w:vertAlign w:val="superscript"/>
              </w:rPr>
              <w:t>(1)</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Encumbrances</w:t>
            </w:r>
          </w:p>
        </w:tc>
        <w:tc>
          <w:tcPr>
            <w:tcW w:w="148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Construction Date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Acquisition Date</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89"/>
        </w:trPr>
        <w:tc>
          <w:tcPr>
            <w:tcW w:w="18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20" w:type="dxa"/>
            <w:vAlign w:val="bottom"/>
            <w:gridSpan w:val="2"/>
          </w:tcPr>
          <w:p>
            <w:pPr>
              <w:jc w:val="center"/>
              <w:ind w:right="220"/>
              <w:spacing w:after="0" w:line="189" w:lineRule="exact"/>
              <w:rPr>
                <w:sz w:val="20"/>
                <w:szCs w:val="20"/>
                <w:color w:val="auto"/>
              </w:rPr>
            </w:pPr>
            <w:r>
              <w:rPr>
                <w:rFonts w:ascii="Arial" w:cs="Arial" w:eastAsia="Arial" w:hAnsi="Arial"/>
                <w:sz w:val="13"/>
                <w:szCs w:val="13"/>
                <w:b w:val="1"/>
                <w:bCs w:val="1"/>
                <w:color w:val="auto"/>
                <w:w w:val="96"/>
              </w:rPr>
              <w:t>Amount</w:t>
            </w:r>
            <w:r>
              <w:rPr>
                <w:rFonts w:ascii="Arial" w:cs="Arial" w:eastAsia="Arial" w:hAnsi="Arial"/>
                <w:sz w:val="21"/>
                <w:szCs w:val="21"/>
                <w:b w:val="1"/>
                <w:bCs w:val="1"/>
                <w:color w:val="auto"/>
                <w:w w:val="96"/>
                <w:vertAlign w:val="superscript"/>
              </w:rPr>
              <w:t>(3)</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354,053 Displays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3,439,618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(2,287,590)</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single asset exceeded 5% of the total gross carrying amount at December 31,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sites under construction</w:t>
      </w:r>
    </w:p>
    <w:p>
      <w:pPr>
        <w:spacing w:after="0" w:line="22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r>
      <w:tr>
        <w:trPr>
          <w:trHeight w:val="216"/>
        </w:trPr>
        <w:tc>
          <w:tcPr>
            <w:tcW w:w="70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real estate assets:</w:t>
            </w: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3,293,778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3,333,590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3,201,434</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23"/>
                <w:szCs w:val="23"/>
                <w:color w:val="auto"/>
                <w:vertAlign w:val="superscript"/>
              </w:rPr>
              <w:t>(4)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w:t>
            </w: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w w:val="99"/>
              </w:rPr>
              <w:t>Capital expenditures on improvements/redevelopments of 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25,025</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Capital expenditures other recurring</w:t>
            </w:r>
            <w:r>
              <w:rPr>
                <w:rFonts w:ascii="Arial" w:cs="Arial" w:eastAsia="Arial" w:hAnsi="Arial"/>
                <w:sz w:val="23"/>
                <w:szCs w:val="23"/>
                <w:color w:val="auto"/>
                <w:vertAlign w:val="superscript"/>
              </w:rPr>
              <w:t>(5)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36,354</w:t>
            </w:r>
          </w:p>
        </w:tc>
      </w:tr>
      <w:tr>
        <w:trPr>
          <w:trHeight w:val="229"/>
        </w:trPr>
        <w:tc>
          <w:tcPr>
            <w:tcW w:w="7060" w:type="dxa"/>
            <w:vAlign w:val="bottom"/>
          </w:tcPr>
          <w:p>
            <w:pPr>
              <w:ind w:left="180"/>
              <w:spacing w:after="0" w:line="230" w:lineRule="exact"/>
              <w:rPr>
                <w:sz w:val="20"/>
                <w:szCs w:val="20"/>
                <w:color w:val="auto"/>
              </w:rPr>
            </w:pPr>
            <w:r>
              <w:rPr>
                <w:rFonts w:ascii="Arial" w:cs="Arial" w:eastAsia="Arial" w:hAnsi="Arial"/>
                <w:sz w:val="18"/>
                <w:szCs w:val="18"/>
                <w:color w:val="auto"/>
              </w:rPr>
              <w:t>Land acquisitions</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22,965</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23"/>
                <w:szCs w:val="23"/>
                <w:color w:val="auto"/>
                <w:vertAlign w:val="superscript"/>
              </w:rPr>
              <w:t>(7)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23,589</w:t>
            </w:r>
          </w:p>
        </w:tc>
      </w:tr>
      <w:tr>
        <w:trPr>
          <w:trHeight w:val="229"/>
        </w:trPr>
        <w:tc>
          <w:tcPr>
            <w:tcW w:w="7060" w:type="dxa"/>
            <w:vAlign w:val="bottom"/>
          </w:tcPr>
          <w:p>
            <w:pPr>
              <w:ind w:left="180"/>
              <w:spacing w:after="0"/>
              <w:rPr>
                <w:sz w:val="20"/>
                <w:szCs w:val="20"/>
                <w:color w:val="auto"/>
              </w:rPr>
            </w:pPr>
            <w:r>
              <w:rPr>
                <w:rFonts w:ascii="Arial" w:cs="Arial" w:eastAsia="Arial" w:hAnsi="Arial"/>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(35,320)</w:t>
            </w: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3,439,618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3,333,590</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Accumulated depreciation:</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2,192,700</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2,166,579</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2,082,335</w:t>
            </w:r>
          </w:p>
        </w:tc>
      </w:tr>
      <w:tr>
        <w:trPr>
          <w:trHeight w:val="229"/>
        </w:trPr>
        <w:tc>
          <w:tcPr>
            <w:tcW w:w="7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111,531</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(27,890)</w:t>
            </w:r>
          </w:p>
        </w:tc>
      </w:tr>
      <w:tr>
        <w:trPr>
          <w:trHeight w:val="230"/>
        </w:trPr>
        <w:tc>
          <w:tcPr>
            <w:tcW w:w="7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2,192,700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2,166,579</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non-cash amounts of $1,541, $621 and $554 at December 31, 2021, 2020 and 2019, respectively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6"/>
          <w:szCs w:val="16"/>
          <w:color w:val="auto"/>
        </w:rPr>
        <w:t xml:space="preserve">Includes non-cash amounts of $48,848 at December 31, 2021 </w:t>
      </w:r>
      <w:r>
        <w:rPr>
          <w:rFonts w:ascii="Arial" w:cs="Arial" w:eastAsia="Arial" w:hAnsi="Arial"/>
          <w:sz w:val="14"/>
          <w:szCs w:val="14"/>
          <w:color w:val="auto"/>
        </w:rPr>
        <w:t>related to the revision in cost estimate included in the calculation of asset retirement obligations</w:t>
      </w:r>
    </w:p>
    <w:p>
      <w:pPr>
        <w:spacing w:after="0" w:line="86" w:lineRule="exact"/>
        <w:rPr>
          <w:rFonts w:ascii="Arial" w:cs="Arial" w:eastAsia="Arial" w:hAnsi="Arial"/>
          <w:sz w:val="14"/>
          <w:szCs w:val="14"/>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preliminary allocation of assets acquired during 2021</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non-cash amounts of $3,843 and $1,928 and at December 31, 2021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00"/>
        <w:spacing w:after="0" w:line="440"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jc w:val="center"/>
        <w:ind w:right="9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680"/>
        <w:spacing w:after="0"/>
        <w:rPr>
          <w:sz w:val="20"/>
          <w:szCs w:val="20"/>
          <w:color w:val="auto"/>
        </w:rPr>
      </w:pPr>
      <w:r>
        <w:rPr>
          <w:rFonts w:ascii="Arial" w:cs="Arial" w:eastAsia="Arial" w:hAnsi="Arial"/>
          <w:sz w:val="17"/>
          <w:szCs w:val="17"/>
          <w:b w:val="1"/>
          <w:bCs w:val="1"/>
          <w:color w:val="auto"/>
        </w:rPr>
        <w:t>Lamar Media Corp.</w:t>
      </w:r>
    </w:p>
    <w:p>
      <w:pPr>
        <w:spacing w:after="0" w:line="133" w:lineRule="exact"/>
        <w:rPr>
          <w:sz w:val="20"/>
          <w:szCs w:val="20"/>
          <w:color w:val="auto"/>
        </w:rPr>
      </w:pPr>
    </w:p>
    <w:p>
      <w:pPr>
        <w:jc w:val="center"/>
        <w:ind w:right="96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2021,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Company’s Management Report on Internal Control Over Financial Reporting is set forth on page 44 of this combined Annual Report and is incorporated herein by reference.</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Lamar Media’s Management Report on Internal Control Over Financial Reporting is set forth on page 81 of this combined Annual Report and is incorporated herein by reference.</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579"/>
        <w:spacing w:after="0"/>
        <w:rPr>
          <w:sz w:val="20"/>
          <w:szCs w:val="20"/>
          <w:color w:val="auto"/>
        </w:rPr>
      </w:pPr>
      <w:r>
        <w:rPr>
          <w:rFonts w:ascii="Arial" w:cs="Arial" w:eastAsia="Arial" w:hAnsi="Arial"/>
          <w:sz w:val="17"/>
          <w:szCs w:val="17"/>
          <w:b w:val="1"/>
          <w:bCs w:val="1"/>
          <w:color w:val="auto"/>
        </w:rPr>
        <w:t>Lamar Media Corp.</w:t>
      </w:r>
    </w:p>
    <w:p>
      <w:pPr>
        <w:spacing w:after="0" w:line="133" w:lineRule="exact"/>
        <w:rPr>
          <w:sz w:val="20"/>
          <w:szCs w:val="20"/>
          <w:color w:val="auto"/>
        </w:rPr>
      </w:pPr>
    </w:p>
    <w:p>
      <w:pPr>
        <w:jc w:val="center"/>
        <w:ind w:right="855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2022 Annual Meeting of Stockholders to be filed with the SEC within 120 days after the end of the fiscal year ended December 31, 2021.</w:t>
      </w:r>
    </w:p>
    <w:p>
      <w:pPr>
        <w:spacing w:after="0" w:line="170"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ind w:left="940" w:right="42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2022 Annual Meeting of Stockholders to be filed with the SEC within 120 days after the end of the fiscal year ended December 31, 2021.</w:t>
      </w:r>
    </w:p>
    <w:p>
      <w:pPr>
        <w:spacing w:after="0" w:line="2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2022 Annual Meeting of Stockholders to be filed with the SEC within 120 days after the end of the fiscal year ended December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860" w:hanging="285"/>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financial statements are listed under Part II, Item 8 of this Annual Report.</w:t>
      </w:r>
    </w:p>
    <w:p>
      <w:pPr>
        <w:spacing w:after="0" w:line="225" w:lineRule="exact"/>
        <w:rPr>
          <w:sz w:val="20"/>
          <w:szCs w:val="20"/>
          <w:color w:val="auto"/>
        </w:rPr>
      </w:pPr>
    </w:p>
    <w:p>
      <w:pPr>
        <w:ind w:left="760" w:hanging="185"/>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financial statement schedules are included under Part II, Item 8 of this Annual Report.</w:t>
      </w:r>
    </w:p>
    <w:p>
      <w:pPr>
        <w:spacing w:after="0" w:line="225" w:lineRule="exact"/>
        <w:rPr>
          <w:sz w:val="20"/>
          <w:szCs w:val="20"/>
          <w:color w:val="auto"/>
        </w:rPr>
      </w:pPr>
    </w:p>
    <w:p>
      <w:pPr>
        <w:ind w:left="760" w:hanging="185"/>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exhibits filed as part of this report are listed on the Exhibit Index immediately preceding the signature page hereto, which Exhibit Index is incorporated herein by reference.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Exhibits required by Item 601 of Regulation S-K are listed on the Exhibit Index immediately preceding the signature page hereto.</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3"/>
          </w:tcPr>
          <w:p>
            <w:pPr>
              <w:ind w:left="2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56"/>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318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20"/>
          </w:cols>
          <w:pgMar w:left="320" w:top="125"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2(a)</w:t>
            </w:r>
          </w:p>
        </w:tc>
        <w:tc>
          <w:tcPr>
            <w:tcW w:w="5260" w:type="dxa"/>
            <w:vAlign w:val="bottom"/>
          </w:tcPr>
          <w:p>
            <w:pPr>
              <w:ind w:left="400"/>
              <w:spacing w:after="0"/>
              <w:rPr>
                <w:sz w:val="20"/>
                <w:szCs w:val="20"/>
                <w:color w:val="auto"/>
              </w:rPr>
            </w:pPr>
            <w:r>
              <w:rPr>
                <w:rFonts w:ascii="Arial" w:cs="Arial" w:eastAsia="Arial" w:hAnsi="Arial"/>
                <w:sz w:val="18"/>
                <w:szCs w:val="18"/>
                <w:color w:val="auto"/>
                <w:w w:val="91"/>
              </w:rPr>
              <w:t>Agreement and Plan of Merger by and between Lamar Advertising</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rPr>
              <w:t>Company (the “Company”) and Lamar Advertising REIT</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Company dated August 27, 2014.</w:t>
            </w: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3(a)</w:t>
            </w:r>
          </w:p>
        </w:tc>
        <w:tc>
          <w:tcPr>
            <w:tcW w:w="5260" w:type="dxa"/>
            <w:vAlign w:val="bottom"/>
          </w:tcPr>
          <w:p>
            <w:pPr>
              <w:ind w:left="400"/>
              <w:spacing w:after="0"/>
              <w:rPr>
                <w:sz w:val="20"/>
                <w:szCs w:val="20"/>
                <w:color w:val="auto"/>
              </w:rPr>
            </w:pPr>
            <w:r>
              <w:rPr>
                <w:rFonts w:ascii="Arial" w:cs="Arial" w:eastAsia="Arial" w:hAnsi="Arial"/>
                <w:sz w:val="18"/>
                <w:szCs w:val="18"/>
                <w:color w:val="auto"/>
              </w:rPr>
              <w:t>Amended and Restated Certificate of Incorporation of the</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8"/>
              </w:rPr>
              <w:t>Company, as filed with the Secretary of the State of Delaware</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effective as of November 18, 2014.</w:t>
            </w: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3(b)</w:t>
            </w:r>
          </w:p>
        </w:tc>
        <w:tc>
          <w:tcPr>
            <w:tcW w:w="5260" w:type="dxa"/>
            <w:vAlign w:val="bottom"/>
          </w:tcPr>
          <w:p>
            <w:pPr>
              <w:ind w:left="400"/>
              <w:spacing w:after="0"/>
              <w:rPr>
                <w:sz w:val="20"/>
                <w:szCs w:val="20"/>
                <w:color w:val="auto"/>
              </w:rPr>
            </w:pPr>
            <w:r>
              <w:rPr>
                <w:rFonts w:ascii="Arial" w:cs="Arial" w:eastAsia="Arial" w:hAnsi="Arial"/>
                <w:sz w:val="18"/>
                <w:szCs w:val="18"/>
                <w:color w:val="auto"/>
              </w:rPr>
              <w:t>Certificate of Merger, effective as of November 18, 2014.</w:t>
            </w:r>
          </w:p>
        </w:tc>
      </w:tr>
      <w:tr>
        <w:trPr>
          <w:trHeight w:val="580"/>
        </w:trPr>
        <w:tc>
          <w:tcPr>
            <w:tcW w:w="900" w:type="dxa"/>
            <w:vAlign w:val="bottom"/>
          </w:tcPr>
          <w:p>
            <w:pPr>
              <w:spacing w:after="0"/>
              <w:rPr>
                <w:sz w:val="20"/>
                <w:szCs w:val="20"/>
                <w:color w:val="auto"/>
              </w:rPr>
            </w:pPr>
            <w:r>
              <w:rPr>
                <w:rFonts w:ascii="Arial" w:cs="Arial" w:eastAsia="Arial" w:hAnsi="Arial"/>
                <w:sz w:val="18"/>
                <w:szCs w:val="18"/>
                <w:color w:val="auto"/>
              </w:rPr>
              <w:t>3(c)</w:t>
            </w:r>
          </w:p>
        </w:tc>
        <w:tc>
          <w:tcPr>
            <w:tcW w:w="5260" w:type="dxa"/>
            <w:vAlign w:val="bottom"/>
          </w:tcPr>
          <w:p>
            <w:pPr>
              <w:ind w:left="400"/>
              <w:spacing w:after="0"/>
              <w:rPr>
                <w:sz w:val="20"/>
                <w:szCs w:val="20"/>
                <w:color w:val="auto"/>
              </w:rPr>
            </w:pPr>
            <w:r>
              <w:rPr>
                <w:rFonts w:ascii="Arial" w:cs="Arial" w:eastAsia="Arial" w:hAnsi="Arial"/>
                <w:sz w:val="18"/>
                <w:szCs w:val="18"/>
                <w:color w:val="auto"/>
                <w:w w:val="96"/>
              </w:rPr>
              <w:t>Amended and Restated Bylaws of the Company, adopted as of</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November 18, 2014.</w:t>
            </w:r>
          </w:p>
        </w:tc>
      </w:tr>
      <w:tr>
        <w:trPr>
          <w:trHeight w:val="404"/>
        </w:trPr>
        <w:tc>
          <w:tcPr>
            <w:tcW w:w="900" w:type="dxa"/>
            <w:vAlign w:val="bottom"/>
          </w:tcPr>
          <w:p>
            <w:pPr>
              <w:spacing w:after="0"/>
              <w:rPr>
                <w:sz w:val="20"/>
                <w:szCs w:val="20"/>
                <w:color w:val="auto"/>
              </w:rPr>
            </w:pPr>
            <w:r>
              <w:rPr>
                <w:rFonts w:ascii="Arial" w:cs="Arial" w:eastAsia="Arial" w:hAnsi="Arial"/>
                <w:sz w:val="18"/>
                <w:szCs w:val="18"/>
                <w:color w:val="auto"/>
              </w:rPr>
              <w:t>3(d)</w:t>
            </w:r>
          </w:p>
        </w:tc>
        <w:tc>
          <w:tcPr>
            <w:tcW w:w="5260" w:type="dxa"/>
            <w:vAlign w:val="bottom"/>
          </w:tcPr>
          <w:p>
            <w:pPr>
              <w:ind w:left="400"/>
              <w:spacing w:after="0"/>
              <w:rPr>
                <w:sz w:val="20"/>
                <w:szCs w:val="20"/>
                <w:color w:val="auto"/>
              </w:rPr>
            </w:pPr>
            <w:r>
              <w:rPr>
                <w:rFonts w:ascii="Arial" w:cs="Arial" w:eastAsia="Arial" w:hAnsi="Arial"/>
                <w:sz w:val="18"/>
                <w:szCs w:val="18"/>
                <w:color w:val="auto"/>
              </w:rPr>
              <w:t>Amended and Restated Certificate of Incorporation of Lamar</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Media.</w:t>
            </w:r>
          </w:p>
        </w:tc>
      </w:tr>
      <w:tr>
        <w:trPr>
          <w:trHeight w:val="634"/>
        </w:trPr>
        <w:tc>
          <w:tcPr>
            <w:tcW w:w="900" w:type="dxa"/>
            <w:vAlign w:val="bottom"/>
          </w:tcPr>
          <w:p>
            <w:pPr>
              <w:spacing w:after="0"/>
              <w:rPr>
                <w:sz w:val="20"/>
                <w:szCs w:val="20"/>
                <w:color w:val="auto"/>
              </w:rPr>
            </w:pPr>
            <w:r>
              <w:rPr>
                <w:rFonts w:ascii="Arial" w:cs="Arial" w:eastAsia="Arial" w:hAnsi="Arial"/>
                <w:sz w:val="18"/>
                <w:szCs w:val="18"/>
                <w:color w:val="auto"/>
              </w:rPr>
              <w:t>3(e)</w:t>
            </w:r>
          </w:p>
        </w:tc>
        <w:tc>
          <w:tcPr>
            <w:tcW w:w="5260" w:type="dxa"/>
            <w:vAlign w:val="bottom"/>
          </w:tcPr>
          <w:p>
            <w:pPr>
              <w:ind w:left="400"/>
              <w:spacing w:after="0"/>
              <w:rPr>
                <w:sz w:val="20"/>
                <w:szCs w:val="20"/>
                <w:color w:val="auto"/>
              </w:rPr>
            </w:pPr>
            <w:r>
              <w:rPr>
                <w:rFonts w:ascii="Arial" w:cs="Arial" w:eastAsia="Arial" w:hAnsi="Arial"/>
                <w:sz w:val="18"/>
                <w:szCs w:val="18"/>
                <w:color w:val="auto"/>
              </w:rPr>
              <w:t>Amended and Restated Bylaws of Lamar Media.</w:t>
            </w:r>
          </w:p>
        </w:tc>
      </w:tr>
      <w:tr>
        <w:trPr>
          <w:trHeight w:val="756"/>
        </w:trPr>
        <w:tc>
          <w:tcPr>
            <w:tcW w:w="900" w:type="dxa"/>
            <w:vAlign w:val="bottom"/>
          </w:tcPr>
          <w:p>
            <w:pPr>
              <w:spacing w:after="0"/>
              <w:rPr>
                <w:sz w:val="20"/>
                <w:szCs w:val="20"/>
                <w:color w:val="auto"/>
              </w:rPr>
            </w:pPr>
            <w:r>
              <w:rPr>
                <w:rFonts w:ascii="Arial" w:cs="Arial" w:eastAsia="Arial" w:hAnsi="Arial"/>
                <w:sz w:val="18"/>
                <w:szCs w:val="18"/>
                <w:color w:val="auto"/>
              </w:rPr>
              <w:t>4(a)(1)</w:t>
            </w:r>
          </w:p>
        </w:tc>
        <w:tc>
          <w:tcPr>
            <w:tcW w:w="5260" w:type="dxa"/>
            <w:vAlign w:val="bottom"/>
          </w:tcPr>
          <w:p>
            <w:pPr>
              <w:ind w:left="400"/>
              <w:spacing w:after="0"/>
              <w:rPr>
                <w:sz w:val="20"/>
                <w:szCs w:val="20"/>
                <w:color w:val="auto"/>
              </w:rPr>
            </w:pPr>
            <w:r>
              <w:rPr>
                <w:rFonts w:ascii="Arial" w:cs="Arial" w:eastAsia="Arial" w:hAnsi="Arial"/>
                <w:sz w:val="18"/>
                <w:szCs w:val="18"/>
                <w:color w:val="auto"/>
                <w:w w:val="90"/>
              </w:rPr>
              <w:t>Specimen certificate for the shares of Class A common stock of the</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404"/>
        </w:trPr>
        <w:tc>
          <w:tcPr>
            <w:tcW w:w="900" w:type="dxa"/>
            <w:vAlign w:val="bottom"/>
          </w:tcPr>
          <w:p>
            <w:pPr>
              <w:spacing w:after="0"/>
              <w:rPr>
                <w:sz w:val="20"/>
                <w:szCs w:val="20"/>
                <w:color w:val="auto"/>
              </w:rPr>
            </w:pPr>
            <w:r>
              <w:rPr>
                <w:rFonts w:ascii="Arial" w:cs="Arial" w:eastAsia="Arial" w:hAnsi="Arial"/>
                <w:sz w:val="18"/>
                <w:szCs w:val="18"/>
                <w:color w:val="auto"/>
              </w:rPr>
              <w:t>4(a)(2)</w:t>
            </w:r>
          </w:p>
        </w:tc>
        <w:tc>
          <w:tcPr>
            <w:tcW w:w="5260" w:type="dxa"/>
            <w:vAlign w:val="bottom"/>
          </w:tcPr>
          <w:p>
            <w:pPr>
              <w:ind w:left="400"/>
              <w:spacing w:after="0"/>
              <w:rPr>
                <w:sz w:val="20"/>
                <w:szCs w:val="20"/>
                <w:color w:val="auto"/>
              </w:rPr>
            </w:pPr>
            <w:r>
              <w:rPr>
                <w:rFonts w:ascii="Arial" w:cs="Arial" w:eastAsia="Arial" w:hAnsi="Arial"/>
                <w:sz w:val="18"/>
                <w:szCs w:val="18"/>
                <w:color w:val="auto"/>
                <w:w w:val="90"/>
              </w:rPr>
              <w:t>Specimen certificate for the shares of Class B common stock of the</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Company.</w:t>
            </w:r>
          </w:p>
        </w:tc>
      </w:tr>
      <w:tr>
        <w:trPr>
          <w:trHeight w:val="404"/>
        </w:trPr>
        <w:tc>
          <w:tcPr>
            <w:tcW w:w="900" w:type="dxa"/>
            <w:vAlign w:val="bottom"/>
          </w:tcPr>
          <w:p>
            <w:pPr>
              <w:spacing w:after="0"/>
              <w:rPr>
                <w:sz w:val="20"/>
                <w:szCs w:val="20"/>
                <w:color w:val="auto"/>
              </w:rPr>
            </w:pPr>
            <w:r>
              <w:rPr>
                <w:rFonts w:ascii="Arial" w:cs="Arial" w:eastAsia="Arial" w:hAnsi="Arial"/>
                <w:sz w:val="18"/>
                <w:szCs w:val="18"/>
                <w:color w:val="auto"/>
              </w:rPr>
              <w:t>4(a)(3)</w:t>
            </w:r>
          </w:p>
        </w:tc>
        <w:tc>
          <w:tcPr>
            <w:tcW w:w="5260" w:type="dxa"/>
            <w:vAlign w:val="bottom"/>
          </w:tcPr>
          <w:p>
            <w:pPr>
              <w:ind w:left="400"/>
              <w:spacing w:after="0"/>
              <w:rPr>
                <w:sz w:val="20"/>
                <w:szCs w:val="20"/>
                <w:color w:val="auto"/>
              </w:rPr>
            </w:pPr>
            <w:r>
              <w:rPr>
                <w:rFonts w:ascii="Arial" w:cs="Arial" w:eastAsia="Arial" w:hAnsi="Arial"/>
                <w:sz w:val="18"/>
                <w:szCs w:val="18"/>
                <w:color w:val="auto"/>
              </w:rPr>
              <w:t>Description of Securities Registered Under Section 12 of the</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Exchange Act.</w:t>
            </w:r>
          </w:p>
        </w:tc>
      </w:tr>
      <w:tr>
        <w:trPr>
          <w:trHeight w:val="580"/>
        </w:trPr>
        <w:tc>
          <w:tcPr>
            <w:tcW w:w="900" w:type="dxa"/>
            <w:vAlign w:val="bottom"/>
          </w:tcPr>
          <w:p>
            <w:pPr>
              <w:spacing w:after="0"/>
              <w:rPr>
                <w:sz w:val="20"/>
                <w:szCs w:val="20"/>
                <w:color w:val="auto"/>
              </w:rPr>
            </w:pPr>
            <w:r>
              <w:rPr>
                <w:rFonts w:ascii="Arial" w:cs="Arial" w:eastAsia="Arial" w:hAnsi="Arial"/>
                <w:sz w:val="18"/>
                <w:szCs w:val="18"/>
                <w:color w:val="auto"/>
              </w:rPr>
              <w:t>4(b)(1)</w:t>
            </w:r>
          </w:p>
        </w:tc>
        <w:tc>
          <w:tcPr>
            <w:tcW w:w="5260" w:type="dxa"/>
            <w:vAlign w:val="bottom"/>
          </w:tcPr>
          <w:p>
            <w:pPr>
              <w:ind w:left="400"/>
              <w:spacing w:after="0"/>
              <w:rPr>
                <w:sz w:val="20"/>
                <w:szCs w:val="20"/>
                <w:color w:val="auto"/>
              </w:rPr>
            </w:pPr>
            <w:r>
              <w:rPr>
                <w:rFonts w:ascii="Arial" w:cs="Arial" w:eastAsia="Arial" w:hAnsi="Arial"/>
                <w:sz w:val="18"/>
                <w:szCs w:val="18"/>
                <w:color w:val="auto"/>
                <w:w w:val="91"/>
              </w:rPr>
              <w:t>Indenture, dated as of October 30, 2012, among Lamar Media, the</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Arial" w:cs="Arial" w:eastAsia="Arial" w:hAnsi="Arial"/>
                <w:sz w:val="18"/>
                <w:szCs w:val="18"/>
                <w:color w:val="auto"/>
                <w:w w:val="95"/>
              </w:rPr>
              <w:t>Trust Company, N.A., as Trustee, relating to Lamar Media’s 5%</w:t>
            </w:r>
          </w:p>
        </w:tc>
      </w:tr>
      <w:tr>
        <w:trPr>
          <w:trHeight w:val="230"/>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Senior Subordinated Notes due 2023.</w:t>
            </w: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4(b)(2)</w:t>
            </w:r>
          </w:p>
        </w:tc>
        <w:tc>
          <w:tcPr>
            <w:tcW w:w="5260" w:type="dxa"/>
            <w:vAlign w:val="bottom"/>
          </w:tcPr>
          <w:p>
            <w:pPr>
              <w:ind w:left="400"/>
              <w:spacing w:after="0"/>
              <w:rPr>
                <w:sz w:val="20"/>
                <w:szCs w:val="20"/>
                <w:color w:val="auto"/>
              </w:rPr>
            </w:pPr>
            <w:r>
              <w:rPr>
                <w:rFonts w:ascii="Arial" w:cs="Arial" w:eastAsia="Arial" w:hAnsi="Arial"/>
                <w:sz w:val="18"/>
                <w:szCs w:val="18"/>
                <w:color w:val="auto"/>
              </w:rPr>
              <w:t>Form of 5% Senior Subordinated Notes due 2023.</w:t>
            </w:r>
          </w:p>
        </w:tc>
      </w:tr>
      <w:tr>
        <w:trPr>
          <w:trHeight w:val="810"/>
        </w:trPr>
        <w:tc>
          <w:tcPr>
            <w:tcW w:w="900" w:type="dxa"/>
            <w:vAlign w:val="bottom"/>
          </w:tcPr>
          <w:p>
            <w:pPr>
              <w:spacing w:after="0"/>
              <w:rPr>
                <w:sz w:val="20"/>
                <w:szCs w:val="20"/>
                <w:color w:val="auto"/>
              </w:rPr>
            </w:pPr>
            <w:r>
              <w:rPr>
                <w:rFonts w:ascii="Arial" w:cs="Arial" w:eastAsia="Arial" w:hAnsi="Arial"/>
                <w:sz w:val="18"/>
                <w:szCs w:val="18"/>
                <w:color w:val="auto"/>
              </w:rPr>
              <w:t>4(b)(3)</w:t>
            </w:r>
          </w:p>
        </w:tc>
        <w:tc>
          <w:tcPr>
            <w:tcW w:w="5260" w:type="dxa"/>
            <w:vAlign w:val="bottom"/>
          </w:tcPr>
          <w:p>
            <w:pPr>
              <w:ind w:left="400"/>
              <w:spacing w:after="0"/>
              <w:rPr>
                <w:sz w:val="20"/>
                <w:szCs w:val="20"/>
                <w:color w:val="auto"/>
              </w:rPr>
            </w:pPr>
            <w:r>
              <w:rPr>
                <w:rFonts w:ascii="Arial" w:cs="Arial" w:eastAsia="Arial" w:hAnsi="Arial"/>
                <w:sz w:val="18"/>
                <w:szCs w:val="18"/>
                <w:color w:val="auto"/>
                <w:w w:val="99"/>
              </w:rPr>
              <w:t>Form of 5% Senior Subordinated Exchange Notes due 2023.</w:t>
            </w: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40"/>
        <w:spacing w:after="0" w:line="224"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Previously filed as Exhibit 2.1 to the Company’s Current Report on</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Form 8-K (File No. 0-30242) filed on September 2, 2014 and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Previously filed as Exhibit 3.1 to the Company’s Current Report on</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Form 8-K (File No. 1-36756) filed on November 19, 2014 and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Previously filed as Exhibit 3.2 to the Company’s Current Report on</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Form 8-K (File No. 1-36756) filed on November 19, 2014 and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Previously filed as Exhibit 3.3 to the Company’s Current Report on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Form 8-K (File No. 1-36756) filed on November 19, 2014 and</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120"/>
        <w:spacing w:after="0" w:line="219"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Previously filed as Exhibit 3.2 to Lamar Media’s Quarterly Report</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on Form 10-Q for the period ended March 31, 2007 (File No. 0-</w:t>
        </w:r>
      </w:hyperlink>
      <w:hyperlink r:id="rId163">
        <w:r>
          <w:rPr>
            <w:rFonts w:ascii="Arial" w:cs="Arial" w:eastAsia="Arial" w:hAnsi="Arial"/>
            <w:sz w:val="18"/>
            <w:szCs w:val="18"/>
            <w:u w:val="single" w:color="auto"/>
            <w:color w:val="0000FF"/>
          </w:rPr>
          <w:t>30242) filed on May 10, 2007 and incorporated herein by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120"/>
        <w:spacing w:after="0" w:line="239" w:lineRule="auto"/>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Previously filed as Exhibit 3.1 to Lamar Media’s Quarterly Report</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on Form 10-Q for the period ended September 30, 1999 (File No.</w:t>
        </w:r>
      </w:hyperlink>
    </w:p>
    <w:p>
      <w:pPr>
        <w:spacing w:after="0" w:line="1" w:lineRule="exact"/>
        <w:rPr>
          <w:sz w:val="20"/>
          <w:szCs w:val="20"/>
          <w:color w:val="auto"/>
        </w:rPr>
      </w:pPr>
    </w:p>
    <w:p>
      <w:pPr>
        <w:ind w:right="180"/>
        <w:spacing w:after="0" w:line="226"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1-12407) filed on November 12, 1999 and incorporated herein by</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reference.</w:t>
        </w:r>
      </w:hyperlink>
    </w:p>
    <w:p>
      <w:pPr>
        <w:spacing w:after="0" w:line="53" w:lineRule="exact"/>
        <w:rPr>
          <w:sz w:val="20"/>
          <w:szCs w:val="20"/>
          <w:color w:val="auto"/>
        </w:rPr>
      </w:pPr>
    </w:p>
    <w:p>
      <w:pPr>
        <w:ind w:right="40"/>
        <w:spacing w:after="0" w:line="224"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Previously filed as Exhibit 4.2 to the Company’s Current Report on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Form 8-K (File No. 1-36756) filed on November 19, 2014 and</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Previously filed as Exhibit 4.3 to the Company’s Current Report on</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Form 8-K (File No. 1-36756) filed on November 19, 2014 and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280"/>
        <w:spacing w:after="0" w:line="219"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Previously filed as Exhibit 4(a)(3) to the Company’s Annual</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Reporting on Form 10-K for the year ended December 31, 2019</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(File No. 1-36756) filed on February 20, 2020 and incorporated</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herein by reference.</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Previously filed as Exhibit 4.1 to the Company’s Current Report on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Form 8-K (File No. 0-30242) filed on October 31, 2012 and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ind w:right="40"/>
        <w:spacing w:after="0" w:line="219"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Previously filed with the Indenture dated October 30, 2012, filed as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No. 0-30242) filed on October 31, 2012, and incorporated herein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40"/>
        <w:spacing w:after="0" w:line="219"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Previously filed with the Indenture dated October 30, 2012, filed as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No. 0-30242) filed on October 31, 2012, and incorporated herein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180" w:space="160"/>
            <w:col w:w="4880"/>
          </w:cols>
          <w:pgMar w:left="320" w:top="125"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76"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4(b)(4)</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December 30, 2012,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4(b)(5)</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December 30, 2012,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4(b)(6)</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December 30, 2012,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4(b)(7)</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May 31, 2013,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4(b)(8)</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January 2, 2014,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4(b)(9)</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July 28, 2015,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4(b)(10)</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December 14, 2017,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4(b)(11)</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December 14, 2017,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4(b)(12)</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January 22, 2019,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ind w:right="100"/>
        <w:spacing w:after="0" w:line="219"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Previously filed as Exhibit 4(h)(4) to the Company’s Annual</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Previously filed as Exhibit 4(h)(5) to the Company’s Annual</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Previously filed as Exhibit 4(h)(6) to the Company’s Annual</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80"/>
        <w:spacing w:after="0" w:line="219"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Previously filed as Exhibit 4.4 to the Company’s Quarterly Report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on Form 10-Q for the period ended June 30, 2013 (File No. 0-</w:t>
        </w:r>
      </w:hyperlink>
      <w:hyperlink r:id="rId175">
        <w:r>
          <w:rPr>
            <w:rFonts w:ascii="Arial" w:cs="Arial" w:eastAsia="Arial" w:hAnsi="Arial"/>
            <w:sz w:val="18"/>
            <w:szCs w:val="18"/>
            <w:u w:val="single" w:color="auto"/>
            <w:color w:val="0000FF"/>
          </w:rPr>
          <w:t>30242) filed on August 8, 2013 and incorporated herein by</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ind w:right="40"/>
        <w:spacing w:after="0" w:line="259" w:lineRule="auto"/>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Previously filed as Exhibit 4.5 to the Company’s Quarterly Report</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on Form 10-Q for the period ended March 31, 2014 (File No. 0-</w:t>
        </w:r>
      </w:hyperlink>
      <w:hyperlink r:id="rId176">
        <w:r>
          <w:rPr>
            <w:rFonts w:ascii="Arial" w:cs="Arial" w:eastAsia="Arial" w:hAnsi="Arial"/>
            <w:sz w:val="16"/>
            <w:szCs w:val="16"/>
            <w:u w:val="single" w:color="auto"/>
            <w:color w:val="0000FF"/>
          </w:rPr>
          <w:t>30242) filed on May 7, 2014 and incorporated herein by reference.</w:t>
        </w:r>
      </w:hyperlink>
    </w:p>
    <w:p>
      <w:pPr>
        <w:spacing w:after="0" w:line="390" w:lineRule="exact"/>
        <w:rPr>
          <w:rFonts w:ascii="Arial" w:cs="Arial" w:eastAsia="Arial" w:hAnsi="Arial"/>
          <w:sz w:val="16"/>
          <w:szCs w:val="16"/>
          <w:u w:val="single" w:color="auto"/>
          <w:color w:val="0000FF"/>
        </w:rPr>
      </w:pPr>
    </w:p>
    <w:p>
      <w:pPr>
        <w:ind w:right="80"/>
        <w:spacing w:after="0" w:line="219"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Previously filed as Exhibit 4.2 to the Company’s Quarterly Report</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on Form 10-Q for the period ended September 30, 2015 (File No.</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1-36756) filed on November 5, 2015 and incorporated herein by</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Previously filed as Exhibit 4(c)(10) to the Company’s Annual</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Previously filed as Exhibit 4(c)(11) to the Company’s Annual</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spacing w:after="0" w:line="25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Previously filed as Exhibit 4.2 to the Company’s Quarterly Report</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on Form 10-Q for the period ended March 31, 2019 (File No. 1-</w:t>
        </w:r>
      </w:hyperlink>
      <w:hyperlink r:id="rId180">
        <w:r>
          <w:rPr>
            <w:rFonts w:ascii="Arial" w:cs="Arial" w:eastAsia="Arial" w:hAnsi="Arial"/>
            <w:sz w:val="16"/>
            <w:szCs w:val="16"/>
            <w:u w:val="single" w:color="auto"/>
            <w:color w:val="0000FF"/>
          </w:rPr>
          <w:t>36756) filed on May 2, 2019, and incorporated herein by reference.</w:t>
        </w:r>
      </w:hyperlink>
    </w:p>
    <w:p>
      <w:pPr>
        <w:sectPr>
          <w:pgSz w:w="11900" w:h="16838" w:orient="portrait"/>
          <w:cols w:equalWidth="0" w:num="2">
            <w:col w:w="6200" w:space="140"/>
            <w:col w:w="4840"/>
          </w:cols>
          <w:pgMar w:left="320" w:top="125" w:right="39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4(b)(13)</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January 22, 2019,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4(b)(14)</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2012, among Lamar Media, the Guarantors named therein and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August 15, 2019, relating to Lamar Media’s 5%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Subordinated Notes due 2023.</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4(c)(1)</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Indenture, dated as of January 10, 2014,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Trust Company, N.A., as Trustee, relating to Lamar Media’s 5</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3/8% Senior Notes due 2024.</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5 3/8% Senior Notes due 2024.</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5 3/8% Senior Exchange Notes due 2024.</w:t>
            </w:r>
          </w:p>
        </w:tc>
        <w:tc>
          <w:tcPr>
            <w:tcW w:w="0" w:type="dxa"/>
            <w:vAlign w:val="bottom"/>
          </w:tcPr>
          <w:p>
            <w:pPr>
              <w:spacing w:after="0"/>
              <w:rPr>
                <w:sz w:val="1"/>
                <w:szCs w:val="1"/>
                <w:color w:val="auto"/>
              </w:rPr>
            </w:pPr>
          </w:p>
        </w:tc>
      </w:tr>
      <w:tr>
        <w:trPr>
          <w:trHeight w:val="756"/>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4(c)(4)</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July 28, 2015,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4(c)(5)</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as of December 14, 2017,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4(c)(6)</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as of December 14, 2017,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4(c)(7)</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as of January 22, 2019,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4(c)(8)</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as of January 22, 2019,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spacing w:after="0" w:line="259" w:lineRule="auto"/>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Previously filed as Exhibit 4.3 to the Company’s Quarterly Report</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on Form 10-Q for the period ended March 31, 2019 (File No. 1-</w:t>
        </w:r>
      </w:hyperlink>
      <w:hyperlink r:id="rId183">
        <w:r>
          <w:rPr>
            <w:rFonts w:ascii="Arial" w:cs="Arial" w:eastAsia="Arial" w:hAnsi="Arial"/>
            <w:sz w:val="16"/>
            <w:szCs w:val="16"/>
            <w:u w:val="single" w:color="auto"/>
            <w:color w:val="0000FF"/>
          </w:rPr>
          <w:t>36756) filed on May 2, 2019, and incorporated herein by reference.</w:t>
        </w:r>
      </w:hyperlink>
    </w:p>
    <w:p>
      <w:pPr>
        <w:spacing w:after="0" w:line="390" w:lineRule="exact"/>
        <w:rPr>
          <w:rFonts w:ascii="Arial" w:cs="Arial" w:eastAsia="Arial" w:hAnsi="Arial"/>
          <w:sz w:val="16"/>
          <w:szCs w:val="16"/>
          <w:u w:val="single" w:color="auto"/>
          <w:color w:val="0000FF"/>
        </w:rPr>
      </w:pPr>
    </w:p>
    <w:p>
      <w:pPr>
        <w:ind w:right="80"/>
        <w:spacing w:after="0" w:line="219"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Previously filed as Exhibit 4.1 to the Company’s Quarterly Report</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on Form 10-Q for the period ended September 30, 2019 (File No.</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1-36756) filed on November 5, 2019, and incorporated herein by</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Previously filed as Exhibit 4.1 to the Company’s Current Report on</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Form 8-K (File No. 0-30242) filed on January 15, 2014 and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Previously filed with the Indenture dated January 10, 2014, filed as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No. 0-30242) filed on January 15, 2014 and incorporated herein by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Previously filed with the Indenture dated January 10, 2014, filed as</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No. 0-30242) filed on January 15, 2014 and incorporated herein by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jc w:val="both"/>
        <w:ind w:right="80"/>
        <w:spacing w:after="0" w:line="239" w:lineRule="auto"/>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Previously filed as Exhibit 4.1 to the Company’s Quarterly Report</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on Form 10-Q for the period ended September 30, 2015 (File No.</w:t>
        </w:r>
      </w:hyperlink>
    </w:p>
    <w:p>
      <w:pPr>
        <w:spacing w:after="0" w:line="1" w:lineRule="exact"/>
        <w:rPr>
          <w:sz w:val="20"/>
          <w:szCs w:val="20"/>
          <w:color w:val="auto"/>
        </w:rPr>
      </w:pPr>
    </w:p>
    <w:p>
      <w:pPr>
        <w:ind w:right="220"/>
        <w:spacing w:after="0" w:line="226"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1-36756) filed on November 5, 2015 and incorporated herein by</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reference.</w:t>
        </w:r>
      </w:hyperlink>
    </w:p>
    <w:p>
      <w:pPr>
        <w:spacing w:after="0" w:line="229" w:lineRule="exact"/>
        <w:rPr>
          <w:sz w:val="20"/>
          <w:szCs w:val="20"/>
          <w:color w:val="auto"/>
        </w:rPr>
      </w:pPr>
    </w:p>
    <w:p>
      <w:pPr>
        <w:ind w:right="100"/>
        <w:spacing w:after="0" w:line="219"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Previously filed as Exhibit 4(d)(5) to the Company’s Annual</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Previously filed as Exhibit 4(d)(6) to the Company’s Annual</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spacing w:after="0" w:line="259" w:lineRule="auto"/>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Previously filed as Exhibit 4.4 to the Company’s Quarterly Report</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on Form 10-Q for the period ended March 31, 2019 (File No. 1-</w:t>
        </w:r>
      </w:hyperlink>
      <w:hyperlink r:id="rId189">
        <w:r>
          <w:rPr>
            <w:rFonts w:ascii="Arial" w:cs="Arial" w:eastAsia="Arial" w:hAnsi="Arial"/>
            <w:sz w:val="16"/>
            <w:szCs w:val="16"/>
            <w:u w:val="single" w:color="auto"/>
            <w:color w:val="0000FF"/>
          </w:rPr>
          <w:t>36756) filed on May 2, 2019, and incorporated herein by reference.</w:t>
        </w:r>
      </w:hyperlink>
    </w:p>
    <w:p>
      <w:pPr>
        <w:spacing w:after="0" w:line="390" w:lineRule="exact"/>
        <w:rPr>
          <w:rFonts w:ascii="Arial" w:cs="Arial" w:eastAsia="Arial" w:hAnsi="Arial"/>
          <w:sz w:val="16"/>
          <w:szCs w:val="16"/>
          <w:u w:val="single" w:color="auto"/>
          <w:color w:val="0000FF"/>
        </w:rPr>
      </w:pPr>
    </w:p>
    <w:p>
      <w:pPr>
        <w:spacing w:after="0" w:line="259" w:lineRule="auto"/>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Previously filed as Exhibit 4.5 to the Company’s Quarterly Report</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on Form 10-Q for the period ended March 31, 2019 (File No. 1-</w:t>
        </w:r>
      </w:hyperlink>
      <w:hyperlink r:id="rId190">
        <w:r>
          <w:rPr>
            <w:rFonts w:ascii="Arial" w:cs="Arial" w:eastAsia="Arial" w:hAnsi="Arial"/>
            <w:sz w:val="16"/>
            <w:szCs w:val="16"/>
            <w:u w:val="single" w:color="auto"/>
            <w:color w:val="0000FF"/>
          </w:rPr>
          <w:t>36756) filed on May 2, 2019, and incorporated herein by reference.</w:t>
        </w:r>
      </w:hyperlink>
    </w:p>
    <w:p>
      <w:pPr>
        <w:sectPr>
          <w:pgSz w:w="11900" w:h="16838" w:orient="portrait"/>
          <w:cols w:equalWidth="0" w:num="2">
            <w:col w:w="6200" w:space="140"/>
            <w:col w:w="4840"/>
          </w:cols>
          <w:pgMar w:left="320" w:top="125" w:right="399" w:bottom="1440" w:gutter="0" w:footer="0" w:header="0"/>
          <w:type w:val="continuous"/>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4(c)(9)</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4"/>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2014,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August 15, 2019, relating to Lamar Media’s 5 3/8%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4(d)(1)</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Indenture, dated as of January 28, 2016, between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Trust Company, N.A., as Trustee, relating to Lamar Media’s 5</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3/4% Senior Notes due 2026.</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5 3/4% Senior Notes due 2026.</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5 3/4% Senior Exchange Notes due 2026.</w:t>
            </w:r>
          </w:p>
        </w:tc>
        <w:tc>
          <w:tcPr>
            <w:tcW w:w="0" w:type="dxa"/>
            <w:vAlign w:val="bottom"/>
          </w:tcPr>
          <w:p>
            <w:pPr>
              <w:spacing w:after="0"/>
              <w:rPr>
                <w:sz w:val="1"/>
                <w:szCs w:val="1"/>
                <w:color w:val="auto"/>
              </w:rPr>
            </w:pPr>
          </w:p>
        </w:tc>
      </w:tr>
      <w:tr>
        <w:trPr>
          <w:trHeight w:val="756"/>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4(d)(4)</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28,</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2016, among Lamar Media, the Guarantors named therein and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as of December 14, 2017, relating to Lamar Media’s 5 3/4%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4(d)(5)</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28,</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2016,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as of December 14, 2017, relating to Lamar Media’s 5 3/4%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4(d)(6)</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2016,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as of January 22, 2019, relating to Lamar Media’s 5 3/4%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4(d)(7)</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2016,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as of January 22, 2019, relating to Lamar Media’s 5 3/4%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4(d)(8)</w:t>
            </w:r>
          </w:p>
        </w:tc>
        <w:tc>
          <w:tcPr>
            <w:tcW w:w="4900" w:type="dxa"/>
            <w:vAlign w:val="bottom"/>
          </w:tcPr>
          <w:p>
            <w:pPr>
              <w:ind w:left="20"/>
              <w:spacing w:after="0"/>
              <w:rPr>
                <w:sz w:val="20"/>
                <w:szCs w:val="20"/>
                <w:color w:val="auto"/>
              </w:rPr>
            </w:pPr>
            <w:r>
              <w:rPr>
                <w:rFonts w:ascii="Arial" w:cs="Arial" w:eastAsia="Arial" w:hAnsi="Arial"/>
                <w:sz w:val="18"/>
                <w:szCs w:val="18"/>
                <w:color w:val="auto"/>
                <w:w w:val="95"/>
              </w:rPr>
              <w:t>Supplemental Indenture, dated as of February 1, 2019, between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Lamar Media, the Guarantors named therein and The Bank of New</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York Mellon Trust Company, N.A., as Trustee, relating to Lamar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Media’s 5 3/4% Senior 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4(d)(9)</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2016, among Lamar Media, the Guarantors named therein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Company, N.A., as Trustee,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as of August 15, 2019, relating to Lamar Media’s 5 3/4% Senior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1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ind w:right="80"/>
        <w:spacing w:after="0" w:line="219"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Previously filed as Exhibit 4.2 to the Company’s Quarterly Report</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on Form 10-Q for the period ended September 30, 2019 (File No.</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1-36756) filed on November 5, 2019, and incorporated herein by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Previously filed as Exhibit 4.1 to the Company’s Current Report on</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Form 8-K (File No. 1-36756) filed on February 1, 2016 and</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Previously filed with the Indenture dated January 28, 2016, filed as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No. 1-36756) filed on February 1, 2016 and incorporated herein by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Previously filed with the Indenture dated January 28, 2016, filed as</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No. 1-36756) filed on February 1, 2016 and incorporated herein by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Previously filed as Exhibit 4(e)(4) to the Company’s Annual</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Previously filed as Exhibit 4(e)(5) to the Company’s Annual</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Report on Form 10-K for the year ended December 31, 2017 (File</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No. 1-36756) filed on February 27, 2018 and incorporated herein</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spacing w:after="0" w:line="259" w:lineRule="auto"/>
        <w:rPr>
          <w:rFonts w:ascii="Arial" w:cs="Arial" w:eastAsia="Arial" w:hAnsi="Arial"/>
          <w:sz w:val="16"/>
          <w:szCs w:val="16"/>
          <w:u w:val="single" w:color="auto"/>
          <w:color w:val="0000FF"/>
        </w:rPr>
      </w:pPr>
      <w:hyperlink r:id="rId197">
        <w:r>
          <w:rPr>
            <w:rFonts w:ascii="Arial" w:cs="Arial" w:eastAsia="Arial" w:hAnsi="Arial"/>
            <w:sz w:val="16"/>
            <w:szCs w:val="16"/>
            <w:u w:val="single" w:color="auto"/>
            <w:color w:val="0000FF"/>
          </w:rPr>
          <w:t>Previously filed as Exhibit 4.6 to the Company’s Quarterly Report</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on Form 10-Q for the period ended March 31, 2019 (File No. 1-</w:t>
        </w:r>
      </w:hyperlink>
      <w:hyperlink r:id="rId197">
        <w:r>
          <w:rPr>
            <w:rFonts w:ascii="Arial" w:cs="Arial" w:eastAsia="Arial" w:hAnsi="Arial"/>
            <w:sz w:val="16"/>
            <w:szCs w:val="16"/>
            <w:u w:val="single" w:color="auto"/>
            <w:color w:val="0000FF"/>
          </w:rPr>
          <w:t>36756) filed on May 2, 2019, and incorporated herein by reference.</w:t>
        </w:r>
      </w:hyperlink>
    </w:p>
    <w:p>
      <w:pPr>
        <w:spacing w:after="0" w:line="390" w:lineRule="exact"/>
        <w:rPr>
          <w:rFonts w:ascii="Arial" w:cs="Arial" w:eastAsia="Arial" w:hAnsi="Arial"/>
          <w:sz w:val="16"/>
          <w:szCs w:val="16"/>
          <w:u w:val="single" w:color="auto"/>
          <w:color w:val="0000FF"/>
        </w:rPr>
      </w:pPr>
    </w:p>
    <w:p>
      <w:pPr>
        <w:spacing w:after="0" w:line="259" w:lineRule="auto"/>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Previously filed as Exhibit 4.7 to the Company’s Quarterly Report</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on Form 10-Q for the period ended March 31, 2019 (File No. 1-</w:t>
        </w:r>
      </w:hyperlink>
      <w:hyperlink r:id="rId198">
        <w:r>
          <w:rPr>
            <w:rFonts w:ascii="Arial" w:cs="Arial" w:eastAsia="Arial" w:hAnsi="Arial"/>
            <w:sz w:val="16"/>
            <w:szCs w:val="16"/>
            <w:u w:val="single" w:color="auto"/>
            <w:color w:val="0000FF"/>
          </w:rPr>
          <w:t>36756) filed on May 2, 2019, and incorporated herein by reference.</w:t>
        </w:r>
      </w:hyperlink>
    </w:p>
    <w:p>
      <w:pPr>
        <w:spacing w:after="0" w:line="390" w:lineRule="exact"/>
        <w:rPr>
          <w:rFonts w:ascii="Arial" w:cs="Arial" w:eastAsia="Arial" w:hAnsi="Arial"/>
          <w:sz w:val="16"/>
          <w:szCs w:val="16"/>
          <w:u w:val="single" w:color="auto"/>
          <w:color w:val="0000FF"/>
        </w:rPr>
      </w:pPr>
    </w:p>
    <w:p>
      <w:pPr>
        <w:ind w:right="100"/>
        <w:spacing w:after="0" w:line="224" w:lineRule="auto"/>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Previously filed as Exhibit 4.1 to Lamar Advertising’s Current</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Report on Form 8-K (File No. 1-36756) filed on February 6, 2019</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and incorporated herein by reference.</w:t>
        </w:r>
      </w:hyperlink>
    </w:p>
    <w:p>
      <w:pPr>
        <w:spacing w:after="0" w:line="230" w:lineRule="exact"/>
        <w:rPr>
          <w:rFonts w:ascii="Arial" w:cs="Arial" w:eastAsia="Arial" w:hAnsi="Arial"/>
          <w:sz w:val="18"/>
          <w:szCs w:val="18"/>
          <w:u w:val="single" w:color="auto"/>
          <w:color w:val="0000FF"/>
        </w:rPr>
      </w:pPr>
    </w:p>
    <w:p>
      <w:pPr>
        <w:ind w:right="80"/>
        <w:spacing w:after="0" w:line="219"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Previously filed as Exhibit 4.3 to the Company’s Quarterly Report</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on Form 10-Q for the period ended September 30, 2019 (File No.</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1-36756) filed on November 5, 2019, and incorporated herein by</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reference.</w:t>
        </w:r>
      </w:hyperlink>
    </w:p>
    <w:p>
      <w:pPr>
        <w:sectPr>
          <w:pgSz w:w="11900" w:h="16838" w:orient="portrait"/>
          <w:cols w:equalWidth="0" w:num="2">
            <w:col w:w="6200" w:space="140"/>
            <w:col w:w="4840"/>
          </w:cols>
          <w:pgMar w:left="320" w:top="125" w:right="399"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4(e)(1)</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89"/>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Trust Company, N.A., as Trustee, relating to Lamar Media’s 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3/4% Senior Notes due 2028.</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4(e)(2)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3 3/4% Senior Notes due 2028.</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4(e)(3)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3 3/4% Senior Exchange Notes due 2028.</w:t>
            </w:r>
          </w:p>
        </w:tc>
        <w:tc>
          <w:tcPr>
            <w:tcW w:w="0" w:type="dxa"/>
            <w:vAlign w:val="bottom"/>
          </w:tcPr>
          <w:p>
            <w:pPr>
              <w:spacing w:after="0"/>
              <w:rPr>
                <w:sz w:val="1"/>
                <w:szCs w:val="1"/>
                <w:color w:val="auto"/>
              </w:rPr>
            </w:pPr>
          </w:p>
        </w:tc>
      </w:tr>
      <w:tr>
        <w:trPr>
          <w:trHeight w:val="756"/>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4(f)(1)</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Trust Company, N.A., as Trustee, relating to Lamar Media’s 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Senior Notes due 2030.</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4(f)(2)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4% Senior Notes due 2030.</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4(f)(3)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4% Senior Exchange Notes due 2030.</w:t>
            </w:r>
          </w:p>
        </w:tc>
        <w:tc>
          <w:tcPr>
            <w:tcW w:w="0" w:type="dxa"/>
            <w:vAlign w:val="bottom"/>
          </w:tcPr>
          <w:p>
            <w:pPr>
              <w:spacing w:after="0"/>
              <w:rPr>
                <w:sz w:val="1"/>
                <w:szCs w:val="1"/>
                <w:color w:val="auto"/>
              </w:rPr>
            </w:pPr>
          </w:p>
        </w:tc>
      </w:tr>
      <w:tr>
        <w:trPr>
          <w:trHeight w:val="756"/>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4(g)(1)</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Indenture, dated as of May 13, 2020, between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Trust Company, N.A., as Trustee, relating to Lamar Media’s 4</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7/8% Senior Notes due 2029.</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4(g)(2)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4 7/8% Senior Notes due 2029.</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4(g)(3)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4 7/8% Senior Exchange Notes due 2029.</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4(h)(1)</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Indenture, dated as of January 22, 2021, between Lamar Media, the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9" w:lineRule="exact"/>
              <w:rPr>
                <w:sz w:val="20"/>
                <w:szCs w:val="20"/>
                <w:color w:val="auto"/>
              </w:rPr>
            </w:pPr>
            <w:r>
              <w:rPr>
                <w:rFonts w:ascii="Arial" w:cs="Arial" w:eastAsia="Arial" w:hAnsi="Arial"/>
                <w:sz w:val="18"/>
                <w:szCs w:val="18"/>
                <w:color w:val="auto"/>
                <w:w w:val="99"/>
              </w:rPr>
              <w:t>Guarantors named therein and The Bank of New York Mellon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9" w:lineRule="exact"/>
              <w:rPr>
                <w:sz w:val="20"/>
                <w:szCs w:val="20"/>
                <w:color w:val="auto"/>
              </w:rPr>
            </w:pPr>
            <w:r>
              <w:rPr>
                <w:rFonts w:ascii="Arial" w:cs="Arial" w:eastAsia="Arial" w:hAnsi="Arial"/>
                <w:sz w:val="18"/>
                <w:szCs w:val="18"/>
                <w:color w:val="auto"/>
              </w:rPr>
              <w:t>Trust Company, N.A., as Trustee, relating to Lamar Media’s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3.625% Senior Notes due 2031.</w:t>
            </w:r>
          </w:p>
        </w:tc>
        <w:tc>
          <w:tcPr>
            <w:tcW w:w="0" w:type="dxa"/>
            <w:vAlign w:val="bottom"/>
          </w:tcPr>
          <w:p>
            <w:pPr>
              <w:spacing w:after="0"/>
              <w:rPr>
                <w:sz w:val="1"/>
                <w:szCs w:val="1"/>
                <w:color w:val="auto"/>
              </w:rPr>
            </w:pPr>
          </w:p>
        </w:tc>
      </w:tr>
      <w:tr>
        <w:trPr>
          <w:trHeight w:val="297"/>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4(h)(2)</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3.625% Senior Notes due 2031.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spacing w:after="0" w:line="224"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Previously filed as Exhibit 4.1 to Lamar Advertising’s Current</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Report on Form 8-K (File No. 1-36756) filed on February 12, 2020</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and incorporated herein by reference.</w:t>
        </w:r>
      </w:hyperlink>
    </w:p>
    <w:p>
      <w:pPr>
        <w:spacing w:after="0" w:line="230"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Previously filed with the Indenture dated February 6, 2020, filed as</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No. 1-36756) filed on February 12, 2020 and incorporated herein</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Previously filed with the Indenture dated February 6, 2020, filed as</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No. 1-36756) filed on February 12, 2020 and incorporated herein</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Previously filed as Exhibit 4.2 to Lamar Advertising’s Current</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Report on Form 8-K (File No. 1-36756) filed on February 12, 2020</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and incorporated herein by reference.</w:t>
        </w:r>
      </w:hyperlink>
    </w:p>
    <w:p>
      <w:pPr>
        <w:spacing w:after="0" w:line="230"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Previously filed with the Indenture dated February 6, 2020, filed as</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Exhibit 4.2 to the Company’s Current Report on Form 8-K (File</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No. 1-36756) filed on February 12, 2020 and incorporated herein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20"/>
        <w:spacing w:after="0" w:line="219"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Previously filed with the Indenture dated February 6, 2020, filed as</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Exhibit 4.2 to the Company’s Current Report on Form 8-K (File</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No. 1-36756) filed on February 12, 2020 and incorporated herein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20"/>
        <w:spacing w:after="0" w:line="224"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Previously filed as Exhibit 4.1 to Lamar Advertising’s Current</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Report on Form 8-K (File No. 1-36756) filed on May 19, 2020 and</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jc w:val="both"/>
        <w:ind w:right="240"/>
        <w:spacing w:after="0" w:line="219"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Previously filed with the Indenture dated May 13, 2020, filed as</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No. 1-36756) filed on May 19, 2020 and incorporated herein by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jc w:val="both"/>
        <w:ind w:right="240"/>
        <w:spacing w:after="0" w:line="219"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Previously filed with the Indenture dated May 13, 2020, filed as</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No. 1-36756) filed on May 19, 2020 and incorporated herein by</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100"/>
        <w:spacing w:after="0" w:line="235"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Previously filed as Exhibit 4.1 to Lamar Advertising’s Current</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Report on Form 8-K (File No. 1-36756) filed on January 28, 2021</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and incorporated herein by reference.</w:t>
        </w:r>
      </w:hyperlink>
    </w:p>
    <w:p>
      <w:pPr>
        <w:spacing w:after="0" w:line="256" w:lineRule="exact"/>
        <w:rPr>
          <w:rFonts w:ascii="Arial" w:cs="Arial" w:eastAsia="Arial" w:hAnsi="Arial"/>
          <w:sz w:val="18"/>
          <w:szCs w:val="18"/>
          <w:u w:val="single" w:color="auto"/>
          <w:color w:val="0000FF"/>
        </w:rPr>
      </w:pPr>
    </w:p>
    <w:p>
      <w:pPr>
        <w:ind w:right="20"/>
        <w:spacing w:after="0" w:line="231"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Previously filed with the Indenture dated January 22, 2021, filed as</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No. 1-36756) filed on January 28, 2021 and incorporated herein by</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reference.</w:t>
        </w:r>
      </w:hyperlink>
    </w:p>
    <w:p>
      <w:pPr>
        <w:sectPr>
          <w:pgSz w:w="11900" w:h="16838" w:orient="portrait"/>
          <w:cols w:equalWidth="0" w:num="2">
            <w:col w:w="6200" w:space="140"/>
            <w:col w:w="4840"/>
          </w:cols>
          <w:pgMar w:left="320" w:top="125" w:right="39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4(h)(3)</w:t>
            </w:r>
          </w:p>
        </w:tc>
        <w:tc>
          <w:tcPr>
            <w:tcW w:w="1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3.625% Senior Exchange Notes due 2031.</w:t>
            </w:r>
          </w:p>
        </w:tc>
        <w:tc>
          <w:tcPr>
            <w:tcW w:w="0" w:type="dxa"/>
            <w:vAlign w:val="bottom"/>
          </w:tcPr>
          <w:p>
            <w:pPr>
              <w:spacing w:after="0"/>
              <w:rPr>
                <w:sz w:val="1"/>
                <w:szCs w:val="1"/>
                <w:color w:val="auto"/>
              </w:rPr>
            </w:pPr>
          </w:p>
        </w:tc>
      </w:tr>
      <w:tr>
        <w:trPr>
          <w:trHeight w:val="80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4(i)</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Agreement of Resignation, Appointment and Acceptance, dated as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89"/>
              </w:rPr>
              <w:t>of June 14, 2021, by and among Lamar Media, as issuer, U.S. Bank</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National Association, as successor trustee, and The Bank of New</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York Mellon Trust Company, N.A., as resigning trustee.</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10(a)(1)*</w:t>
            </w:r>
          </w:p>
        </w:tc>
        <w:tc>
          <w:tcPr>
            <w:tcW w:w="4900" w:type="dxa"/>
            <w:vAlign w:val="bottom"/>
          </w:tcPr>
          <w:p>
            <w:pPr>
              <w:ind w:left="20"/>
              <w:spacing w:after="0"/>
              <w:rPr>
                <w:sz w:val="20"/>
                <w:szCs w:val="20"/>
                <w:color w:val="auto"/>
              </w:rPr>
            </w:pPr>
            <w:r>
              <w:rPr>
                <w:rFonts w:ascii="Arial" w:cs="Arial" w:eastAsia="Arial" w:hAnsi="Arial"/>
                <w:sz w:val="18"/>
                <w:szCs w:val="18"/>
                <w:color w:val="auto"/>
              </w:rPr>
              <w:t>Lamar Advertising Company 1996 Equity Incentive Plan, as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amended and restated by the Board of Directors on December 12,</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0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10(a)(2)*</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Form of Stock Option Agreement under the 1996 Equity Incentive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Plan, as amended and restated.</w:t>
            </w:r>
          </w:p>
        </w:tc>
        <w:tc>
          <w:tcPr>
            <w:tcW w:w="0" w:type="dxa"/>
            <w:vAlign w:val="bottom"/>
          </w:tcPr>
          <w:p>
            <w:pPr>
              <w:spacing w:after="0"/>
              <w:rPr>
                <w:sz w:val="1"/>
                <w:szCs w:val="1"/>
                <w:color w:val="auto"/>
              </w:rPr>
            </w:pPr>
          </w:p>
        </w:tc>
      </w:tr>
      <w:tr>
        <w:trPr>
          <w:trHeight w:val="63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10(a)(3)*</w:t>
            </w:r>
          </w:p>
        </w:tc>
        <w:tc>
          <w:tcPr>
            <w:tcW w:w="4900" w:type="dxa"/>
            <w:vAlign w:val="bottom"/>
          </w:tcPr>
          <w:p>
            <w:pPr>
              <w:ind w:left="20"/>
              <w:spacing w:after="0"/>
              <w:rPr>
                <w:sz w:val="20"/>
                <w:szCs w:val="20"/>
                <w:color w:val="auto"/>
              </w:rPr>
            </w:pPr>
            <w:r>
              <w:rPr>
                <w:rFonts w:ascii="Arial" w:cs="Arial" w:eastAsia="Arial" w:hAnsi="Arial"/>
                <w:sz w:val="18"/>
                <w:szCs w:val="18"/>
                <w:color w:val="auto"/>
              </w:rPr>
              <w:t>Form of Restricted Stock Agreement.</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10(a)(4)*</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Form of Restricted Stock Agreement for Non-Employee directors.</w:t>
            </w:r>
          </w:p>
        </w:tc>
        <w:tc>
          <w:tcPr>
            <w:tcW w:w="0" w:type="dxa"/>
            <w:vAlign w:val="bottom"/>
          </w:tcPr>
          <w:p>
            <w:pPr>
              <w:spacing w:after="0"/>
              <w:rPr>
                <w:sz w:val="1"/>
                <w:szCs w:val="1"/>
                <w:color w:val="auto"/>
              </w:rPr>
            </w:pPr>
          </w:p>
        </w:tc>
      </w:tr>
      <w:tr>
        <w:trPr>
          <w:trHeight w:val="63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10(b)(1)*</w:t>
            </w:r>
          </w:p>
        </w:tc>
        <w:tc>
          <w:tcPr>
            <w:tcW w:w="4900" w:type="dxa"/>
            <w:vAlign w:val="bottom"/>
          </w:tcPr>
          <w:p>
            <w:pPr>
              <w:ind w:left="20"/>
              <w:spacing w:after="0"/>
              <w:rPr>
                <w:sz w:val="20"/>
                <w:szCs w:val="20"/>
                <w:color w:val="auto"/>
              </w:rPr>
            </w:pPr>
            <w:r>
              <w:rPr>
                <w:rFonts w:ascii="Arial" w:cs="Arial" w:eastAsia="Arial" w:hAnsi="Arial"/>
                <w:sz w:val="18"/>
                <w:szCs w:val="18"/>
                <w:color w:val="auto"/>
              </w:rPr>
              <w:t>2009 Employee Stock Purchase Plan, as amended.</w:t>
            </w:r>
          </w:p>
        </w:tc>
        <w:tc>
          <w:tcPr>
            <w:tcW w:w="0" w:type="dxa"/>
            <w:vAlign w:val="bottom"/>
          </w:tcPr>
          <w:p>
            <w:pPr>
              <w:spacing w:after="0"/>
              <w:rPr>
                <w:sz w:val="1"/>
                <w:szCs w:val="1"/>
                <w:color w:val="auto"/>
              </w:rPr>
            </w:pPr>
          </w:p>
        </w:tc>
      </w:tr>
      <w:tr>
        <w:trPr>
          <w:trHeight w:val="81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10(b)(2)*</w:t>
            </w:r>
          </w:p>
        </w:tc>
        <w:tc>
          <w:tcPr>
            <w:tcW w:w="4900" w:type="dxa"/>
            <w:vAlign w:val="bottom"/>
          </w:tcPr>
          <w:p>
            <w:pPr>
              <w:ind w:left="20"/>
              <w:spacing w:after="0"/>
              <w:rPr>
                <w:sz w:val="20"/>
                <w:szCs w:val="20"/>
                <w:color w:val="auto"/>
              </w:rPr>
            </w:pPr>
            <w:r>
              <w:rPr>
                <w:rFonts w:ascii="Arial" w:cs="Arial" w:eastAsia="Arial" w:hAnsi="Arial"/>
                <w:sz w:val="18"/>
                <w:szCs w:val="18"/>
                <w:color w:val="auto"/>
                <w:w w:val="90"/>
              </w:rPr>
              <w:t>Lamar Advertising Company 2019 Employee Stock Purchase Plan.</w:t>
            </w:r>
          </w:p>
        </w:tc>
        <w:tc>
          <w:tcPr>
            <w:tcW w:w="0" w:type="dxa"/>
            <w:vAlign w:val="bottom"/>
          </w:tcPr>
          <w:p>
            <w:pPr>
              <w:spacing w:after="0"/>
              <w:rPr>
                <w:sz w:val="1"/>
                <w:szCs w:val="1"/>
                <w:color w:val="auto"/>
              </w:rPr>
            </w:pPr>
          </w:p>
        </w:tc>
      </w:tr>
      <w:tr>
        <w:trPr>
          <w:trHeight w:val="635"/>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10(c)(1)*</w:t>
            </w:r>
          </w:p>
        </w:tc>
        <w:tc>
          <w:tcPr>
            <w:tcW w:w="4900" w:type="dxa"/>
            <w:vAlign w:val="bottom"/>
          </w:tcPr>
          <w:p>
            <w:pPr>
              <w:ind w:left="20"/>
              <w:spacing w:after="0"/>
              <w:rPr>
                <w:sz w:val="20"/>
                <w:szCs w:val="20"/>
                <w:color w:val="auto"/>
              </w:rPr>
            </w:pPr>
            <w:r>
              <w:rPr>
                <w:rFonts w:ascii="Arial" w:cs="Arial" w:eastAsia="Arial" w:hAnsi="Arial"/>
                <w:sz w:val="18"/>
                <w:szCs w:val="18"/>
                <w:color w:val="auto"/>
              </w:rPr>
              <w:t>Lamar Deferred Compensation Plan (as amended).</w:t>
            </w:r>
          </w:p>
        </w:tc>
        <w:tc>
          <w:tcPr>
            <w:tcW w:w="0" w:type="dxa"/>
            <w:vAlign w:val="bottom"/>
          </w:tcPr>
          <w:p>
            <w:pPr>
              <w:spacing w:after="0"/>
              <w:rPr>
                <w:sz w:val="1"/>
                <w:szCs w:val="1"/>
                <w:color w:val="auto"/>
              </w:rPr>
            </w:pPr>
          </w:p>
        </w:tc>
      </w:tr>
      <w:tr>
        <w:trPr>
          <w:trHeight w:val="58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10(c)(2)*</w:t>
            </w:r>
          </w:p>
        </w:tc>
        <w:tc>
          <w:tcPr>
            <w:tcW w:w="4900" w:type="dxa"/>
            <w:vAlign w:val="bottom"/>
          </w:tcPr>
          <w:p>
            <w:pPr>
              <w:ind w:left="20"/>
              <w:spacing w:after="0"/>
              <w:rPr>
                <w:sz w:val="20"/>
                <w:szCs w:val="20"/>
                <w:color w:val="auto"/>
              </w:rPr>
            </w:pPr>
            <w:r>
              <w:rPr>
                <w:rFonts w:ascii="Arial" w:cs="Arial" w:eastAsia="Arial" w:hAnsi="Arial"/>
                <w:sz w:val="18"/>
                <w:szCs w:val="18"/>
                <w:color w:val="auto"/>
                <w:w w:val="95"/>
              </w:rPr>
              <w:t>Form of Trust Agreement for the Lamar Deferred Compensation</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40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10(c)(3)*</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Amendment to the Lamar Deferred Compensation Plan dated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80"/>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10(c)(1)*</w:t>
            </w:r>
          </w:p>
        </w:tc>
        <w:tc>
          <w:tcPr>
            <w:tcW w:w="4900" w:type="dxa"/>
            <w:vAlign w:val="bottom"/>
          </w:tcPr>
          <w:p>
            <w:pPr>
              <w:ind w:left="20"/>
              <w:spacing w:after="0"/>
              <w:rPr>
                <w:sz w:val="20"/>
                <w:szCs w:val="20"/>
                <w:color w:val="auto"/>
              </w:rPr>
            </w:pPr>
            <w:r>
              <w:rPr>
                <w:rFonts w:ascii="Arial" w:cs="Arial" w:eastAsia="Arial" w:hAnsi="Arial"/>
                <w:sz w:val="18"/>
                <w:szCs w:val="18"/>
                <w:color w:val="auto"/>
                <w:w w:val="96"/>
              </w:rPr>
              <w:t>Summary of Management Compensatory Arrangements, dated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March 28, 2016.</w:t>
            </w:r>
          </w:p>
        </w:tc>
        <w:tc>
          <w:tcPr>
            <w:tcW w:w="0" w:type="dxa"/>
            <w:vAlign w:val="bottom"/>
          </w:tcPr>
          <w:p>
            <w:pPr>
              <w:spacing w:after="0"/>
              <w:rPr>
                <w:sz w:val="1"/>
                <w:szCs w:val="1"/>
                <w:color w:val="auto"/>
              </w:rPr>
            </w:pPr>
          </w:p>
        </w:tc>
      </w:tr>
      <w:tr>
        <w:trPr>
          <w:trHeight w:val="40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10(d)(2)*</w:t>
            </w:r>
          </w:p>
        </w:tc>
        <w:tc>
          <w:tcPr>
            <w:tcW w:w="4900" w:type="dxa"/>
            <w:vAlign w:val="bottom"/>
          </w:tcPr>
          <w:p>
            <w:pPr>
              <w:ind w:left="20"/>
              <w:spacing w:after="0"/>
              <w:rPr>
                <w:sz w:val="20"/>
                <w:szCs w:val="20"/>
                <w:color w:val="auto"/>
              </w:rPr>
            </w:pPr>
            <w:r>
              <w:rPr>
                <w:rFonts w:ascii="Arial" w:cs="Arial" w:eastAsia="Arial" w:hAnsi="Arial"/>
                <w:sz w:val="18"/>
                <w:szCs w:val="18"/>
                <w:color w:val="auto"/>
              </w:rPr>
              <w:t>Summary of Non-Management Director Compensatory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Arrangements, dated May 26, 2016.</w:t>
            </w:r>
          </w:p>
        </w:tc>
        <w:tc>
          <w:tcPr>
            <w:tcW w:w="0" w:type="dxa"/>
            <w:vAlign w:val="bottom"/>
          </w:tcPr>
          <w:p>
            <w:pPr>
              <w:spacing w:after="0"/>
              <w:rPr>
                <w:sz w:val="1"/>
                <w:szCs w:val="1"/>
                <w:color w:val="auto"/>
              </w:rPr>
            </w:pPr>
          </w:p>
        </w:tc>
      </w:tr>
      <w:tr>
        <w:trPr>
          <w:trHeight w:val="1025"/>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ind w:right="20"/>
        <w:spacing w:after="0" w:line="231"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Previously filed with the Indenture dated January 22, 2021, filed as</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Exhibit 4.1 to the Company’s Current Report on Form 8-K (File</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No. 1-36756) filed on January 28, 2021 and incorporated herein by</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reference.</w:t>
        </w:r>
      </w:hyperlink>
    </w:p>
    <w:p>
      <w:pPr>
        <w:spacing w:after="0" w:line="67" w:lineRule="exact"/>
        <w:rPr>
          <w:rFonts w:ascii="Arial" w:cs="Arial" w:eastAsia="Arial" w:hAnsi="Arial"/>
          <w:sz w:val="18"/>
          <w:szCs w:val="18"/>
          <w:u w:val="single" w:color="auto"/>
          <w:color w:val="0000FF"/>
        </w:rPr>
      </w:pPr>
    </w:p>
    <w:p>
      <w:pPr>
        <w:ind w:right="20"/>
        <w:spacing w:after="0" w:line="224"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Previously filed as Exhibit 4.1 to Lamar Advertising’s Current</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Report on Form 8-K (File No. 1-36756) filed on June 21, 2021 and</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Previously filed as Exhibit 10(a)(1) to the Company’s Annual</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Report on Form 10-K for the year ended December 31, 2019 (File</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No. 1-36756) filed on February 20, 2020 and incorporated herein</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Previously filed as Exhibit 10(a)(2) to the Company’s Annual</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Report on Form 10-K for the year ended December 31, 2019 (File</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No. 1-36756) filed on February 20, 2020 and incorporated herein</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60"/>
        <w:spacing w:after="0" w:line="219"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Previously filed as Exhibit 10.16 of the Company’s Annual Report</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on Form 10-K for the year ended December 31, 2005 (File No. 0-</w:t>
        </w:r>
      </w:hyperlink>
      <w:hyperlink r:id="rId212">
        <w:r>
          <w:rPr>
            <w:rFonts w:ascii="Arial" w:cs="Arial" w:eastAsia="Arial" w:hAnsi="Arial"/>
            <w:sz w:val="18"/>
            <w:szCs w:val="18"/>
            <w:u w:val="single" w:color="auto"/>
            <w:color w:val="0000FF"/>
          </w:rPr>
          <w:t>30242) filed on March 15, 2006 and incorporated herein by</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on Form 8-K (File No. 0-30242) filed on May 30, 2007 and</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spacing w:after="0" w:line="239" w:lineRule="auto"/>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Previously filed as Exhibit 10.1 to the Company’s Quarterly Report</w:t>
        </w:r>
      </w:hyperlink>
      <w:r>
        <w:rPr>
          <w:rFonts w:ascii="Arial" w:cs="Arial" w:eastAsia="Arial" w:hAnsi="Arial"/>
          <w:sz w:val="16"/>
          <w:szCs w:val="16"/>
          <w:u w:val="single" w:color="auto"/>
          <w:color w:val="0000FF"/>
        </w:rPr>
        <w:t xml:space="preserve"> </w:t>
      </w:r>
      <w:hyperlink r:id="rId214">
        <w:r>
          <w:rPr>
            <w:rFonts w:ascii="Arial" w:cs="Arial" w:eastAsia="Arial" w:hAnsi="Arial"/>
            <w:sz w:val="16"/>
            <w:szCs w:val="16"/>
            <w:u w:val="single" w:color="auto"/>
            <w:color w:val="0000FF"/>
          </w:rPr>
          <w:t>on Form 10-Q for the period ended September 30, 2017 (File No.</w:t>
        </w:r>
      </w:hyperlink>
    </w:p>
    <w:p>
      <w:pPr>
        <w:spacing w:after="0" w:line="1" w:lineRule="exact"/>
        <w:rPr>
          <w:sz w:val="20"/>
          <w:szCs w:val="20"/>
          <w:color w:val="auto"/>
        </w:rPr>
      </w:pPr>
    </w:p>
    <w:p>
      <w:pPr>
        <w:ind w:right="220"/>
        <w:spacing w:after="0" w:line="226"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1-36756) filed on November 6, 2017 and incorporated herein by</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reference.</w:t>
        </w:r>
      </w:hyperlink>
    </w:p>
    <w:p>
      <w:pPr>
        <w:spacing w:after="0" w:line="53" w:lineRule="exact"/>
        <w:rPr>
          <w:sz w:val="20"/>
          <w:szCs w:val="20"/>
          <w:color w:val="auto"/>
        </w:rPr>
      </w:pPr>
    </w:p>
    <w:p>
      <w:pPr>
        <w:ind w:right="120"/>
        <w:spacing w:after="0" w:line="224"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Previously filed as Exhibit 10.2 to Lamar Advertising’s Current</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Report on Form 8-K (File No. 1-36756) filed on June 5, 2019 and</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on Form 8-K (File No. 0-30242) filed on August 27, 2007 and</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Previously filed as Exhibit 10.2 to the Company’s Current Report</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on Form 8-K (File No. 0-30242) filed on December 14, 2005 and</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Previously filed as Exhibit 10(d)(3) to the Company’s Annual</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by reference.</w:t>
        </w:r>
      </w:hyperlink>
    </w:p>
    <w:p>
      <w:pPr>
        <w:spacing w:after="0" w:line="55" w:lineRule="exact"/>
        <w:rPr>
          <w:rFonts w:ascii="Arial" w:cs="Arial" w:eastAsia="Arial" w:hAnsi="Arial"/>
          <w:sz w:val="18"/>
          <w:szCs w:val="18"/>
          <w:u w:val="single" w:color="auto"/>
          <w:color w:val="0000FF"/>
        </w:rPr>
      </w:pPr>
    </w:p>
    <w:p>
      <w:pPr>
        <w:ind w:right="240"/>
        <w:spacing w:after="0" w:line="224"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Previously filed on the Company’s Current Report on Form 8-K</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(File No. 1-36756) filed on March 29, 2016 and incorporated</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herein by reference.</w:t>
        </w:r>
      </w:hyperlink>
    </w:p>
    <w:p>
      <w:pPr>
        <w:spacing w:after="0" w:line="55" w:lineRule="exact"/>
        <w:rPr>
          <w:rFonts w:ascii="Arial" w:cs="Arial" w:eastAsia="Arial" w:hAnsi="Arial"/>
          <w:sz w:val="18"/>
          <w:szCs w:val="18"/>
          <w:u w:val="single" w:color="auto"/>
          <w:color w:val="0000FF"/>
        </w:rPr>
      </w:pPr>
    </w:p>
    <w:p>
      <w:pPr>
        <w:ind w:right="100"/>
        <w:spacing w:after="0" w:line="224"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Previously filed on the Company’s Current Report on Form 8-K</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(File No. 1-36756) filed on May 31, 2016 and incorporated herein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by reference.</w:t>
        </w:r>
      </w:hyperlink>
    </w:p>
    <w:p>
      <w:pPr>
        <w:sectPr>
          <w:pgSz w:w="11900" w:h="16838" w:orient="portrait"/>
          <w:cols w:equalWidth="0" w:num="2">
            <w:col w:w="6200" w:space="140"/>
            <w:col w:w="4840"/>
          </w:cols>
          <w:pgMar w:left="320" w:top="125" w:right="399" w:bottom="1440" w:gutter="0" w:footer="0" w:header="0"/>
          <w:type w:val="continuous"/>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10(e)(1)</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Receivables Financing Agreement, dated December 18, 2018,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and among Lamar Media, as initial Servicer, Lamar TRS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Receivables, LLC and Lamar QRS</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10(e)(2)</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December 18, 2018,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among certain subsidiaries of Lamar Media, Lamar Media,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initial Servicer, and Lamar QRS 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10(e)(3)</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among certain subsidiaries of Lamar Media, Lamar Media,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initial Servicer, and Lamar TRS 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10(e)(4)</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Performance Guaranty of Lamar Media dated December 18, 2018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 favor of PNC Bank, National Association.</w:t>
            </w:r>
          </w:p>
        </w:tc>
        <w:tc>
          <w:tcPr>
            <w:tcW w:w="0" w:type="dxa"/>
            <w:vAlign w:val="bottom"/>
          </w:tcPr>
          <w:p>
            <w:pPr>
              <w:spacing w:after="0"/>
              <w:rPr>
                <w:sz w:val="1"/>
                <w:szCs w:val="1"/>
                <w:color w:val="auto"/>
              </w:rPr>
            </w:pPr>
          </w:p>
        </w:tc>
      </w:tr>
      <w:tr>
        <w:trPr>
          <w:trHeight w:val="40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10(e)(5)</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First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February 6, 2020, by and among Lamar Media as initial</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Servicer, Lamar TRS Receivables, LLC and Lamar QRS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Receivables, LLC as borrowers and PNC Bank, National</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Association as Administrative Agent and Lender.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10(e)(6)</w:t>
            </w:r>
          </w:p>
        </w:tc>
        <w:tc>
          <w:tcPr>
            <w:tcW w:w="4900" w:type="dxa"/>
            <w:vAlign w:val="bottom"/>
          </w:tcPr>
          <w:p>
            <w:pPr>
              <w:ind w:left="20"/>
              <w:spacing w:after="0"/>
              <w:rPr>
                <w:sz w:val="20"/>
                <w:szCs w:val="20"/>
                <w:color w:val="auto"/>
              </w:rPr>
            </w:pPr>
            <w:r>
              <w:rPr>
                <w:rFonts w:ascii="Arial" w:cs="Arial" w:eastAsia="Arial" w:hAnsi="Arial"/>
                <w:sz w:val="18"/>
                <w:szCs w:val="18"/>
                <w:color w:val="auto"/>
                <w:w w:val="90"/>
              </w:rPr>
              <w:t>First Amendment to the Purchase and Sale Agreement, dated as of</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February 6, 2020, by and among certain subsidiaries of Lamar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Media, Lamar Media as initial Servicer, and Lamar QRS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10(e)(7)</w:t>
            </w:r>
          </w:p>
        </w:tc>
        <w:tc>
          <w:tcPr>
            <w:tcW w:w="4900" w:type="dxa"/>
            <w:vAlign w:val="bottom"/>
          </w:tcPr>
          <w:p>
            <w:pPr>
              <w:ind w:left="20"/>
              <w:spacing w:after="0"/>
              <w:rPr>
                <w:sz w:val="20"/>
                <w:szCs w:val="20"/>
                <w:color w:val="auto"/>
              </w:rPr>
            </w:pPr>
            <w:r>
              <w:rPr>
                <w:rFonts w:ascii="Arial" w:cs="Arial" w:eastAsia="Arial" w:hAnsi="Arial"/>
                <w:sz w:val="18"/>
                <w:szCs w:val="18"/>
                <w:color w:val="auto"/>
                <w:w w:val="90"/>
              </w:rPr>
              <w:t>First Amendment to the Purchase and Sale Agreement, dated as of</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February 6, 2020, by and among certain subsidiaries of Lamar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Media, Lamar Media as initial Servicer, and Lamar TRS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10(e)(8)</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Second Amendment to the Receivables Financing Agreement,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dated as of May 6, 2020, by and among Lamar Media as Servicer,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Lamar TRS Receivables, LLC and Lamar QRS Receivables, LLC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borrowers and PNC Bank, National Association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Administrative Agent and Lender.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10(e)(9)</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Second Amendment to the Purchase and Sale Agreement, dated as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of May 6, 2020, by and among certain subsidiaries of Lamar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Media. as originators, Lamar Media as Servicer, and Lamar QRS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Receivables, LLC as Buyer, and consented to by PNC Bank,</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National Association,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10(e)(10)</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Third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June 30, 2020, among Lamar Media, as Initial Servicer,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Lamar TRS Receivables, LLC and Lamar QRS Receivables, LLC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borrowers, and PNC Bank, National Association,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Administrative Agent and a Lender.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10(e)(11)</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Fourth Amendment to the Receivables Financing Agreement,</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91" w:lineRule="exact"/>
              <w:rPr>
                <w:sz w:val="20"/>
                <w:szCs w:val="20"/>
                <w:color w:val="auto"/>
              </w:rPr>
            </w:pPr>
            <w:r>
              <w:rPr>
                <w:rFonts w:ascii="Arial" w:cs="Arial" w:eastAsia="Arial" w:hAnsi="Arial"/>
                <w:sz w:val="18"/>
                <w:szCs w:val="18"/>
                <w:color w:val="auto"/>
              </w:rPr>
              <w:t>dated as of October 23, 2020, among Lamar Media, as Initial</w:t>
            </w:r>
          </w:p>
        </w:tc>
        <w:tc>
          <w:tcPr>
            <w:tcW w:w="0" w:type="dxa"/>
            <w:vAlign w:val="bottom"/>
          </w:tcPr>
          <w:p>
            <w:pPr>
              <w:spacing w:after="0"/>
              <w:rPr>
                <w:sz w:val="1"/>
                <w:szCs w:val="1"/>
                <w:color w:val="auto"/>
              </w:rPr>
            </w:pPr>
          </w:p>
        </w:tc>
      </w:tr>
    </w:tbl>
    <w:p>
      <w:pPr>
        <w:ind w:left="1320" w:right="740"/>
        <w:spacing w:after="0" w:line="248" w:lineRule="auto"/>
        <w:rPr>
          <w:sz w:val="20"/>
          <w:szCs w:val="20"/>
          <w:color w:val="auto"/>
        </w:rPr>
      </w:pPr>
      <w:r>
        <w:rPr>
          <w:rFonts w:ascii="Arial" w:cs="Arial" w:eastAsia="Arial" w:hAnsi="Arial"/>
          <w:sz w:val="16"/>
          <w:szCs w:val="16"/>
          <w:color w:val="auto"/>
        </w:rPr>
        <w:t>Servicer, Lamar TRS Receivables, LLC and Lamar QRS Receivables, LLC as borrowers, and PNC Bank, National Association, 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0" w:lineRule="exact"/>
        <w:rPr>
          <w:sz w:val="20"/>
          <w:szCs w:val="20"/>
          <w:color w:val="auto"/>
        </w:rPr>
      </w:pPr>
    </w:p>
    <w:p>
      <w:pPr>
        <w:jc w:val="both"/>
        <w:ind w:right="140"/>
        <w:spacing w:after="0" w:line="224" w:lineRule="auto"/>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on Form 8-K (File No. 1-36756) filed on December 21, 2018 and</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Previously filed as Exhibit 10.2 to the Company’s Current Report</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on Form 8-K (File No. 1-36756) filed on December 21, 2018 and</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Previously filed as Exhibit 10.3 to the Company’s Current Report</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on Form 8-K (File No. 1-36756) filed on December 21, 2018 and</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Previously filed as Exhibit 10.4 to the Company’s Current Report</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on Form 8-K (File No. 1-36756) filed on December 21, 2018 and</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Previously filed as Exhibit 10.4 to the Company’s Current Report</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on Form 8-K (File No. 1-36756) filed on February 12, 2020 and</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Previously filed as Exhibit 10.5 to the Company’s Current Report</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on Form 8-K (File No. 1-36756) filed on February 12, 2020 and</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Previously filed as Exhibit 10.6 to the Company’s Current Report</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on Form 8-K (File No. 1-36756) filed on February 12, 2020 and</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Previously filed as Exhibit 10.2 to the Company’s Quarterly Report</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on Form 10-Q for the period ended June 30, 2020 (File No. 1-</w:t>
        </w:r>
      </w:hyperlink>
      <w:hyperlink r:id="rId230">
        <w:r>
          <w:rPr>
            <w:rFonts w:ascii="Arial" w:cs="Arial" w:eastAsia="Arial" w:hAnsi="Arial"/>
            <w:sz w:val="18"/>
            <w:szCs w:val="18"/>
            <w:u w:val="single" w:color="auto"/>
            <w:color w:val="0000FF"/>
          </w:rPr>
          <w:t>36756) filed on August 6, 2020 and incorporated herein by</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Previously filed as Exhibit 10.3 to the Company’s Quarterly Report</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on Form 10-Q for the period ended June 30, 2020 (File No. 1-</w:t>
        </w:r>
      </w:hyperlink>
      <w:hyperlink r:id="rId231">
        <w:r>
          <w:rPr>
            <w:rFonts w:ascii="Arial" w:cs="Arial" w:eastAsia="Arial" w:hAnsi="Arial"/>
            <w:sz w:val="18"/>
            <w:szCs w:val="18"/>
            <w:u w:val="single" w:color="auto"/>
            <w:color w:val="0000FF"/>
          </w:rPr>
          <w:t>36756) filed on August 6, 2020 and incorporated herein by</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on Form 8-K (File No. 1-36756) filed on July 6, 2020 and</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on Form 8-K (File No. 1-36756) filed on October 26, 2020 and</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incorporated herein by reference.</w:t>
        </w:r>
      </w:hyperlink>
    </w:p>
    <w:p>
      <w:pPr>
        <w:sectPr>
          <w:pgSz w:w="11900" w:h="16838" w:orient="portrait"/>
          <w:cols w:equalWidth="0" w:num="2">
            <w:col w:w="6200" w:space="140"/>
            <w:col w:w="4840"/>
          </w:cols>
          <w:pgMar w:left="320" w:top="125" w:right="39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10(e)(12)</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3"/>
              </w:rPr>
              <w:t>Fifth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of May 24, 2021, among Lamar Media, as Initial Servicer,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Lamar TRS Receivables, LLC and Lamar QRS Receivables, LLC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as borrowers, and PNC Bank, National Association,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Administrative Agent and a Lender.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Credit Agreement dated as of April 28, 2010 by and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Media, Lamar Advertising of Puerto Rico, Inc., the Subsidiary</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Guarantors named therein, each additional Subsidiary Borrower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that may be designated as such thereunder, the Lenders named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1"/>
              </w:rPr>
              <w:t>therein, and 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w:t>
            </w:r>
          </w:p>
        </w:tc>
        <w:tc>
          <w:tcPr>
            <w:tcW w:w="4900" w:type="dxa"/>
            <w:vAlign w:val="bottom"/>
          </w:tcPr>
          <w:p>
            <w:pPr>
              <w:ind w:left="20"/>
              <w:spacing w:after="0"/>
              <w:rPr>
                <w:sz w:val="20"/>
                <w:szCs w:val="20"/>
                <w:color w:val="auto"/>
              </w:rPr>
            </w:pPr>
            <w:r>
              <w:rPr>
                <w:rFonts w:ascii="Arial" w:cs="Arial" w:eastAsia="Arial" w:hAnsi="Arial"/>
                <w:sz w:val="18"/>
                <w:szCs w:val="18"/>
                <w:color w:val="auto"/>
              </w:rPr>
              <w:t>Amendment No. 1, dated as of June 11, 2010,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Agreement dated as of April 28, 2010 by and among Lamar Media,</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Lamar Advertising of Puerto Rico, Inc., the Subsidiary Guarantors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designated as such thereunder, the Lenders named therein,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10(f)(3)</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Amendment No. 2, dated as of November 18, 2010,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Agreement dated as of April 28, 2010 by and among Lamar Media,</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Lamar Advertising of Puerto Rico, Inc., the Subsidiary Guarantors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designated as such thereunder, the Lenders named therein,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10(f)(4)</w:t>
            </w:r>
          </w:p>
        </w:tc>
        <w:tc>
          <w:tcPr>
            <w:tcW w:w="4900" w:type="dxa"/>
            <w:vAlign w:val="bottom"/>
          </w:tcPr>
          <w:p>
            <w:pPr>
              <w:ind w:left="20"/>
              <w:spacing w:after="0"/>
              <w:rPr>
                <w:sz w:val="20"/>
                <w:szCs w:val="20"/>
                <w:color w:val="auto"/>
              </w:rPr>
            </w:pPr>
            <w:r>
              <w:rPr>
                <w:rFonts w:ascii="Arial" w:cs="Arial" w:eastAsia="Arial" w:hAnsi="Arial"/>
                <w:sz w:val="18"/>
                <w:szCs w:val="18"/>
                <w:color w:val="auto"/>
                <w:w w:val="98"/>
              </w:rPr>
              <w:t>Restatement Agreement, dated as of February 9,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Credit Agreement dated as of April 28, 2010 by and among Lamar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Media, Lamar Advertising of Puerto Rico, Inc., the Subsidiary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Guarantors named therein, each additional Subsidiary Borrower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that may be designated as such thereunder, the Lenders named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therein, and JPMorgan Chase Bank, N.A., as administrative agent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(including the Amended and Restated Credit Agreement).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10(f)(5)</w:t>
            </w:r>
          </w:p>
        </w:tc>
        <w:tc>
          <w:tcPr>
            <w:tcW w:w="4900" w:type="dxa"/>
            <w:vAlign w:val="bottom"/>
          </w:tcPr>
          <w:p>
            <w:pPr>
              <w:ind w:left="20"/>
              <w:spacing w:after="0"/>
              <w:rPr>
                <w:sz w:val="20"/>
                <w:szCs w:val="20"/>
                <w:color w:val="auto"/>
              </w:rPr>
            </w:pPr>
            <w:r>
              <w:rPr>
                <w:rFonts w:ascii="Arial" w:cs="Arial" w:eastAsia="Arial" w:hAnsi="Arial"/>
                <w:sz w:val="18"/>
                <w:szCs w:val="18"/>
                <w:color w:val="auto"/>
                <w:w w:val="92"/>
              </w:rPr>
              <w:t>Amendment No. 1, dated as of October 24, 2013, to the Amended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Restated Credit Agreement dated as of February 9, 2012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among Lamar Media, the subsidiary borrower party thereto,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guarantors party thereto, the lenders party thereto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10(f)(6)</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Second Restatement Agreement, dated as of February 3, 2014, by</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and among Lamar Media, the Company, the Subsidiary Guarantors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named therein, the Lenders named therein, and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Bank, N.A., as administrative agent (including the Second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Amended and Restated Credit Agreement as Exhibit A 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10(f)(7)</w:t>
            </w:r>
          </w:p>
        </w:tc>
        <w:tc>
          <w:tcPr>
            <w:tcW w:w="4900" w:type="dxa"/>
            <w:vAlign w:val="bottom"/>
          </w:tcPr>
          <w:p>
            <w:pPr>
              <w:ind w:left="20"/>
              <w:spacing w:after="0"/>
              <w:rPr>
                <w:sz w:val="20"/>
                <w:szCs w:val="20"/>
                <w:color w:val="auto"/>
              </w:rPr>
            </w:pPr>
            <w:r>
              <w:rPr>
                <w:rFonts w:ascii="Arial" w:cs="Arial" w:eastAsia="Arial" w:hAnsi="Arial"/>
                <w:sz w:val="18"/>
                <w:szCs w:val="18"/>
                <w:color w:val="auto"/>
              </w:rPr>
              <w:t>Amendment No. 1, dated as of April 18, 2014, to the Second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Amended and Restated Credit Agreement, dated as of February 3,</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2014, by and among Lamar Media, the Company, the Subsidiary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on Form 8-K (File No. 1-36756) filed on May 28, 2021 and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incorporated herein by reference.</w:t>
        </w:r>
      </w:hyperlink>
    </w:p>
    <w:p>
      <w:pPr>
        <w:spacing w:after="0" w:line="377"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on Form 8-K (File No. 0-30242) filed on May 3, 2010, and</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Previously filed as Exhibit 10(p)(2) to the Company’s Annual</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Report on Form 10-K for the year ended December 31, 2010 (File</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No. 0-30242) filed on February 25, 2011 and incorporated herein</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Previously filed as Exhibit 10(p)(3) to the Company’s Annual</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Report on Form 10-K for the year ended December 31, 2010 (File</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No. 0-30242) filed on February 25, 2011 and incorporated herein</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Previously filed as Exhibit 10.2 to the Company’s Current Report</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on Form 8-K (File No. 0-30242) filed on February 14, 2012 and</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7"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Previously filed as Exhibit 10(f)(11) to the Company’s Annual</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on Form 8-K (File No. 0-30242) filed on February 7, 2014 and</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on Form 8-K (File No. 0-30242) filed on April 22, 2014 and</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incorporated herein by reference.</w:t>
        </w:r>
      </w:hyperlink>
    </w:p>
    <w:p>
      <w:pPr>
        <w:sectPr>
          <w:pgSz w:w="11900" w:h="16838" w:orient="portrait"/>
          <w:cols w:equalWidth="0" w:num="2">
            <w:col w:w="6200" w:space="140"/>
            <w:col w:w="4740"/>
          </w:cols>
          <w:pgMar w:left="320" w:top="125" w:right="499" w:bottom="1440" w:gutter="0" w:footer="0" w:header="0"/>
          <w:type w:val="continuous"/>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10(f)(8)</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Incremental Amendment No. 1 dated January 7, 2016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Second Amended and Restated Credit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February 3, 2014, as amended by and among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Company, the Subsidiary Guarantors named therein,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named therein, and JPMorgan Chase Bank, N.A., as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10(f)(9)</w:t>
            </w:r>
          </w:p>
        </w:tc>
        <w:tc>
          <w:tcPr>
            <w:tcW w:w="4900" w:type="dxa"/>
            <w:vAlign w:val="bottom"/>
          </w:tcPr>
          <w:p>
            <w:pPr>
              <w:ind w:left="20"/>
              <w:spacing w:after="0"/>
              <w:rPr>
                <w:sz w:val="20"/>
                <w:szCs w:val="20"/>
                <w:color w:val="auto"/>
              </w:rPr>
            </w:pPr>
            <w:r>
              <w:rPr>
                <w:rFonts w:ascii="Arial" w:cs="Arial" w:eastAsia="Arial" w:hAnsi="Arial"/>
                <w:sz w:val="18"/>
                <w:szCs w:val="18"/>
                <w:color w:val="auto"/>
              </w:rPr>
              <w:t>Amendment No. 2, dated as of March 4, 2016, to the Second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Amended and Restated Credit Agreement, dated as of February 3,</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2014, as amended by and among Lamar Media, the Company,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certain of Lamar Media’s subsidiaries as Guarantors, JPMorgan</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Chase Bank, N.A. as Administrative Agent and the Lenders party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10(f)(10)</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Third Restatement Agreement, dated as of May 15, 2017,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among Lamar Media, the Company, the Subsidiary Guarantors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named therein, the Lenders named therein, and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Bank, N.A., as Administrative Agent (including the Third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Amended and Restated Credit Agreement as Exhibit A 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10(f)(11)</w:t>
            </w:r>
          </w:p>
        </w:tc>
        <w:tc>
          <w:tcPr>
            <w:tcW w:w="4900" w:type="dxa"/>
            <w:vAlign w:val="bottom"/>
          </w:tcPr>
          <w:p>
            <w:pPr>
              <w:ind w:left="20"/>
              <w:spacing w:after="0"/>
              <w:rPr>
                <w:sz w:val="20"/>
                <w:szCs w:val="20"/>
                <w:color w:val="auto"/>
              </w:rPr>
            </w:pPr>
            <w:r>
              <w:rPr>
                <w:rFonts w:ascii="Arial" w:cs="Arial" w:eastAsia="Arial" w:hAnsi="Arial"/>
                <w:sz w:val="18"/>
                <w:szCs w:val="18"/>
                <w:color w:val="auto"/>
              </w:rPr>
              <w:t>Amendment No. 1 dated as of March 16,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Restatement Agreement, by and among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Company, the subsidiary guarantors named therein,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named therein, and JPMorgan Chase Bank, N.A., as administrative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Agreement, as amended for Amendment No. 1, as Exhibit 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10(f)(12)</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Amendment No. 2 dated as of December 6,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Restatement Agreement, by and among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Company, the subsidiary guarantors named therein,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named therein, and JPMorgan Chase Bank, N.A., as administrative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Agreement, as amended for Amendment No. 2, as Exhibit 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10(f)(13)</w:t>
            </w:r>
          </w:p>
        </w:tc>
        <w:tc>
          <w:tcPr>
            <w:tcW w:w="4900" w:type="dxa"/>
            <w:vAlign w:val="bottom"/>
          </w:tcPr>
          <w:p>
            <w:pPr>
              <w:ind w:left="20"/>
              <w:spacing w:after="0"/>
              <w:rPr>
                <w:sz w:val="20"/>
                <w:szCs w:val="20"/>
                <w:color w:val="auto"/>
              </w:rPr>
            </w:pPr>
            <w:r>
              <w:rPr>
                <w:rFonts w:ascii="Arial" w:cs="Arial" w:eastAsia="Arial" w:hAnsi="Arial"/>
                <w:sz w:val="18"/>
                <w:szCs w:val="18"/>
                <w:color w:val="auto"/>
                <w:w w:val="95"/>
              </w:rPr>
              <w:t>Incremental Amendment No. 1, dated January 17, 2019,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1"/>
              </w:rPr>
              <w:t>among Lamar Media, Lamar Advertising, the subsidiary guarantors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named therein, the Lenders named therein, and JPMorgan Chase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10(f)(14)</w:t>
            </w:r>
          </w:p>
        </w:tc>
        <w:tc>
          <w:tcPr>
            <w:tcW w:w="4900" w:type="dxa"/>
            <w:vAlign w:val="bottom"/>
          </w:tcPr>
          <w:p>
            <w:pPr>
              <w:ind w:left="20"/>
              <w:spacing w:after="0"/>
              <w:rPr>
                <w:sz w:val="20"/>
                <w:szCs w:val="20"/>
                <w:color w:val="auto"/>
              </w:rPr>
            </w:pPr>
            <w:r>
              <w:rPr>
                <w:rFonts w:ascii="Arial" w:cs="Arial" w:eastAsia="Arial" w:hAnsi="Arial"/>
                <w:sz w:val="18"/>
                <w:szCs w:val="18"/>
                <w:color w:val="auto"/>
              </w:rPr>
              <w:t>Joinder Agreement, dated as of July 19,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Agreement dated as of April 28, 2010 among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borrower party thereto, the subsidiary guarantors party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thereto, the lenders party thereto and JPMorgan Chase Bank, N.A.,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 administrative agent, by Arizona Logos,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10(f)(15)</w:t>
            </w:r>
          </w:p>
        </w:tc>
        <w:tc>
          <w:tcPr>
            <w:tcW w:w="4900" w:type="dxa"/>
            <w:vAlign w:val="bottom"/>
          </w:tcPr>
          <w:p>
            <w:pPr>
              <w:ind w:left="20"/>
              <w:spacing w:after="0"/>
              <w:rPr>
                <w:sz w:val="20"/>
                <w:szCs w:val="20"/>
                <w:color w:val="auto"/>
              </w:rPr>
            </w:pPr>
            <w:r>
              <w:rPr>
                <w:rFonts w:ascii="Arial" w:cs="Arial" w:eastAsia="Arial" w:hAnsi="Arial"/>
                <w:sz w:val="18"/>
                <w:szCs w:val="18"/>
                <w:color w:val="auto"/>
              </w:rPr>
              <w:t>Joinder Agreement, dated as of April 21,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Agreement dated as of April 28, 2010 among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borrower party thereto, the subsidiary guarantors party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thereto, the lenders party thereto and JPMorgan Chase Bank, N.A.,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 administrative agent, by Wisconsin Logos,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10(f)(16)</w:t>
            </w:r>
          </w:p>
        </w:tc>
        <w:tc>
          <w:tcPr>
            <w:tcW w:w="4900" w:type="dxa"/>
            <w:vAlign w:val="bottom"/>
          </w:tcPr>
          <w:p>
            <w:pPr>
              <w:ind w:left="20"/>
              <w:spacing w:after="0"/>
              <w:rPr>
                <w:sz w:val="20"/>
                <w:szCs w:val="20"/>
                <w:color w:val="auto"/>
              </w:rPr>
            </w:pPr>
            <w:r>
              <w:rPr>
                <w:rFonts w:ascii="Arial" w:cs="Arial" w:eastAsia="Arial" w:hAnsi="Arial"/>
                <w:sz w:val="18"/>
                <w:szCs w:val="18"/>
                <w:color w:val="auto"/>
                <w:w w:val="98"/>
              </w:rPr>
              <w:t>Joinder Agreement, dated as of August 26,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Agreement dated as of April 28, 2010 among Lamar Media,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borrower party thereto, the subsidiary guarantors party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0"/>
              </w:rPr>
              <w:t>thereto, the lenders party thereto and JPMorgan Chase Bank, N.A.,</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 administrative agent, by Montana Logos, LLC.</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ind w:right="40"/>
        <w:spacing w:after="0" w:line="224"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on Form 8-K (File No. 1-36756) filed on January 13, 2016 and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381"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on Form 8-K (File No. 1-36756) filed on March 8, 2016 and</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381"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on Form 8-K (File No. 1-36756) filed on May 19, 2017 and</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on Form 8-K (File No. 1-36756) filed on March 21, 2018 and</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7"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on Form 8-K (File No. 1-36756) filed on December 12, 2018 and</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7"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Previously filed as Exhibit 10.1 to Lamar Advertising’s Current</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Report on Form 8-K (File No. 1-36756) filed on January 22, 2019</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and incorporated herein by reference.</w:t>
        </w:r>
      </w:hyperlink>
    </w:p>
    <w:p>
      <w:pPr>
        <w:spacing w:after="0" w:line="230"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Previously filed as Exhibit 10(p)(4) to the Company’s Annual</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Report on Form 10-K for the year ended December 31, 2011 (File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No. 0-30242) filed on February 27, 2012 and incorporated herein</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Previously filed as Exhibit 10(p)(5) to the Company’s Annual</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Report on Form 10-K for the year ended December 31, 2011 (File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No. 0-30242) filed on February 27, 2012 and incorporated herein</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by reference.</w:t>
        </w:r>
      </w:hyperlink>
    </w:p>
    <w:p>
      <w:pPr>
        <w:spacing w:after="0" w:line="230"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Previously filed as Exhibit 10(p)(6) to the Company’s Annual</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Report on Form 10-K for the year ended December 31, 2011 (File</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No. 0-30242) filed on February 27, 2012 and incorporated herein</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by reference.</w:t>
        </w:r>
      </w:hyperlink>
    </w:p>
    <w:p>
      <w:pPr>
        <w:sectPr>
          <w:pgSz w:w="11900" w:h="16838" w:orient="portrait"/>
          <w:cols w:equalWidth="0" w:num="2">
            <w:col w:w="6200" w:space="140"/>
            <w:col w:w="4740"/>
          </w:cols>
          <w:pgMar w:left="320" w:top="125" w:right="499" w:bottom="1440" w:gutter="0" w:footer="0" w:header="0"/>
          <w:type w:val="continuous"/>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10(f)(17)</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Amended and Restated Credit Agreement dated as of February 9,</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2012 among Lamar Media, the subsidiary borrower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the subsidiary guarantors party thereto, the lenders party thereto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JPMorgan Chase Bank, N.A., as administrative agent, by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NextMedia Outdoor, Inc.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10(f)(18)</w:t>
            </w:r>
          </w:p>
        </w:tc>
        <w:tc>
          <w:tcPr>
            <w:tcW w:w="4900" w:type="dxa"/>
            <w:vAlign w:val="bottom"/>
          </w:tcPr>
          <w:p>
            <w:pPr>
              <w:ind w:left="20"/>
              <w:spacing w:after="0"/>
              <w:rPr>
                <w:sz w:val="20"/>
                <w:szCs w:val="20"/>
                <w:color w:val="auto"/>
              </w:rPr>
            </w:pPr>
            <w:r>
              <w:rPr>
                <w:rFonts w:ascii="Arial" w:cs="Arial" w:eastAsia="Arial" w:hAnsi="Arial"/>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Amended and Restated Credit Agreement dated as of February 9,</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2012 among Lamar Media, the subsidiary borrower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the subsidiary guarantors party thereto, the lenders party thereto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JPMorgan Chase Bank, N.A., as administrative agent, by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NextMedia Outdoor, Inc.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10(f)(19)</w:t>
            </w:r>
          </w:p>
        </w:tc>
        <w:tc>
          <w:tcPr>
            <w:tcW w:w="4900" w:type="dxa"/>
            <w:vAlign w:val="bottom"/>
          </w:tcPr>
          <w:p>
            <w:pPr>
              <w:ind w:left="20"/>
              <w:spacing w:after="0"/>
              <w:rPr>
                <w:sz w:val="20"/>
                <w:szCs w:val="20"/>
                <w:color w:val="auto"/>
              </w:rPr>
            </w:pPr>
            <w:r>
              <w:rPr>
                <w:rFonts w:ascii="Arial" w:cs="Arial" w:eastAsia="Arial" w:hAnsi="Arial"/>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2"/>
              </w:rPr>
              <w:t>Amended and Restated Credit Agreement dated as of February 9,</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2012 among Lamar Media, the subsidiary borrower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the subsidiary guarantors party thereto, the lenders party thereto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JPMorgan Chase Bank, N.A., as administrative agent, by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NMG Outdoor I Corp.</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10(f)(20)</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Restated Credit Agreement dated as of February 9, 2012</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among Lamar Media, the subsidiary borrower party thereto,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guarantors party thereto, the lenders party thereto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JPMorgan Chase Bank, N.A., as administrative agent, by Lamar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TRS Holdings,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10(f)(21)</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Restated Credit Agreement dated as of February 9, 2012</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among Lamar Media, the subsidiary borrower party thereto,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JPMorgan Chase Bank, N.A., as administrative agent, by Lamar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Service Company,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10(f)(22)</w:t>
            </w:r>
          </w:p>
        </w:tc>
        <w:tc>
          <w:tcPr>
            <w:tcW w:w="4900" w:type="dxa"/>
            <w:vAlign w:val="bottom"/>
          </w:tcPr>
          <w:p>
            <w:pPr>
              <w:ind w:left="20"/>
              <w:spacing w:after="0"/>
              <w:rPr>
                <w:sz w:val="20"/>
                <w:szCs w:val="20"/>
                <w:color w:val="auto"/>
              </w:rPr>
            </w:pPr>
            <w:r>
              <w:rPr>
                <w:rFonts w:ascii="Arial" w:cs="Arial" w:eastAsia="Arial" w:hAnsi="Arial"/>
                <w:sz w:val="18"/>
                <w:szCs w:val="18"/>
                <w:color w:val="auto"/>
                <w:w w:val="89"/>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and Restated Credit Agreement dated as of February 9, 2012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among Lamar Media, the subsidiary borrower party thereto,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5"/>
              </w:rPr>
              <w:t>JPMorgan Chase Bank, N.A., as administrative agent, by Lamar</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Investments,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spacing w:after="0" w:line="219"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Previously filed as Exhibit 10(f)(9) to the Company’s Annual</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Previously filed as Exhibit 10(f)(9) to the Company’s Annual</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Previously filed as Exhibit 10(f)(10) to the Company’s Annual</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Report on Form 10-K for the year ended December 31, 2012 (File</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No. 0-30242) filed on February 28, 2013 and incorporated herein</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Previously filed as Exhibit 10(f)(12) to the Company’s Annual</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Previously filed as Exhibit 10(f)(13) to the Company’s Annual</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Previously filed as Exhibit 10(f)(14) to the Company’s Annual</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by reference.</w:t>
        </w:r>
      </w:hyperlink>
    </w:p>
    <w:p>
      <w:pPr>
        <w:spacing w:after="0" w:line="553" w:lineRule="exact"/>
        <w:rPr>
          <w:rFonts w:ascii="Arial" w:cs="Arial" w:eastAsia="Arial" w:hAnsi="Arial"/>
          <w:sz w:val="18"/>
          <w:szCs w:val="18"/>
          <w:u w:val="single" w:color="auto"/>
          <w:color w:val="0000FF"/>
        </w:rPr>
      </w:pPr>
    </w:p>
    <w:p>
      <w:pPr>
        <w:sectPr>
          <w:pgSz w:w="11900" w:h="16838" w:orient="portrait"/>
          <w:cols w:equalWidth="0" w:num="2">
            <w:col w:w="6200" w:space="140"/>
            <w:col w:w="4740"/>
          </w:cols>
          <w:pgMar w:left="320" w:top="125" w:right="499" w:bottom="1440" w:gutter="0" w:footer="0" w:header="0"/>
          <w:type w:val="continuous"/>
        </w:sectPr>
      </w:pPr>
    </w:p>
    <w:p>
      <w:pPr>
        <w:spacing w:after="0" w:line="38"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10(f)(23)</w:t>
            </w:r>
          </w:p>
        </w:tc>
        <w:tc>
          <w:tcPr>
            <w:tcW w:w="5180" w:type="dxa"/>
            <w:vAlign w:val="bottom"/>
          </w:tcPr>
          <w:p>
            <w:pPr>
              <w:ind w:left="320"/>
              <w:spacing w:after="0"/>
              <w:rPr>
                <w:sz w:val="20"/>
                <w:szCs w:val="20"/>
                <w:color w:val="auto"/>
              </w:rPr>
            </w:pPr>
            <w:r>
              <w:rPr>
                <w:rFonts w:ascii="Arial" w:cs="Arial" w:eastAsia="Arial" w:hAnsi="Arial"/>
                <w:sz w:val="18"/>
                <w:szCs w:val="18"/>
                <w:color w:val="auto"/>
                <w:w w:val="89"/>
              </w:rPr>
              <w:t>Joinder Agreement, dated as of December 5, 2013, to the Amended</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8"/>
              </w:rPr>
              <w:t>and Restated Credit Agreement dated as of February 9, 2012</w:t>
            </w:r>
          </w:p>
        </w:tc>
      </w:tr>
      <w:tr>
        <w:trPr>
          <w:trHeight w:val="176"/>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6"/>
              </w:rPr>
              <w:t>among Lamar Media, the subsidiary borrower party thereto, the</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3"/>
              </w:rPr>
              <w:t>subsidiary guarantors party thereto, the lenders party thereto and</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4"/>
              </w:rPr>
              <w:t>JPMorgan Chase Bank, N.A., as administrative agent, by Lamar</w:t>
            </w:r>
          </w:p>
        </w:tc>
      </w:tr>
      <w:tr>
        <w:trPr>
          <w:trHeight w:val="230"/>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Transit, LLC.</w:t>
            </w: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10(f)(24)</w:t>
            </w:r>
          </w:p>
        </w:tc>
        <w:tc>
          <w:tcPr>
            <w:tcW w:w="5180" w:type="dxa"/>
            <w:vAlign w:val="bottom"/>
          </w:tcPr>
          <w:p>
            <w:pPr>
              <w:ind w:left="320"/>
              <w:spacing w:after="0"/>
              <w:rPr>
                <w:sz w:val="20"/>
                <w:szCs w:val="20"/>
                <w:color w:val="auto"/>
              </w:rPr>
            </w:pPr>
            <w:r>
              <w:rPr>
                <w:rFonts w:ascii="Arial" w:cs="Arial" w:eastAsia="Arial" w:hAnsi="Arial"/>
                <w:sz w:val="18"/>
                <w:szCs w:val="18"/>
                <w:color w:val="auto"/>
                <w:w w:val="99"/>
              </w:rPr>
              <w:t>Joinder Agreement, dated as of July 28, 2015, to the Second</w:t>
            </w:r>
          </w:p>
        </w:tc>
      </w:tr>
      <w:tr>
        <w:trPr>
          <w:trHeight w:val="176"/>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1"/>
              </w:rPr>
              <w:t>Amended and Restated Credit Agreement dated as of February 3,</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2"/>
              </w:rPr>
              <w:t>2014, as amended, among Lamar Media, the subsidiary borrower</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3"/>
              </w:rPr>
              <w:t>party thereto, the subsidiary guarantors party thereto, the lenders</w:t>
            </w:r>
          </w:p>
        </w:tc>
      </w:tr>
      <w:tr>
        <w:trPr>
          <w:trHeight w:val="175"/>
        </w:trPr>
        <w:tc>
          <w:tcPr>
            <w:tcW w:w="980" w:type="dxa"/>
            <w:vAlign w:val="bottom"/>
          </w:tcPr>
          <w:p>
            <w:pPr>
              <w:spacing w:after="0"/>
              <w:rPr>
                <w:sz w:val="15"/>
                <w:szCs w:val="15"/>
                <w:color w:val="auto"/>
              </w:rPr>
            </w:pPr>
          </w:p>
        </w:tc>
        <w:tc>
          <w:tcPr>
            <w:tcW w:w="5180" w:type="dxa"/>
            <w:vAlign w:val="bottom"/>
          </w:tcPr>
          <w:p>
            <w:pPr>
              <w:ind w:left="320"/>
              <w:spacing w:after="0" w:line="176" w:lineRule="exact"/>
              <w:rPr>
                <w:sz w:val="20"/>
                <w:szCs w:val="20"/>
                <w:color w:val="auto"/>
              </w:rPr>
            </w:pPr>
            <w:r>
              <w:rPr>
                <w:rFonts w:ascii="Arial" w:cs="Arial" w:eastAsia="Arial" w:hAnsi="Arial"/>
                <w:sz w:val="18"/>
                <w:szCs w:val="18"/>
                <w:color w:val="auto"/>
                <w:w w:val="93"/>
              </w:rPr>
              <w:t>party thereto and JPMorgan Chase Bank, N.A., as administrative</w:t>
            </w:r>
          </w:p>
        </w:tc>
      </w:tr>
      <w:tr>
        <w:trPr>
          <w:trHeight w:val="230"/>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agent, by Lamar Alliance Airport Advertising Company.</w:t>
            </w:r>
          </w:p>
        </w:tc>
      </w:tr>
      <w:tr>
        <w:trPr>
          <w:trHeight w:val="904"/>
        </w:trPr>
        <w:tc>
          <w:tcPr>
            <w:tcW w:w="980" w:type="dxa"/>
            <w:vAlign w:val="bottom"/>
          </w:tcPr>
          <w:p>
            <w:pPr>
              <w:spacing w:after="0"/>
              <w:rPr>
                <w:sz w:val="24"/>
                <w:szCs w:val="24"/>
                <w:color w:val="auto"/>
              </w:rPr>
            </w:pPr>
          </w:p>
        </w:tc>
        <w:tc>
          <w:tcPr>
            <w:tcW w:w="5180" w:type="dxa"/>
            <w:vAlign w:val="bottom"/>
          </w:tcPr>
          <w:p>
            <w:pPr>
              <w:ind w:left="4500"/>
              <w:spacing w:after="0"/>
              <w:rPr>
                <w:sz w:val="20"/>
                <w:szCs w:val="20"/>
                <w:color w:val="auto"/>
              </w:rPr>
            </w:pPr>
            <w:r>
              <w:rPr>
                <w:rFonts w:ascii="Arial" w:cs="Arial" w:eastAsia="Arial" w:hAnsi="Arial"/>
                <w:sz w:val="18"/>
                <w:szCs w:val="18"/>
                <w:color w:val="auto"/>
              </w:rPr>
              <w:t>115</w:t>
            </w: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8"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Previously filed as Exhibit 10(f)(15) to the Company’s Annual</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Report on Form 10-K for the year ended December 31, 2013 (File</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No. 0-30242) filed on February 27, 2014 and incorporated herein</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by reference.</w:t>
        </w:r>
      </w:hyperlink>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Previously filed as Exhibit 10(f)(20) to the Company’s Annual</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Report on Form 10-K for the year ended December 31, 2016 (File</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No. 1-36756) filed on February 24, 2017 and incorporated herein</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by reference.</w:t>
        </w:r>
      </w:hyperlink>
    </w:p>
    <w:p>
      <w:pPr>
        <w:sectPr>
          <w:pgSz w:w="11900" w:h="16838" w:orient="portrait"/>
          <w:cols w:equalWidth="0" w:num="2">
            <w:col w:w="6180" w:space="160"/>
            <w:col w:w="4740"/>
          </w:cols>
          <w:pgMar w:left="320" w:top="125" w:right="499" w:bottom="1440" w:gutter="0" w:footer="0" w:header="0"/>
          <w:type w:val="continuous"/>
        </w:sectPr>
      </w:pPr>
    </w:p>
    <w:bookmarkStart w:id="116" w:name="page117"/>
    <w:bookmarkEnd w:id="1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10(f)(25)</w:t>
            </w:r>
          </w:p>
        </w:tc>
        <w:tc>
          <w:tcPr>
            <w:tcW w:w="100" w:type="dxa"/>
            <w:vAlign w:val="bottom"/>
          </w:tcPr>
          <w:p>
            <w:pPr>
              <w:spacing w:after="0"/>
              <w:rPr>
                <w:sz w:val="14"/>
                <w:szCs w:val="14"/>
                <w:color w:val="auto"/>
              </w:rPr>
            </w:pPr>
          </w:p>
        </w:tc>
        <w:tc>
          <w:tcPr>
            <w:tcW w:w="490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w w:val="97"/>
              </w:rPr>
              <w:t>Joinder Agreement, dated as of January 30,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Amended and Restated Credit Agreement dated as of May 15,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2017, as amended, among Lamar Media, the subsidiary borrower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party thereto and JPMorgan Chase Bank, N.A., as administrative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agent, by Interstate Logos TRS,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10(f)(26)</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Amended and Restated Credit Agreement dated as of May 15,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2017, as amended, among Lamar Media, the subsidiary borrower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party thereto and JPMorgan Chase Bank, N.A., as administrative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6"/>
              </w:rPr>
              <w:t>agent, by FMG Outdoor Holdings, LLC, Lamar-Fairway Blocker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1, Inc., Lamar-Fairway Blocker 2, Inc., Magic Media, Inc.,</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Fairway Media Group, LLC, Fairway Outdoor Advertising, LLC,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Fairway Outdoor Funding Holdings, LLC, Fairway Outdoor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9"/>
              </w:rPr>
              <w:t>Funding, LLC, MCC Outdoor, LLC, Magic Media Real Estate,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LLC, FMO Real Estate, LLC, Douglas Outdoor Advertising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GA., Inc., Olympus Media/Indiana, LLC and Fairway CCO</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Indiana,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10(f)(27)</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Amended and Restated Credit Agreement dated as of May 15,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2017, as amended, among Lamar Media, the subsidiary borrower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party thereto and JPMorgan Chase Bank, N.A., as administrative</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agent, by New Hampshire Logos,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10(f)(28)</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Joinder Agreement, dated as of August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7"/>
              </w:rPr>
              <w:t>Amended and Restated Credit Agreement dated as of May 15,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2017, as amended, among Lamar Media, the subsidiary borrower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3"/>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4"/>
              </w:rPr>
              <w:t>party thereto and JPMorgan Chase Bank, N.A., as administrative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agent, by Ashby Street Outdoor Holdings LLC, Ashby Street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Outdoor CC, LLC and Ashby Street Outdoor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10(f)(29)</w:t>
            </w:r>
          </w:p>
        </w:tc>
        <w:tc>
          <w:tcPr>
            <w:tcW w:w="4900" w:type="dxa"/>
            <w:vAlign w:val="bottom"/>
          </w:tcPr>
          <w:p>
            <w:pPr>
              <w:ind w:left="20"/>
              <w:spacing w:after="0"/>
              <w:rPr>
                <w:sz w:val="20"/>
                <w:szCs w:val="20"/>
                <w:color w:val="auto"/>
              </w:rPr>
            </w:pPr>
            <w:r>
              <w:rPr>
                <w:rFonts w:ascii="Arial" w:cs="Arial" w:eastAsia="Arial" w:hAnsi="Arial"/>
                <w:sz w:val="18"/>
                <w:szCs w:val="18"/>
                <w:color w:val="auto"/>
                <w:w w:val="98"/>
              </w:rPr>
              <w:t>Fourth Amended and Restated Credit Agreement, dated as of</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w w:val="98"/>
              </w:rPr>
              <w:t>February 6, 2020, by and among Lamar Media, the Subsidiary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10(l)*</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Form of Indemnification Agreement between the Company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directors and executive officers of the Company, dated as of</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November 18, 2014.</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14(a)</w:t>
            </w:r>
          </w:p>
        </w:tc>
        <w:tc>
          <w:tcPr>
            <w:tcW w:w="4900" w:type="dxa"/>
            <w:vAlign w:val="bottom"/>
          </w:tcPr>
          <w:p>
            <w:pPr>
              <w:ind w:left="20"/>
              <w:spacing w:after="0"/>
              <w:rPr>
                <w:sz w:val="20"/>
                <w:szCs w:val="20"/>
                <w:color w:val="auto"/>
              </w:rPr>
            </w:pPr>
            <w:r>
              <w:rPr>
                <w:rFonts w:ascii="Arial" w:cs="Arial" w:eastAsia="Arial" w:hAnsi="Arial"/>
                <w:sz w:val="18"/>
                <w:szCs w:val="18"/>
                <w:color w:val="auto"/>
              </w:rPr>
              <w:t>Lamar Advertising Company Code of Business Conduct and</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Ethics.</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21(a)</w:t>
            </w:r>
          </w:p>
        </w:tc>
        <w:tc>
          <w:tcPr>
            <w:tcW w:w="4900" w:type="dxa"/>
            <w:vAlign w:val="bottom"/>
          </w:tcPr>
          <w:p>
            <w:pPr>
              <w:ind w:left="2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22(a)</w:t>
            </w:r>
          </w:p>
        </w:tc>
        <w:tc>
          <w:tcPr>
            <w:tcW w:w="4900" w:type="dxa"/>
            <w:vAlign w:val="bottom"/>
          </w:tcPr>
          <w:p>
            <w:pPr>
              <w:ind w:left="20"/>
              <w:spacing w:after="0"/>
              <w:rPr>
                <w:sz w:val="20"/>
                <w:szCs w:val="20"/>
                <w:color w:val="auto"/>
              </w:rPr>
            </w:pPr>
            <w:r>
              <w:rPr>
                <w:rFonts w:ascii="Arial" w:cs="Arial" w:eastAsia="Arial" w:hAnsi="Arial"/>
                <w:sz w:val="18"/>
                <w:szCs w:val="18"/>
                <w:color w:val="auto"/>
              </w:rPr>
              <w:t>Subsidiary guarantors of Lamar Media.</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23(a)</w:t>
            </w:r>
          </w:p>
        </w:tc>
        <w:tc>
          <w:tcPr>
            <w:tcW w:w="4900" w:type="dxa"/>
            <w:vAlign w:val="bottom"/>
          </w:tcPr>
          <w:p>
            <w:pPr>
              <w:ind w:left="20"/>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904"/>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spacing w:after="0" w:line="259" w:lineRule="auto"/>
        <w:rPr>
          <w:rFonts w:ascii="Arial" w:cs="Arial" w:eastAsia="Arial" w:hAnsi="Arial"/>
          <w:sz w:val="16"/>
          <w:szCs w:val="16"/>
          <w:u w:val="single" w:color="auto"/>
          <w:color w:val="0000FF"/>
        </w:rPr>
      </w:pPr>
      <w:hyperlink r:id="rId266">
        <w:r>
          <w:rPr>
            <w:rFonts w:ascii="Arial" w:cs="Arial" w:eastAsia="Arial" w:hAnsi="Arial"/>
            <w:sz w:val="16"/>
            <w:szCs w:val="16"/>
            <w:u w:val="single" w:color="auto"/>
            <w:color w:val="0000FF"/>
          </w:rPr>
          <w:t>Previously filed as Exhibit 10.1 to the Company’s Quarterly Report</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on Form 10-Q for the period ended March 31, 2018 (File No. 1-</w:t>
        </w:r>
      </w:hyperlink>
      <w:hyperlink r:id="rId266">
        <w:r>
          <w:rPr>
            <w:rFonts w:ascii="Arial" w:cs="Arial" w:eastAsia="Arial" w:hAnsi="Arial"/>
            <w:sz w:val="16"/>
            <w:szCs w:val="16"/>
            <w:u w:val="single" w:color="auto"/>
            <w:color w:val="0000FF"/>
          </w:rPr>
          <w:t>36756) filed on May 5, 2018 and incorporated herein by reference.</w:t>
        </w:r>
      </w:hyperlink>
    </w:p>
    <w:p>
      <w:pPr>
        <w:spacing w:after="0" w:line="200" w:lineRule="exact"/>
        <w:rPr>
          <w:rFonts w:ascii="Arial" w:cs="Arial" w:eastAsia="Arial" w:hAnsi="Arial"/>
          <w:sz w:val="16"/>
          <w:szCs w:val="16"/>
          <w:u w:val="single" w:color="auto"/>
          <w:color w:val="0000FF"/>
        </w:rPr>
      </w:pPr>
    </w:p>
    <w:p>
      <w:pPr>
        <w:spacing w:after="0" w:line="365" w:lineRule="exact"/>
        <w:rPr>
          <w:rFonts w:ascii="Arial" w:cs="Arial" w:eastAsia="Arial" w:hAnsi="Arial"/>
          <w:sz w:val="16"/>
          <w:szCs w:val="16"/>
          <w:u w:val="single" w:color="auto"/>
          <w:color w:val="0000FF"/>
        </w:rPr>
      </w:pPr>
    </w:p>
    <w:p>
      <w:pPr>
        <w:spacing w:after="0" w:line="259" w:lineRule="auto"/>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Previously filed as Exhibit 10.3 to the Company’s Quarterly Report</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on Form 10-Q for the period ended March 31, 2019 (File No. 1-</w:t>
        </w:r>
      </w:hyperlink>
      <w:hyperlink r:id="rId267">
        <w:r>
          <w:rPr>
            <w:rFonts w:ascii="Arial" w:cs="Arial" w:eastAsia="Arial" w:hAnsi="Arial"/>
            <w:sz w:val="16"/>
            <w:szCs w:val="16"/>
            <w:u w:val="single" w:color="auto"/>
            <w:color w:val="0000FF"/>
          </w:rPr>
          <w:t>36756) filed on May 2, 2019, and incorporated herein by reference.</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4" w:lineRule="exact"/>
        <w:rPr>
          <w:rFonts w:ascii="Arial" w:cs="Arial" w:eastAsia="Arial" w:hAnsi="Arial"/>
          <w:sz w:val="16"/>
          <w:szCs w:val="16"/>
          <w:u w:val="single" w:color="auto"/>
          <w:color w:val="0000FF"/>
        </w:rPr>
      </w:pPr>
    </w:p>
    <w:p>
      <w:pPr>
        <w:spacing w:after="0" w:line="259" w:lineRule="auto"/>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Previously filed as Exhibit 10.4 to the Company’s Quarterly Report</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on Form 10-Q for the period ended March 31, 2019 (File No. 1-</w:t>
        </w:r>
      </w:hyperlink>
      <w:hyperlink r:id="rId268">
        <w:r>
          <w:rPr>
            <w:rFonts w:ascii="Arial" w:cs="Arial" w:eastAsia="Arial" w:hAnsi="Arial"/>
            <w:sz w:val="16"/>
            <w:szCs w:val="16"/>
            <w:u w:val="single" w:color="auto"/>
            <w:color w:val="0000FF"/>
          </w:rPr>
          <w:t>36756) filed on May 2, 2019, and incorporated herein by reference.</w:t>
        </w:r>
      </w:hyperlink>
    </w:p>
    <w:p>
      <w:pPr>
        <w:spacing w:after="0" w:line="200" w:lineRule="exact"/>
        <w:rPr>
          <w:rFonts w:ascii="Arial" w:cs="Arial" w:eastAsia="Arial" w:hAnsi="Arial"/>
          <w:sz w:val="16"/>
          <w:szCs w:val="16"/>
          <w:u w:val="single" w:color="auto"/>
          <w:color w:val="0000FF"/>
        </w:rPr>
      </w:pPr>
    </w:p>
    <w:p>
      <w:pPr>
        <w:spacing w:after="0" w:line="365" w:lineRule="exact"/>
        <w:rPr>
          <w:rFonts w:ascii="Arial" w:cs="Arial" w:eastAsia="Arial" w:hAnsi="Arial"/>
          <w:sz w:val="16"/>
          <w:szCs w:val="16"/>
          <w:u w:val="single" w:color="auto"/>
          <w:color w:val="0000FF"/>
        </w:rPr>
      </w:pPr>
    </w:p>
    <w:p>
      <w:pPr>
        <w:spacing w:after="0" w:line="239" w:lineRule="auto"/>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Previously filed as Exhibit 10.1 to the Company’s Quarterly Report</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on Form 10-Q for the period ended September 30, 2019 (File No.</w:t>
        </w:r>
      </w:hyperlink>
    </w:p>
    <w:p>
      <w:pPr>
        <w:spacing w:after="0" w:line="1" w:lineRule="exact"/>
        <w:rPr>
          <w:sz w:val="20"/>
          <w:szCs w:val="20"/>
          <w:color w:val="auto"/>
        </w:rPr>
      </w:pPr>
    </w:p>
    <w:p>
      <w:pPr>
        <w:ind w:right="180"/>
        <w:spacing w:after="0" w:line="226" w:lineRule="auto"/>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1-36756) filed on November 5, 2019, and incorporated herein by</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reference.</w:t>
        </w:r>
      </w:hyperlink>
    </w:p>
    <w:p>
      <w:pPr>
        <w:spacing w:after="0" w:line="200" w:lineRule="exact"/>
        <w:rPr>
          <w:sz w:val="20"/>
          <w:szCs w:val="20"/>
          <w:color w:val="auto"/>
        </w:rPr>
      </w:pPr>
    </w:p>
    <w:p>
      <w:pPr>
        <w:spacing w:after="0" w:line="380" w:lineRule="exact"/>
        <w:rPr>
          <w:sz w:val="20"/>
          <w:szCs w:val="20"/>
          <w:color w:val="auto"/>
        </w:rPr>
      </w:pPr>
    </w:p>
    <w:p>
      <w:pPr>
        <w:ind w:right="140"/>
        <w:spacing w:after="0" w:line="224" w:lineRule="auto"/>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Previously filed as Exhibit 10.3 to the Company’s Current Report</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on Form 8-K (File No. 1-36756) filed on February 12, 2020 and</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incorporated herein by reference.</w:t>
        </w:r>
      </w:hyperlink>
    </w:p>
    <w:p>
      <w:pPr>
        <w:spacing w:after="0" w:line="230" w:lineRule="exact"/>
        <w:rPr>
          <w:rFonts w:ascii="Arial" w:cs="Arial" w:eastAsia="Arial" w:hAnsi="Arial"/>
          <w:sz w:val="18"/>
          <w:szCs w:val="18"/>
          <w:u w:val="single" w:color="auto"/>
          <w:color w:val="0000FF"/>
        </w:rPr>
      </w:pPr>
    </w:p>
    <w:p>
      <w:pPr>
        <w:jc w:val="both"/>
        <w:ind w:right="120"/>
        <w:spacing w:after="0" w:line="224" w:lineRule="auto"/>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Previously filed as Exhibit 10.1 to the Company’s Current Report</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on Form 8-K (File No. 1-36756) filed on November 19, 2014 and</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Filed herewith.</w:t>
        </w:r>
      </w:hyperlink>
    </w:p>
    <w:p>
      <w:pPr>
        <w:spacing w:after="0" w:line="25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Filed herewith.</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Filed herewith.</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Filed herewith.</w:t>
        </w:r>
      </w:hyperlink>
    </w:p>
    <w:p>
      <w:pPr>
        <w:sectPr>
          <w:pgSz w:w="11900" w:h="16838" w:orient="portrait"/>
          <w:cols w:equalWidth="0" w:num="2">
            <w:col w:w="6200" w:space="140"/>
            <w:col w:w="4840"/>
          </w:cols>
          <w:pgMar w:left="320" w:top="125" w:right="39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2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8"/>
        </w:trPr>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31(a)</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w w:val="97"/>
              </w:rPr>
              <w:t>Certification of the Chief Executive Officer of the Company and</w:t>
            </w:r>
          </w:p>
        </w:tc>
        <w:tc>
          <w:tcPr>
            <w:tcW w:w="120" w:type="dxa"/>
            <w:vAlign w:val="bottom"/>
          </w:tcPr>
          <w:p>
            <w:pPr>
              <w:spacing w:after="0"/>
              <w:rPr>
                <w:sz w:val="15"/>
                <w:szCs w:val="15"/>
                <w:color w:val="auto"/>
              </w:rPr>
            </w:pPr>
          </w:p>
        </w:tc>
        <w:tc>
          <w:tcPr>
            <w:tcW w:w="4900" w:type="dxa"/>
            <w:vAlign w:val="bottom"/>
            <w:tcBorders>
              <w:top w:val="single" w:sz="8" w:color="auto"/>
            </w:tcBorders>
            <w:gridSpan w:val="3"/>
          </w:tcPr>
          <w:p>
            <w:pPr>
              <w:ind w:left="20"/>
              <w:spacing w:after="0" w:line="184" w:lineRule="exact"/>
              <w:rPr>
                <w:rFonts w:ascii="Arial" w:cs="Arial" w:eastAsia="Arial" w:hAnsi="Arial"/>
                <w:sz w:val="18"/>
                <w:szCs w:val="18"/>
                <w:color w:val="0000FF"/>
              </w:rPr>
            </w:pPr>
            <w:hyperlink w:anchor="page138">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Lamar Media pursuant to Securities Exchange Act Rules 13a-14(a)</w:t>
            </w:r>
          </w:p>
        </w:tc>
        <w:tc>
          <w:tcPr>
            <w:tcW w:w="20" w:type="dxa"/>
            <w:vAlign w:val="bottom"/>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and 15d-14(a) as adopted pursuant to Section 302 of the Sarbanes-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31(b)</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Certification of the Chief Financial Officer of the Company and</w:t>
            </w:r>
          </w:p>
        </w:tc>
        <w:tc>
          <w:tcPr>
            <w:tcW w:w="4900" w:type="dxa"/>
            <w:vAlign w:val="bottom"/>
            <w:gridSpan w:val="3"/>
          </w:tcPr>
          <w:p>
            <w:pPr>
              <w:ind w:left="20"/>
              <w:spacing w:after="0"/>
              <w:rPr>
                <w:rFonts w:ascii="Arial" w:cs="Arial" w:eastAsia="Arial" w:hAnsi="Arial"/>
                <w:sz w:val="18"/>
                <w:szCs w:val="18"/>
                <w:color w:val="0000FF"/>
              </w:rPr>
            </w:pPr>
            <w:hyperlink w:anchor="page139">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Lamar Media pursuant to Securities Exchange Act Rules 13a-14(a)</w:t>
            </w:r>
          </w:p>
        </w:tc>
        <w:tc>
          <w:tcPr>
            <w:tcW w:w="20" w:type="dxa"/>
            <w:vAlign w:val="bottom"/>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and 15d-14(a) as adopted pursuant to Section 302 of the Sarbanes-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00" w:type="dxa"/>
            <w:vAlign w:val="bottom"/>
            <w:gridSpan w:val="2"/>
          </w:tcPr>
          <w:p>
            <w:pPr>
              <w:ind w:left="20"/>
              <w:spacing w:after="0"/>
              <w:rPr>
                <w:sz w:val="20"/>
                <w:szCs w:val="20"/>
                <w:color w:val="auto"/>
              </w:rPr>
            </w:pPr>
            <w:r>
              <w:rPr>
                <w:rFonts w:ascii="Arial" w:cs="Arial" w:eastAsia="Arial" w:hAnsi="Arial"/>
                <w:sz w:val="18"/>
                <w:szCs w:val="18"/>
                <w:color w:val="auto"/>
              </w:rPr>
              <w:t>32(a)</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4900" w:type="dxa"/>
            <w:vAlign w:val="bottom"/>
            <w:gridSpan w:val="3"/>
          </w:tcPr>
          <w:p>
            <w:pPr>
              <w:ind w:left="20"/>
              <w:spacing w:after="0"/>
              <w:rPr>
                <w:rFonts w:ascii="Arial" w:cs="Arial" w:eastAsia="Arial" w:hAnsi="Arial"/>
                <w:sz w:val="18"/>
                <w:szCs w:val="18"/>
                <w:color w:val="0000FF"/>
              </w:rPr>
            </w:pPr>
            <w:hyperlink w:anchor="page140">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pursuant to Section 906 of the Sarbanes-Oxley Act of 2002.</w:t>
            </w:r>
          </w:p>
        </w:tc>
        <w:tc>
          <w:tcPr>
            <w:tcW w:w="20" w:type="dxa"/>
            <w:vAlign w:val="bottom"/>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320" w:right="5040" w:hanging="1294"/>
        <w:spacing w:after="0" w:line="220" w:lineRule="auto"/>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following materials from the combined Annual Report of the Company and Lamar Media Corp. on Form 10-K for the year ended December 31, 2021, formatted in Inline XBRL (eXtensible Business Reporting Language): (i) Consolidated Balance Sheets as of December 31, 2021 and 2020 of the Company and Lamar Media, (ii) Consolidated Statements of Income and Comprehensive Income for the years ended December 31, 2021, 2020 and 2019 of the Company and Lamar Media, (iii) Consolidated Statements of Stockholders’ Equity for the years ended December 31, 2021, 2020 and 2019 of the Company and Lamar Media, (iv) Consolidated Statements of Cash Flows for the years ended December 31, 2021, 2020 and 2019 of the Company and Lamar Media, and (v) Notes to Consolidated Financial Statements of the Company and Lamar Media.</w:t>
      </w:r>
    </w:p>
    <w:p>
      <w:pPr>
        <w:spacing w:after="0" w:line="56" w:lineRule="exact"/>
        <w:rPr>
          <w:sz w:val="20"/>
          <w:szCs w:val="20"/>
          <w:color w:val="auto"/>
        </w:rPr>
      </w:pPr>
    </w:p>
    <w:p>
      <w:pPr>
        <w:ind w:left="1320" w:right="5240" w:hanging="1294"/>
        <w:spacing w:after="0" w:line="235" w:lineRule="auto"/>
        <w:tabs>
          <w:tab w:leader="none" w:pos="13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Denotes management contract or compensatory plan or arrangement in which the executive officers or directors of the Company participate.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Arial" w:cs="Arial" w:eastAsia="Arial" w:hAnsi="Arial"/>
                <w:sz w:val="18"/>
                <w:szCs w:val="18"/>
                <w:b w:val="1"/>
                <w:bCs w:val="1"/>
                <w:color w:val="auto"/>
              </w:rPr>
              <w:t>LAMAR ADVERTISING COMPANY</w:t>
            </w:r>
          </w:p>
        </w:tc>
      </w:tr>
      <w:tr>
        <w:trPr>
          <w:trHeight w:val="499"/>
        </w:trPr>
        <w:tc>
          <w:tcPr>
            <w:tcW w:w="3280" w:type="dxa"/>
            <w:vAlign w:val="bottom"/>
          </w:tcPr>
          <w:p>
            <w:pPr>
              <w:spacing w:after="0"/>
              <w:rPr>
                <w:sz w:val="20"/>
                <w:szCs w:val="20"/>
                <w:color w:val="auto"/>
              </w:rPr>
            </w:pPr>
            <w:r>
              <w:rPr>
                <w:rFonts w:ascii="Arial" w:cs="Arial" w:eastAsia="Arial" w:hAnsi="Arial"/>
                <w:sz w:val="18"/>
                <w:szCs w:val="18"/>
                <w:color w:val="auto"/>
              </w:rPr>
              <w:t>February 25, 2022</w:t>
            </w:r>
          </w:p>
        </w:tc>
        <w:tc>
          <w:tcPr>
            <w:tcW w:w="294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222"/>
        </w:trPr>
        <w:tc>
          <w:tcPr>
            <w:tcW w:w="3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Sean E. Reilly</w:t>
            </w:r>
          </w:p>
        </w:tc>
      </w:tr>
      <w:tr>
        <w:trPr>
          <w:trHeight w:val="230"/>
        </w:trPr>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83"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618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Date</w:t>
            </w:r>
          </w:p>
        </w:tc>
      </w:tr>
      <w:tr>
        <w:trPr>
          <w:trHeight w:val="27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c>
          <w:tcPr>
            <w:tcW w:w="100" w:type="dxa"/>
            <w:vAlign w:val="bottom"/>
          </w:tcPr>
          <w:p>
            <w:pPr>
              <w:spacing w:after="0"/>
              <w:rPr>
                <w:sz w:val="23"/>
                <w:szCs w:val="23"/>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Sean E.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Jay L. Johnson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Executive Chairman and 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Kevin P. Reilly, Jr.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Wendell S.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Wendell S.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P. Mumblow</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Stephen P. Mumblow</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Marshall A. Loeb</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Marshall A. Loeb</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Reifenheiser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Thomas Reifenheiser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Anna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E. Koerner, III</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John E. Koerner, III</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Elizabeth Thompson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Elizabeth Thompson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Nancy Fletcher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1112"/>
              <w:spacing w:after="0"/>
              <w:rPr>
                <w:sz w:val="20"/>
                <w:szCs w:val="20"/>
                <w:color w:val="auto"/>
              </w:rPr>
            </w:pPr>
            <w:r>
              <w:rPr>
                <w:rFonts w:ascii="Arial" w:cs="Arial" w:eastAsia="Arial" w:hAnsi="Arial"/>
                <w:sz w:val="18"/>
                <w:szCs w:val="18"/>
                <w:color w:val="auto"/>
                <w:w w:val="89"/>
              </w:rPr>
              <w:t>2/25/22</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Nancy Fletcher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20" w:type="dxa"/>
            <w:vAlign w:val="bottom"/>
            <w:gridSpan w:val="2"/>
          </w:tcPr>
          <w:p>
            <w:pPr>
              <w:ind w:left="2060"/>
              <w:spacing w:after="0"/>
              <w:rPr>
                <w:sz w:val="20"/>
                <w:szCs w:val="20"/>
                <w:color w:val="auto"/>
              </w:rPr>
            </w:pPr>
            <w:r>
              <w:rPr>
                <w:rFonts w:ascii="Arial" w:cs="Arial" w:eastAsia="Arial" w:hAnsi="Arial"/>
                <w:sz w:val="18"/>
                <w:szCs w:val="18"/>
                <w:b w:val="1"/>
                <w:bCs w:val="1"/>
                <w:color w:val="auto"/>
              </w:rPr>
              <w:t>LAMAR MEDIA CORP.</w:t>
            </w:r>
          </w:p>
        </w:tc>
      </w:tr>
      <w:tr>
        <w:trPr>
          <w:trHeight w:val="446"/>
        </w:trPr>
        <w:tc>
          <w:tcPr>
            <w:tcW w:w="3380" w:type="dxa"/>
            <w:vAlign w:val="bottom"/>
          </w:tcPr>
          <w:p>
            <w:pPr>
              <w:spacing w:after="0"/>
              <w:rPr>
                <w:sz w:val="20"/>
                <w:szCs w:val="20"/>
                <w:color w:val="auto"/>
              </w:rPr>
            </w:pPr>
            <w:r>
              <w:rPr>
                <w:rFonts w:ascii="Arial" w:cs="Arial" w:eastAsia="Arial" w:hAnsi="Arial"/>
                <w:sz w:val="18"/>
                <w:szCs w:val="18"/>
                <w:color w:val="auto"/>
              </w:rPr>
              <w:t>February 25, 2022</w:t>
            </w:r>
          </w:p>
        </w:tc>
        <w:tc>
          <w:tcPr>
            <w:tcW w:w="2840" w:type="dxa"/>
            <w:vAlign w:val="bottom"/>
          </w:tcPr>
          <w:p>
            <w:pPr>
              <w:ind w:left="20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222"/>
        </w:trPr>
        <w:tc>
          <w:tcPr>
            <w:tcW w:w="3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Sean E. Reilly</w:t>
            </w:r>
          </w:p>
        </w:tc>
      </w:tr>
      <w:tr>
        <w:trPr>
          <w:trHeight w:val="230"/>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96"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p>
      <w:pPr>
        <w:ind w:left="1240"/>
        <w:spacing w:after="0"/>
        <w:tabs>
          <w:tab w:leader="none" w:pos="610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Kevin P. Reilly,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9373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P. Reilly, Jr.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373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6">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Sean E. Reilly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373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Jay L. Johnson</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Lee Kantrow,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373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8">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Lee Kantrow, Jr.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Executive Chairman and Director</w:t>
            </w:r>
          </w:p>
        </w:tc>
        <w:tc>
          <w:tcPr>
            <w:tcW w:w="1240" w:type="dxa"/>
            <w:vAlign w:val="bottom"/>
          </w:tcPr>
          <w:p>
            <w:pPr>
              <w:jc w:val="right"/>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743"/>
        </w:trPr>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c>
          <w:tcPr>
            <w:tcW w:w="1240" w:type="dxa"/>
            <w:vAlign w:val="bottom"/>
          </w:tcPr>
          <w:p>
            <w:pPr>
              <w:jc w:val="right"/>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743"/>
        </w:trPr>
        <w:tc>
          <w:tcPr>
            <w:tcW w:w="5600" w:type="dxa"/>
            <w:vAlign w:val="bottom"/>
            <w:vMerge w:val="restart"/>
          </w:tcPr>
          <w:p>
            <w:pPr>
              <w:spacing w:after="0"/>
              <w:rPr>
                <w:sz w:val="20"/>
                <w:szCs w:val="20"/>
                <w:color w:val="auto"/>
              </w:rPr>
            </w:pPr>
            <w:r>
              <w:rPr>
                <w:rFonts w:ascii="Arial" w:cs="Arial" w:eastAsia="Arial" w:hAnsi="Arial"/>
                <w:sz w:val="18"/>
                <w:szCs w:val="18"/>
                <w:color w:val="auto"/>
              </w:rPr>
              <w:t>Chief Financial and Accounting Officer and Director</w:t>
            </w:r>
          </w:p>
        </w:tc>
        <w:tc>
          <w:tcPr>
            <w:tcW w:w="1240" w:type="dxa"/>
            <w:vAlign w:val="bottom"/>
          </w:tcPr>
          <w:p>
            <w:pPr>
              <w:jc w:val="right"/>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600" w:type="dxa"/>
            <w:vAlign w:val="bottom"/>
          </w:tcPr>
          <w:p>
            <w:pPr>
              <w:spacing w:after="0"/>
              <w:rPr>
                <w:sz w:val="20"/>
                <w:szCs w:val="20"/>
                <w:color w:val="auto"/>
              </w:rPr>
            </w:pPr>
            <w:r>
              <w:rPr>
                <w:rFonts w:ascii="Arial" w:cs="Arial" w:eastAsia="Arial" w:hAnsi="Arial"/>
                <w:sz w:val="18"/>
                <w:szCs w:val="18"/>
                <w:color w:val="auto"/>
              </w:rPr>
              <w:t>Executive Vice President of Mergers and Acquisitions and Director</w:t>
            </w:r>
          </w:p>
        </w:tc>
        <w:tc>
          <w:tcPr>
            <w:tcW w:w="1240" w:type="dxa"/>
            <w:vAlign w:val="bottom"/>
          </w:tcPr>
          <w:p>
            <w:pPr>
              <w:jc w:val="right"/>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2460" w:space="720"/>
            <w:col w:w="804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20"/>
          </w:cols>
          <w:pgMar w:left="320" w:top="125" w:right="359" w:bottom="1440" w:gutter="0" w:footer="0" w:header="0"/>
          <w:type w:val="continuous"/>
        </w:sectPr>
      </w:pPr>
    </w:p>
    <w:bookmarkStart w:id="120" w:name="page121"/>
    <w:bookmarkEnd w:id="120"/>
    <w:p>
      <w:pPr>
        <w:ind w:left="10240"/>
        <w:spacing w:after="0"/>
        <w:rPr>
          <w:sz w:val="20"/>
          <w:szCs w:val="20"/>
          <w:color w:val="auto"/>
        </w:rPr>
      </w:pPr>
      <w:r>
        <w:rPr>
          <w:rFonts w:ascii="Arial" w:cs="Arial" w:eastAsia="Arial" w:hAnsi="Arial"/>
          <w:sz w:val="16"/>
          <w:szCs w:val="16"/>
          <w:b w:val="1"/>
          <w:bCs w:val="1"/>
          <w:color w:val="auto"/>
        </w:rPr>
        <w:t>Exhibit 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LAMAR ADVERTISING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CODE OF BUSINESS CONDUCT AND ETHICS</w:t>
      </w:r>
    </w:p>
    <w:p>
      <w:pPr>
        <w:spacing w:after="0" w:line="200" w:lineRule="exact"/>
        <w:rPr>
          <w:sz w:val="20"/>
          <w:szCs w:val="20"/>
          <w:color w:val="auto"/>
        </w:rPr>
      </w:pPr>
    </w:p>
    <w:p>
      <w:pPr>
        <w:spacing w:after="0" w:line="203"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This Code of Business Conduct and Ethics (the “Code”) sets forth legal and ethical standards of conduct for directors, officers and employees of Lamar Advertising Company and its subsidiaries (collectively, the “Company”). This Code is intended to deter wrongdoing and to promote the conduct of all Company business in accordance with high standards of integrity and in compliance with all applicable laws and regulations.</w:t>
      </w:r>
    </w:p>
    <w:p>
      <w:pPr>
        <w:spacing w:after="0" w:line="161" w:lineRule="exact"/>
        <w:rPr>
          <w:sz w:val="20"/>
          <w:szCs w:val="20"/>
          <w:color w:val="auto"/>
        </w:rPr>
      </w:pPr>
    </w:p>
    <w:p>
      <w:pPr>
        <w:ind w:right="920" w:firstLine="648"/>
        <w:spacing w:after="0" w:line="232" w:lineRule="auto"/>
        <w:rPr>
          <w:sz w:val="20"/>
          <w:szCs w:val="20"/>
          <w:color w:val="auto"/>
        </w:rPr>
      </w:pPr>
      <w:r>
        <w:rPr>
          <w:rFonts w:ascii="Arial" w:cs="Arial" w:eastAsia="Arial" w:hAnsi="Arial"/>
          <w:sz w:val="22"/>
          <w:szCs w:val="22"/>
          <w:color w:val="auto"/>
        </w:rPr>
        <w:t>If you have any questions regarding this Code or its application to you in any situation, you should contact your supervisor or the Vice President of Human Resources.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Compliance with Laws, Rules and Regulations</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 Company requires that all employees, officers and directors comply with all laws, rules and regulations applicable to the Company wherever it does business. You are expected to use good judgment and common sense in seeking to comply with all applicable laws, rules and regulations and to ask for advice when you are uncertain about them.</w:t>
      </w:r>
    </w:p>
    <w:p>
      <w:pPr>
        <w:spacing w:after="0" w:line="132"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If you become aware of the violation of any law, rule or regulation by the Company, whether by its officers, employees or directors, it is your responsibility to promptly report the matter as outlined under the heading “Reporting and Compliance Procedures” below. While it is the Company’s desire to address matters internally, nothing in this Code should discourage you from reporting any illegal activity, including any violation of the securities laws, antitrust laws, environmental laws or any other federal, state or foreign law, rule or regulation to the appropriate federal or state regulatory authority. Employees, officers and directors shall not discharge, demote, suspend, threaten, harass or in any other manner discriminate against an employee because he or she in good faith reports any such violation. This Code should not be construed to prohibit you from testifying, participating or otherwise assisting in any state or federal administrative, judicial or legislative proceeding or investigation.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Employees, officers and directors must act in the best interests of the Company. Personal interests must not interfere with or otherwise be harmful to the interests of the Company. Any actual or apparent conflict of interest between personal interests and those of the Company must be handled honestly and ethically in accordance with the following procedures. Any conflict of interest is prohibited unless it has gone through the process of disclosure, consultation and approval set forth below.</w:t>
      </w:r>
    </w:p>
    <w:p>
      <w:pPr>
        <w:spacing w:after="0" w:line="144" w:lineRule="exact"/>
        <w:rPr>
          <w:sz w:val="20"/>
          <w:szCs w:val="20"/>
          <w:color w:val="auto"/>
        </w:rPr>
      </w:pPr>
    </w:p>
    <w:p>
      <w:pPr>
        <w:ind w:right="60" w:firstLine="648"/>
        <w:spacing w:after="0" w:line="252" w:lineRule="auto"/>
        <w:rPr>
          <w:sz w:val="20"/>
          <w:szCs w:val="20"/>
          <w:color w:val="auto"/>
        </w:rPr>
      </w:pPr>
      <w:r>
        <w:rPr>
          <w:rFonts w:ascii="Arial" w:cs="Arial" w:eastAsia="Arial" w:hAnsi="Arial"/>
          <w:sz w:val="19"/>
          <w:szCs w:val="19"/>
          <w:color w:val="auto"/>
        </w:rPr>
        <w:t>Full disclosure of any actual or apparent conflict is the essential first step to remaining in full compliance with this policy. You must disclose all actual and apparent conflicts of interest, including any material transaction or relationship that reasonably could be expected to give rise to a conflict of interest, to your Regional Manager or, in the event that such individual is involved in the matter, to the Vice President of Human Resources. Executive officers and directors must disclose such matters to the Chair of the Audit Committee or to the member of such committee charged with reviewing conflicts of interest.</w:t>
      </w:r>
    </w:p>
    <w:p>
      <w:pPr>
        <w:spacing w:after="0" w:line="149" w:lineRule="exact"/>
        <w:rPr>
          <w:sz w:val="20"/>
          <w:szCs w:val="20"/>
          <w:color w:val="auto"/>
        </w:rPr>
      </w:pPr>
    </w:p>
    <w:p>
      <w:pPr>
        <w:ind w:right="420" w:firstLine="648"/>
        <w:spacing w:after="0" w:line="223" w:lineRule="auto"/>
        <w:rPr>
          <w:sz w:val="20"/>
          <w:szCs w:val="20"/>
          <w:color w:val="auto"/>
        </w:rPr>
      </w:pPr>
      <w:r>
        <w:rPr>
          <w:rFonts w:ascii="Arial" w:cs="Arial" w:eastAsia="Arial" w:hAnsi="Arial"/>
          <w:sz w:val="22"/>
          <w:szCs w:val="22"/>
          <w:color w:val="auto"/>
        </w:rPr>
        <w:t>The Board of Directors has adopted rules for what activities constitute conflicts of interest and potential conflicts of interest, as well as procedures for determining whether a relation or transaction constitutes a conflict of interest, which it will review and, if appropriate,</w:t>
      </w:r>
    </w:p>
    <w:p>
      <w:pPr>
        <w:sectPr>
          <w:pgSz w:w="11900" w:h="16838" w:orient="portrait"/>
          <w:cols w:equalWidth="0" w:num="1">
            <w:col w:w="11240"/>
          </w:cols>
          <w:pgMar w:left="320" w:top="108" w:right="3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update from time to time. The current version of these rules and procedures are attached as Appendices A and B to this Code.</w:t>
      </w:r>
    </w:p>
    <w:p>
      <w:pPr>
        <w:spacing w:after="0" w:line="2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Following disclosure, any employee, officer or director must avoid or terminate any activity that involves an actual or reasonably apparent conflict of interest unless it is determined at the appropriate level that the activity is not a conflict of interest or is otherwise not harmful to the Company or improper. Any such determination shall be made by the disinterested members of the Audit Committee in the case of an executive officer or director and as set forth below for any employee.</w:t>
      </w:r>
    </w:p>
    <w:p>
      <w:pPr>
        <w:spacing w:after="0" w:line="144"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Any employee who has a question about whether any situation in which he or she is involved amounts to a conflict of interest or the appearance of one should disclose the pertinent details, preferably in writing, to his or her supervisor. Each supervisor is responsible for discussing the situation with the employee and arriving at a decision after consultation with or notice to the appropriate higher level of management.</w:t>
      </w:r>
    </w:p>
    <w:p>
      <w:pPr>
        <w:spacing w:after="0" w:line="161" w:lineRule="exact"/>
        <w:rPr>
          <w:sz w:val="20"/>
          <w:szCs w:val="20"/>
          <w:color w:val="auto"/>
        </w:rPr>
      </w:pPr>
    </w:p>
    <w:p>
      <w:pPr>
        <w:ind w:right="500" w:firstLine="648"/>
        <w:spacing w:after="0" w:line="223" w:lineRule="auto"/>
        <w:rPr>
          <w:sz w:val="20"/>
          <w:szCs w:val="20"/>
          <w:color w:val="auto"/>
        </w:rPr>
      </w:pPr>
      <w:r>
        <w:rPr>
          <w:rFonts w:ascii="Arial" w:cs="Arial" w:eastAsia="Arial" w:hAnsi="Arial"/>
          <w:sz w:val="22"/>
          <w:szCs w:val="22"/>
          <w:color w:val="auto"/>
        </w:rPr>
        <w:t>No director, director nominee, executive officer or greater than 5% shareholder may enter into any transaction or relationship that is disclosable by the Company pursuant to SEC Reg. S-K, Item 404 without the prior approval of the 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185" w:lineRule="exact"/>
        <w:rPr>
          <w:sz w:val="20"/>
          <w:szCs w:val="20"/>
          <w:color w:val="auto"/>
        </w:rPr>
      </w:pPr>
    </w:p>
    <w:p>
      <w:pPr>
        <w:ind w:right="220" w:firstLine="648"/>
        <w:spacing w:after="0" w:line="249" w:lineRule="auto"/>
        <w:rPr>
          <w:sz w:val="20"/>
          <w:szCs w:val="20"/>
          <w:color w:val="auto"/>
        </w:rPr>
      </w:pPr>
      <w:r>
        <w:rPr>
          <w:rFonts w:ascii="Arial" w:cs="Arial" w:eastAsia="Arial" w:hAnsi="Arial"/>
          <w:sz w:val="19"/>
          <w:szCs w:val="19"/>
          <w:color w:val="auto"/>
        </w:rPr>
        <w:t>Employees, officers and directors who have material non-public information about the Company or other companies, including our suppliers and customers, as a result of their relationship with the Company are prohibited by law and Company policy from trading in securities of the Company or such other companies, as well as from communicating such information to others who might trade on the basis of that information. To help ensure that you do not engage in prohibited insider trading and avoid even the appearance of an improper transaction, the Company has adopted a Policy on Securities Trading and Inside Information, which is available in the Human Resources section of the Company’s Intranet.</w:t>
      </w:r>
    </w:p>
    <w:p>
      <w:pPr>
        <w:spacing w:after="0" w:line="152"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If you are uncertain about the legal constraints on your purchase or sale of any Company securities or the securities of any other company that you are familiar with by virtue of your relationship with the Company, you should refer to the Company’s Policy on Securities Trading and Inside Information and follow the procedures set forth in that policy before making any such purchase or sale.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Confidentiality</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21"/>
          <w:szCs w:val="21"/>
          <w:color w:val="auto"/>
        </w:rPr>
        <w:t>Employees, officers and directors must maintain the confidentiality of confidential information entrusted to them by the Company or other companies, including its suppliers and customers, except when disclosure is authorized by a supervisor or legally mandated. Unauthorized disclosure of any confidential information is prohibited. Additionally, employees should take appropriate precautions to ensure that confidential or sensitive business information, whether it is proprietary to the Company or another company, is not communicated within the Company except to employees who have a need to know such information to perform their responsibilities for the Company.</w:t>
      </w:r>
    </w:p>
    <w:p>
      <w:pPr>
        <w:spacing w:after="0" w:line="160" w:lineRule="exact"/>
        <w:rPr>
          <w:sz w:val="20"/>
          <w:szCs w:val="20"/>
          <w:color w:val="auto"/>
        </w:rPr>
      </w:pPr>
    </w:p>
    <w:p>
      <w:pPr>
        <w:ind w:right="40" w:firstLine="648"/>
        <w:spacing w:after="0" w:line="216" w:lineRule="auto"/>
        <w:rPr>
          <w:sz w:val="20"/>
          <w:szCs w:val="20"/>
          <w:color w:val="auto"/>
        </w:rPr>
      </w:pPr>
      <w:r>
        <w:rPr>
          <w:rFonts w:ascii="Arial" w:cs="Arial" w:eastAsia="Arial" w:hAnsi="Arial"/>
          <w:sz w:val="22"/>
          <w:szCs w:val="22"/>
          <w:color w:val="auto"/>
        </w:rPr>
        <w:t>Third parties may ask you for information concerning the Company. Employees, officers and directors (other than the authorized spokespersons referred to below) should not discuss internal Company matters with, or disseminate internal Company information to, anyone outside the Company, except as required in the performance of their Company duties and after an appropriate confidentiality agreement is in place. If you receive any inquiries of this nature, you must decline to comment and refer the inquirer to your supervisor or one of the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20"/>
          </w:cols>
          <w:pgMar w:left="320" w:top="1401" w:right="359" w:bottom="1440" w:gutter="0" w:footer="0" w:header="0"/>
        </w:sectPr>
      </w:pPr>
    </w:p>
    <w:bookmarkStart w:id="122" w:name="page123"/>
    <w:bookmarkEnd w:id="122"/>
    <w:p>
      <w:pPr>
        <w:ind w:right="380"/>
        <w:spacing w:after="0" w:line="223" w:lineRule="auto"/>
        <w:rPr>
          <w:sz w:val="20"/>
          <w:szCs w:val="20"/>
          <w:color w:val="auto"/>
        </w:rPr>
      </w:pPr>
      <w:r>
        <w:rPr>
          <w:rFonts w:ascii="Arial" w:cs="Arial" w:eastAsia="Arial" w:hAnsi="Arial"/>
          <w:sz w:val="22"/>
          <w:szCs w:val="22"/>
          <w:color w:val="auto"/>
        </w:rPr>
        <w:t>spokespersons. The Company’s policies with respect to public disclosure of internal matters are described more fully in the Company’s Disclosure Policy and Practices, a copy of which is available from the Company’s Human Resources Department upon request.</w:t>
      </w:r>
    </w:p>
    <w:p>
      <w:pPr>
        <w:spacing w:after="0" w:line="159" w:lineRule="exact"/>
        <w:rPr>
          <w:sz w:val="20"/>
          <w:szCs w:val="20"/>
          <w:color w:val="auto"/>
        </w:rPr>
      </w:pPr>
    </w:p>
    <w:p>
      <w:pPr>
        <w:ind w:right="200" w:firstLine="648"/>
        <w:spacing w:after="0" w:line="223" w:lineRule="auto"/>
        <w:rPr>
          <w:sz w:val="20"/>
          <w:szCs w:val="20"/>
          <w:color w:val="auto"/>
        </w:rPr>
      </w:pPr>
      <w:r>
        <w:rPr>
          <w:rFonts w:ascii="Arial" w:cs="Arial" w:eastAsia="Arial" w:hAnsi="Arial"/>
          <w:sz w:val="22"/>
          <w:szCs w:val="22"/>
          <w:color w:val="auto"/>
        </w:rPr>
        <w:t>You also must abide by any lawful obligations that you have to your former employer. These obligations may include restrictions on the use and disclosure of confidential information, restrictions on the solicitation of former colleagues to work at the Company and non-competition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Honest and Ethical Conduct and Fair Dealing</w:t>
      </w:r>
    </w:p>
    <w:p>
      <w:pPr>
        <w:spacing w:after="0" w:line="18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9"/>
          <w:szCs w:val="19"/>
          <w:color w:val="auto"/>
        </w:rPr>
        <w:t>Each employee, officer and director should endeavor to deal honestly, ethically and fairly with the Company’s suppliers, customers, competitors and employees. Statements regarding the Company’s products and services should not be untrue, misleading, deceptive or fraudulent. You should not take unfair advantage of anyone through manipulation, concealment, abuse of privileged information, misrepresentation of material facts or any other unfair-dealing practice.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Protection and Proper Use of Corporate Assets</w:t>
      </w:r>
    </w:p>
    <w:p>
      <w:pPr>
        <w:spacing w:after="0" w:line="185" w:lineRule="exact"/>
        <w:rPr>
          <w:sz w:val="20"/>
          <w:szCs w:val="20"/>
          <w:color w:val="auto"/>
        </w:rPr>
      </w:pPr>
    </w:p>
    <w:p>
      <w:pPr>
        <w:jc w:val="both"/>
        <w:ind w:right="240" w:firstLine="648"/>
        <w:spacing w:after="0" w:line="268" w:lineRule="auto"/>
        <w:rPr>
          <w:sz w:val="20"/>
          <w:szCs w:val="20"/>
          <w:color w:val="auto"/>
        </w:rPr>
      </w:pPr>
      <w:r>
        <w:rPr>
          <w:rFonts w:ascii="Arial" w:cs="Arial" w:eastAsia="Arial" w:hAnsi="Arial"/>
          <w:sz w:val="19"/>
          <w:szCs w:val="19"/>
          <w:color w:val="auto"/>
        </w:rPr>
        <w:t>All employees, officers and directors should seek to protect the Company’s assets. Theft, carelessness and waste have a direct impact on the Company’s financial performance. Employees, officers and directors should use the Company’s assets and services solely for legitimate business purposes of the Company and not for any unauthorized use.</w:t>
      </w:r>
    </w:p>
    <w:p>
      <w:pPr>
        <w:spacing w:after="0" w:line="132" w:lineRule="exact"/>
        <w:rPr>
          <w:sz w:val="20"/>
          <w:szCs w:val="20"/>
          <w:color w:val="auto"/>
        </w:rPr>
      </w:pPr>
    </w:p>
    <w:p>
      <w:pPr>
        <w:ind w:right="20" w:firstLine="648"/>
        <w:spacing w:after="0" w:line="223" w:lineRule="auto"/>
        <w:rPr>
          <w:sz w:val="20"/>
          <w:szCs w:val="20"/>
          <w:color w:val="auto"/>
        </w:rPr>
      </w:pPr>
      <w:r>
        <w:rPr>
          <w:rFonts w:ascii="Arial" w:cs="Arial" w:eastAsia="Arial" w:hAnsi="Arial"/>
          <w:sz w:val="22"/>
          <w:szCs w:val="22"/>
          <w:color w:val="auto"/>
        </w:rPr>
        <w:t>All employees, officers and directors should advance the Company’s legitimate interests when the opportunity to do so arises. You should not take for yourself personal opportunities that are discovered through your position with the Company or the use of property or information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Gifts and Gratuities</w:t>
      </w:r>
    </w:p>
    <w:p>
      <w:pPr>
        <w:spacing w:after="0" w:line="185"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The use of Company funds or assets for gifts to or entertainment of government officials or employees is prohibited, except to the extent such gifts or entertainment are in compliance with applicable law, nominal in amount (not to exceed $100 in value or such lesser amount as permitted under applicable law), and not given in consideration or expectation of any action by the recipient.</w:t>
      </w:r>
    </w:p>
    <w:p>
      <w:pPr>
        <w:spacing w:after="0" w:line="161" w:lineRule="exact"/>
        <w:rPr>
          <w:sz w:val="20"/>
          <w:szCs w:val="20"/>
          <w:color w:val="auto"/>
        </w:rPr>
      </w:pPr>
    </w:p>
    <w:p>
      <w:pPr>
        <w:ind w:right="200" w:firstLine="648"/>
        <w:spacing w:after="0" w:line="226" w:lineRule="auto"/>
        <w:rPr>
          <w:sz w:val="20"/>
          <w:szCs w:val="20"/>
          <w:color w:val="auto"/>
        </w:rPr>
      </w:pPr>
      <w:r>
        <w:rPr>
          <w:rFonts w:ascii="Arial" w:cs="Arial" w:eastAsia="Arial" w:hAnsi="Arial"/>
          <w:sz w:val="21"/>
          <w:szCs w:val="21"/>
          <w:color w:val="auto"/>
        </w:rPr>
        <w:t>Employees, officers and directors must not accept, or permit any close relative to accept, any gifts, gratuities or other favors from any customers, suppliers or others doing or seeking to do business with the Company, other than items of nominal value. Any gifts that are not of nominal value should be returned immediately and reported to your supervisor. If immediate return is not practical, they should be given to the Company for charitable disposition or such other disposition as the Company believes appropriate in its sole discretion.</w:t>
      </w:r>
    </w:p>
    <w:p>
      <w:pPr>
        <w:spacing w:after="0" w:line="159"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Bribes and kickbacks are criminal acts, strictly prohibited by law. No Company employee may offer, give, solicit or receive any form of bribe or kickback. Bribes shall be interpreted in the broadest sense to include any type of preferential treatment secured by providing, directly or indirectly, an individual or his or her family members or associates with personal gain in relation to business conducted by or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20"/>
          </w:cols>
          <w:pgMar w:left="320" w:top="1401" w:right="35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color w:val="auto"/>
        </w:rPr>
        <w:t>Accuracy of Books and Records and Public Reports</w:t>
      </w:r>
    </w:p>
    <w:p>
      <w:pPr>
        <w:spacing w:after="0" w:line="185" w:lineRule="exact"/>
        <w:rPr>
          <w:sz w:val="20"/>
          <w:szCs w:val="20"/>
          <w:color w:val="auto"/>
        </w:rPr>
      </w:pPr>
    </w:p>
    <w:p>
      <w:pPr>
        <w:ind w:right="100" w:firstLine="648"/>
        <w:spacing w:after="0" w:line="223" w:lineRule="auto"/>
        <w:rPr>
          <w:sz w:val="20"/>
          <w:szCs w:val="20"/>
          <w:color w:val="auto"/>
        </w:rPr>
      </w:pPr>
      <w:r>
        <w:rPr>
          <w:rFonts w:ascii="Arial" w:cs="Arial" w:eastAsia="Arial" w:hAnsi="Arial"/>
          <w:sz w:val="22"/>
          <w:szCs w:val="22"/>
          <w:color w:val="auto"/>
        </w:rPr>
        <w:t>Employees, officers and directors must honestly and accurately report all business transactions. You are responsible for the accuracy of your records and reports. Accurate information is essential to the Company’s ability to meet legal and regulatory obligations.</w:t>
      </w:r>
    </w:p>
    <w:p>
      <w:pPr>
        <w:spacing w:after="0" w:line="159"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All Company books, records and accounts shall be maintained in accordance with all applicable regulations and standards and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w:t>
      </w:r>
    </w:p>
    <w:p>
      <w:pPr>
        <w:spacing w:after="0" w:line="149" w:lineRule="exact"/>
        <w:rPr>
          <w:sz w:val="20"/>
          <w:szCs w:val="20"/>
          <w:color w:val="auto"/>
        </w:rPr>
      </w:pPr>
    </w:p>
    <w:p>
      <w:pPr>
        <w:ind w:right="780" w:firstLine="648"/>
        <w:spacing w:after="0" w:line="298" w:lineRule="auto"/>
        <w:rPr>
          <w:sz w:val="20"/>
          <w:szCs w:val="20"/>
          <w:color w:val="auto"/>
        </w:rPr>
      </w:pPr>
      <w:r>
        <w:rPr>
          <w:rFonts w:ascii="Arial" w:cs="Arial" w:eastAsia="Arial" w:hAnsi="Arial"/>
          <w:sz w:val="19"/>
          <w:szCs w:val="19"/>
          <w:color w:val="auto"/>
        </w:rPr>
        <w:t>It is the policy of the Company to provide full, fair, accurate, timely and understandable disclosure in reports and documents filed with, or submitted to, the Securities and Exchange Commission and in other public communications.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Waivers of this Code of Business Conduct and Ethics</w:t>
      </w:r>
    </w:p>
    <w:p>
      <w:pPr>
        <w:spacing w:after="0" w:line="185" w:lineRule="exact"/>
        <w:rPr>
          <w:sz w:val="20"/>
          <w:szCs w:val="20"/>
          <w:color w:val="auto"/>
        </w:rPr>
      </w:pPr>
    </w:p>
    <w:p>
      <w:pPr>
        <w:ind w:right="40" w:firstLine="648"/>
        <w:spacing w:after="0" w:line="252" w:lineRule="auto"/>
        <w:rPr>
          <w:sz w:val="20"/>
          <w:szCs w:val="20"/>
          <w:color w:val="auto"/>
        </w:rPr>
      </w:pPr>
      <w:r>
        <w:rPr>
          <w:rFonts w:ascii="Arial" w:cs="Arial" w:eastAsia="Arial" w:hAnsi="Arial"/>
          <w:sz w:val="19"/>
          <w:szCs w:val="19"/>
          <w:color w:val="auto"/>
        </w:rPr>
        <w:t>While some of the policies contained in this Code must be strictly adhered to and no exceptions can be allowed, in other cases exceptions may be possible. Any employee or non-executive officer who believes that an exception to any of these policies is appropriate in his or her case should first contact his or her immediate supervisor. If the supervisor agrees that an exception is appropriate, the approval of the Regional Manager must be obtained. Each Regional Manager shall be responsible for maintaining a complete record of all requests for exceptions to any of these policies and the disposition of such requests.</w:t>
      </w:r>
    </w:p>
    <w:p>
      <w:pPr>
        <w:spacing w:after="0" w:line="149"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Any executive officer or director who seeks an exception to any of these policies should contact the Company’s General Counsel. Any waiver of this Code for executive officers or directors or any change to this Code that applies to executive officers or directors may be made only by the disinterested members of the Board of Directors of the Company and will be disclosed as required by applicable law or stock market regulation.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and Compliance Procedures</w:t>
      </w:r>
    </w:p>
    <w:p>
      <w:pPr>
        <w:spacing w:after="0" w:line="185" w:lineRule="exact"/>
        <w:rPr>
          <w:sz w:val="20"/>
          <w:szCs w:val="20"/>
          <w:color w:val="auto"/>
        </w:rPr>
      </w:pPr>
    </w:p>
    <w:p>
      <w:pPr>
        <w:ind w:right="220" w:firstLine="648"/>
        <w:spacing w:after="0" w:line="247" w:lineRule="auto"/>
        <w:rPr>
          <w:sz w:val="20"/>
          <w:szCs w:val="20"/>
          <w:color w:val="auto"/>
        </w:rPr>
      </w:pPr>
      <w:r>
        <w:rPr>
          <w:rFonts w:ascii="Arial" w:cs="Arial" w:eastAsia="Arial" w:hAnsi="Arial"/>
          <w:sz w:val="19"/>
          <w:szCs w:val="19"/>
          <w:color w:val="auto"/>
        </w:rPr>
        <w:t>Every employee, officer and director has the responsibility to ask questions, seek guidance, report suspected violations and express concerns regarding compliance with this Code. Any employee, officer or director who knows or believes that any other employee or representative of the Company has engaged or is engaging in Company-related conduct that violates applicable law or this Code should report such information via Lamar Safe Workplace by Convercent, as described below. You may report such conduct openly or anonymously without fear of retaliation. The Company will not discipline, discriminate against or retaliate against any employee who reports such conduct in good faith, whether or not such information is ultimately proven to be correct, or who cooperates in any investigation or inquiry regarding such conduct.</w:t>
      </w:r>
    </w:p>
    <w:p>
      <w:pPr>
        <w:spacing w:after="0" w:line="15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9"/>
          <w:szCs w:val="19"/>
          <w:color w:val="auto"/>
        </w:rPr>
        <w:t>You may report violations of this Code via Lamar Safe Workplace by Convercent, including on a confidential or anonymous basis, as follows: by logging on to (</w:t>
      </w:r>
      <w:r>
        <w:rPr>
          <w:rFonts w:ascii="Arial" w:cs="Arial" w:eastAsia="Arial" w:hAnsi="Arial"/>
          <w:sz w:val="19"/>
          <w:szCs w:val="19"/>
          <w:i w:val="1"/>
          <w:iCs w:val="1"/>
          <w:color w:val="auto"/>
        </w:rPr>
        <w:t>website</w:t>
      </w:r>
      <w:r>
        <w:rPr>
          <w:rFonts w:ascii="Arial" w:cs="Arial" w:eastAsia="Arial" w:hAnsi="Arial"/>
          <w:sz w:val="19"/>
          <w:szCs w:val="19"/>
          <w:color w:val="auto"/>
        </w:rPr>
        <w:t>) or by calling toll-free (</w:t>
      </w:r>
      <w:r>
        <w:rPr>
          <w:rFonts w:ascii="Arial" w:cs="Arial" w:eastAsia="Arial" w:hAnsi="Arial"/>
          <w:sz w:val="19"/>
          <w:szCs w:val="19"/>
          <w:i w:val="1"/>
          <w:iCs w:val="1"/>
          <w:color w:val="auto"/>
        </w:rPr>
        <w:t>phone number</w:t>
      </w:r>
      <w:r>
        <w:rPr>
          <w:rFonts w:ascii="Arial" w:cs="Arial" w:eastAsia="Arial" w:hAnsi="Arial"/>
          <w:sz w:val="19"/>
          <w:szCs w:val="19"/>
          <w:color w:val="auto"/>
        </w:rPr>
        <w:t>) 24 hours a day. While we prefer that you identify yourself when reporting violations so that we may follow up with you, as necessary, for additional information, you may leave messages anonymously if you wish. All violations or suspected violations of this Code reported to Lamar Safe Workplace by Convercent will be forwarded to the Company’s General Counsel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00"/>
          </w:cols>
          <w:pgMar w:left="320" w:top="1395" w:right="379" w:bottom="1440" w:gutter="0" w:footer="0" w:header="0"/>
        </w:sectPr>
      </w:pPr>
    </w:p>
    <w:bookmarkStart w:id="124" w:name="page125"/>
    <w:bookmarkEnd w:id="124"/>
    <w:p>
      <w:pPr>
        <w:ind w:firstLine="648"/>
        <w:spacing w:after="0" w:line="244" w:lineRule="auto"/>
        <w:rPr>
          <w:sz w:val="20"/>
          <w:szCs w:val="20"/>
          <w:color w:val="auto"/>
        </w:rPr>
      </w:pPr>
      <w:r>
        <w:rPr>
          <w:rFonts w:ascii="Arial" w:cs="Arial" w:eastAsia="Arial" w:hAnsi="Arial"/>
          <w:sz w:val="19"/>
          <w:szCs w:val="19"/>
          <w:color w:val="auto"/>
        </w:rPr>
        <w:t>If the Company’s General Counsel receives information regarding an alleged violation of this Code, he shall, as appropriate, (a) evaluate such information, (b) if the alleged violation involves an executive officer or a director, inform the Chief Executive Officer and Board of Directors of the alleged violation, (c) determine whether it is necessary to conduct an informal inquiry or a formal investigation and, if so, initiate such inquiry or investigation and (d) report the results of any such inquiry or investigation, together with a recommendation as to disposition of the matter, to the Chief Executive Officer for action, or if the alleged violation involves an executive officer or a director, report the results of any such inquiry or investigation to the Board of Directors or a committee thereof. Employees, officers and directors are expected to cooperate fully with any inquiry or investigation by the Company regarding an alleged violation of this Code. Failure to cooperate with any such inquiry or investigation may result in disciplinary action, up to and including discharge.</w:t>
      </w:r>
    </w:p>
    <w:p>
      <w:pPr>
        <w:spacing w:after="0" w:line="16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9"/>
          <w:szCs w:val="19"/>
          <w:color w:val="auto"/>
        </w:rPr>
        <w:t>The Company shall determine whether violations of this Code have occurred and, if so, shall determine the disciplinary measures to be taken against any employee who has violated this Code. In the event that the alleged violation involves an executive officer or a director, the disinterested members of the Board of Directors shall determine whether a violation of this Code has occurred and, if so, shall determine the disciplinary measures to be taken against such executive officer or director.</w:t>
      </w:r>
    </w:p>
    <w:p>
      <w:pPr>
        <w:spacing w:after="0" w:line="144" w:lineRule="exact"/>
        <w:rPr>
          <w:sz w:val="20"/>
          <w:szCs w:val="20"/>
          <w:color w:val="auto"/>
        </w:rPr>
      </w:pPr>
    </w:p>
    <w:p>
      <w:pPr>
        <w:ind w:right="20" w:firstLine="648"/>
        <w:spacing w:after="0" w:line="214" w:lineRule="auto"/>
        <w:rPr>
          <w:sz w:val="20"/>
          <w:szCs w:val="20"/>
          <w:color w:val="auto"/>
        </w:rPr>
      </w:pPr>
      <w:r>
        <w:rPr>
          <w:rFonts w:ascii="Arial" w:cs="Arial" w:eastAsia="Arial" w:hAnsi="Arial"/>
          <w:sz w:val="22"/>
          <w:szCs w:val="22"/>
          <w:color w:val="auto"/>
        </w:rPr>
        <w:t>Failure to comply with the standards outlined in this Code will result in disciplinary action including, but not limited to, reprimands, warnings, probation or suspension without pay, demotions, reductions in salary, discharge and restitution. Certain violations of this Code may require the Company to refer the matter to the appropriate criminal or civil authorities for investigation or prosecution. Moreover, any supervisor who directs or approves of any conduct in violation of this Code, or who has knowledge of such conduct and does not immediately report it, also will be subject to disciplinary action, up to and including discharge.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Concerns Regarding to Accounting or Audit Matters</w:t>
      </w:r>
    </w:p>
    <w:p>
      <w:pPr>
        <w:spacing w:after="0" w:line="185" w:lineRule="exact"/>
        <w:rPr>
          <w:sz w:val="20"/>
          <w:szCs w:val="20"/>
          <w:color w:val="auto"/>
        </w:rPr>
      </w:pPr>
    </w:p>
    <w:p>
      <w:pPr>
        <w:ind w:right="140" w:firstLine="648"/>
        <w:spacing w:after="0" w:line="229" w:lineRule="auto"/>
        <w:rPr>
          <w:sz w:val="20"/>
          <w:szCs w:val="20"/>
          <w:color w:val="auto"/>
        </w:rPr>
      </w:pPr>
      <w:r>
        <w:rPr>
          <w:rFonts w:ascii="Arial" w:cs="Arial" w:eastAsia="Arial" w:hAnsi="Arial"/>
          <w:sz w:val="21"/>
          <w:szCs w:val="21"/>
          <w:color w:val="auto"/>
        </w:rPr>
        <w:t>Employees with concerns regarding questionable accounting or auditing matters or complaints regarding accounting, internal accounting controls or auditing matters may confidentially, and anonymously if they wish, submit such concerns or complaints to Lamar Safe Workplace by Convercent as described above. See “Reporting and Compliance Procedures.” All such complaints will be forwarded to the Audit Committee of the Board of Directors.</w:t>
      </w:r>
    </w:p>
    <w:p>
      <w:pPr>
        <w:spacing w:after="0" w:line="158" w:lineRule="exact"/>
        <w:rPr>
          <w:sz w:val="20"/>
          <w:szCs w:val="20"/>
          <w:color w:val="auto"/>
        </w:rPr>
      </w:pPr>
    </w:p>
    <w:p>
      <w:pPr>
        <w:ind w:right="260" w:firstLine="648"/>
        <w:spacing w:after="0" w:line="232" w:lineRule="auto"/>
        <w:rPr>
          <w:sz w:val="20"/>
          <w:szCs w:val="20"/>
          <w:color w:val="auto"/>
        </w:rPr>
      </w:pPr>
      <w:r>
        <w:rPr>
          <w:rFonts w:ascii="Arial" w:cs="Arial" w:eastAsia="Arial" w:hAnsi="Arial"/>
          <w:sz w:val="22"/>
          <w:szCs w:val="22"/>
          <w:color w:val="auto"/>
        </w:rPr>
        <w:t>The Audit Committee will evaluate the merits of any complaints received by it and authorize such follow-up actions, if any, as it deems necessary or appropriate to address the substance of the complaint.</w:t>
      </w:r>
    </w:p>
    <w:p>
      <w:pPr>
        <w:spacing w:after="0" w:line="159"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The Company will not discipline, discriminate against or retaliate against any employee who reports a complaint or concern (unless the employee is found to have knowingly and willfully made a false report).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Dissemination and Amendment</w:t>
      </w:r>
    </w:p>
    <w:p>
      <w:pPr>
        <w:spacing w:after="0" w:line="185" w:lineRule="exact"/>
        <w:rPr>
          <w:sz w:val="20"/>
          <w:szCs w:val="20"/>
          <w:color w:val="auto"/>
        </w:rPr>
      </w:pPr>
    </w:p>
    <w:p>
      <w:pPr>
        <w:jc w:val="both"/>
        <w:ind w:right="480" w:firstLine="648"/>
        <w:spacing w:after="0" w:line="223" w:lineRule="auto"/>
        <w:rPr>
          <w:sz w:val="20"/>
          <w:szCs w:val="20"/>
          <w:color w:val="auto"/>
        </w:rPr>
      </w:pPr>
      <w:r>
        <w:rPr>
          <w:rFonts w:ascii="Arial" w:cs="Arial" w:eastAsia="Arial" w:hAnsi="Arial"/>
          <w:sz w:val="22"/>
          <w:szCs w:val="22"/>
          <w:color w:val="auto"/>
        </w:rPr>
        <w:t>This Code shall be distributed to each employee, officer and director of the Company. If requested by Company, any employee, officer and director shall be required to certify that he or she has received, read and understood the Code and has complied with its terms.</w:t>
      </w:r>
    </w:p>
    <w:p>
      <w:pPr>
        <w:spacing w:after="0" w:line="159" w:lineRule="exact"/>
        <w:rPr>
          <w:sz w:val="20"/>
          <w:szCs w:val="20"/>
          <w:color w:val="auto"/>
        </w:rPr>
      </w:pPr>
    </w:p>
    <w:p>
      <w:pPr>
        <w:ind w:right="560" w:firstLine="648"/>
        <w:spacing w:after="0" w:line="247" w:lineRule="auto"/>
        <w:rPr>
          <w:sz w:val="20"/>
          <w:szCs w:val="20"/>
          <w:color w:val="auto"/>
        </w:rPr>
      </w:pPr>
      <w:r>
        <w:rPr>
          <w:rFonts w:ascii="Arial" w:cs="Arial" w:eastAsia="Arial" w:hAnsi="Arial"/>
          <w:sz w:val="21"/>
          <w:szCs w:val="21"/>
          <w:color w:val="auto"/>
        </w:rPr>
        <w:t>The Company reserves the right to amend, alter or terminate this Code at any time for any reason. The most current version of this Code can be found in the Human Resources section of the Company’s Intranet.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00"/>
          </w:cols>
          <w:pgMar w:left="320" w:top="1401" w:right="379" w:bottom="1440" w:gutter="0" w:footer="0" w:header="0"/>
        </w:sectPr>
      </w:pPr>
    </w:p>
    <w:bookmarkStart w:id="125" w:name="page126"/>
    <w:bookmarkEnd w:id="125"/>
    <w:p>
      <w:pPr>
        <w:ind w:firstLine="648"/>
        <w:spacing w:after="0" w:line="232" w:lineRule="auto"/>
        <w:rPr>
          <w:sz w:val="20"/>
          <w:szCs w:val="20"/>
          <w:color w:val="auto"/>
        </w:rPr>
      </w:pPr>
      <w:r>
        <w:rPr>
          <w:rFonts w:ascii="Arial" w:cs="Arial" w:eastAsia="Arial" w:hAnsi="Arial"/>
          <w:sz w:val="22"/>
          <w:szCs w:val="22"/>
          <w:color w:val="auto"/>
        </w:rPr>
        <w:t>This document is not an employment contract between the Company and any of its employees, officers or directors and does not alter the Company’s at-will employment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0980"/>
          </w:cols>
          <w:pgMar w:left="320" w:top="1401" w:right="599" w:bottom="1440" w:gutter="0" w:footer="0" w:header="0"/>
        </w:sectPr>
      </w:pPr>
    </w:p>
    <w:bookmarkStart w:id="126" w:name="page127"/>
    <w:bookmarkEnd w:id="126"/>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APPENDIX A</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Conflict of Interest Rules</w:t>
      </w:r>
    </w:p>
    <w:p>
      <w:pPr>
        <w:spacing w:after="0" w:line="179"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Improper Conflicts of Interest</w:t>
      </w:r>
    </w:p>
    <w:p>
      <w:pPr>
        <w:spacing w:after="0" w:line="185" w:lineRule="exact"/>
        <w:rPr>
          <w:sz w:val="20"/>
          <w:szCs w:val="20"/>
          <w:color w:val="auto"/>
        </w:rPr>
      </w:pPr>
    </w:p>
    <w:p>
      <w:pPr>
        <w:ind w:firstLine="212"/>
        <w:spacing w:after="0" w:line="218" w:lineRule="auto"/>
        <w:rPr>
          <w:sz w:val="20"/>
          <w:szCs w:val="20"/>
          <w:color w:val="auto"/>
        </w:rPr>
      </w:pPr>
      <w:r>
        <w:rPr>
          <w:rFonts w:ascii="Arial" w:cs="Arial" w:eastAsia="Arial" w:hAnsi="Arial"/>
          <w:sz w:val="22"/>
          <w:szCs w:val="22"/>
          <w:color w:val="auto"/>
        </w:rPr>
        <w:t>The Board of Directors has adopted the following rules to aid in determining whether a relationship or transaction constitutes a conflict of interest. The board has determined that the following involve an improper conflict of interest under the Company’s Code of Business Conduct and Ethics. This list is not exhaustive and is subject to review and revision by the Board from time to time.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Employees and Executive Officers</w:t>
      </w:r>
      <w:r>
        <w:rPr>
          <w:rFonts w:ascii="Arial" w:cs="Arial" w:eastAsia="Arial" w:hAnsi="Arial"/>
          <w:sz w:val="22"/>
          <w:szCs w:val="22"/>
          <w:color w:val="auto"/>
        </w:rPr>
        <w:t>. Employees and executive officers must not:</w:t>
      </w:r>
    </w:p>
    <w:p>
      <w:pPr>
        <w:spacing w:after="0" w:line="179" w:lineRule="exact"/>
        <w:rPr>
          <w:sz w:val="20"/>
          <w:szCs w:val="20"/>
          <w:color w:val="auto"/>
        </w:rPr>
      </w:pPr>
    </w:p>
    <w:p>
      <w:pPr>
        <w:ind w:right="20" w:firstLine="224"/>
        <w:spacing w:after="0" w:line="223" w:lineRule="auto"/>
        <w:tabs>
          <w:tab w:leader="none" w:pos="6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perform services as an employee, officer, director, advisor, consultant (directly or through an entity) or in any other capacity for a significant customer, significant supplier or direct competitor of the Company, other than at the request, or with the prior approval, of the Company;</w:t>
      </w:r>
    </w:p>
    <w:p>
      <w:pPr>
        <w:spacing w:after="0" w:line="158" w:lineRule="exact"/>
        <w:rPr>
          <w:rFonts w:ascii="Arial" w:cs="Arial" w:eastAsia="Arial" w:hAnsi="Arial"/>
          <w:sz w:val="22"/>
          <w:szCs w:val="22"/>
          <w:color w:val="auto"/>
        </w:rPr>
      </w:pPr>
    </w:p>
    <w:p>
      <w:pPr>
        <w:ind w:right="440" w:firstLine="224"/>
        <w:spacing w:after="0" w:line="223" w:lineRule="auto"/>
        <w:tabs>
          <w:tab w:leader="none" w:pos="684" w:val="left"/>
        </w:tabs>
        <w:numPr>
          <w:ilvl w:val="0"/>
          <w:numId w:val="48"/>
        </w:numPr>
        <w:rPr>
          <w:rFonts w:ascii="Arial" w:cs="Arial" w:eastAsia="Arial" w:hAnsi="Arial"/>
          <w:sz w:val="22"/>
          <w:szCs w:val="22"/>
          <w:color w:val="auto"/>
        </w:rPr>
      </w:pPr>
      <w:r>
        <w:rPr>
          <w:rFonts w:ascii="Arial" w:cs="Arial" w:eastAsia="Arial" w:hAnsi="Arial"/>
          <w:sz w:val="22"/>
          <w:szCs w:val="22"/>
          <w:color w:val="auto"/>
        </w:rPr>
        <w:t>have a financial interest in a significant supplier or significant customer of the Company, other than an investment representing less than one percent (1%) of the voting power of a publicly-held company or less than five percent (5%) of the voting power of a privately-held company;</w:t>
      </w:r>
    </w:p>
    <w:p>
      <w:pPr>
        <w:spacing w:after="0" w:line="158" w:lineRule="exact"/>
        <w:rPr>
          <w:rFonts w:ascii="Arial" w:cs="Arial" w:eastAsia="Arial" w:hAnsi="Arial"/>
          <w:sz w:val="22"/>
          <w:szCs w:val="22"/>
          <w:color w:val="auto"/>
        </w:rPr>
      </w:pPr>
    </w:p>
    <w:p>
      <w:pPr>
        <w:ind w:right="600" w:firstLine="224"/>
        <w:spacing w:after="0" w:line="232" w:lineRule="auto"/>
        <w:tabs>
          <w:tab w:leader="none" w:pos="6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have a financial interest in a direct competitor of the Company, other than an investment representing less than one percent (1%) of the voting power of a publicly-held company; or</w:t>
      </w:r>
    </w:p>
    <w:p>
      <w:pPr>
        <w:spacing w:after="0" w:line="158" w:lineRule="exact"/>
        <w:rPr>
          <w:rFonts w:ascii="Arial" w:cs="Arial" w:eastAsia="Arial" w:hAnsi="Arial"/>
          <w:sz w:val="22"/>
          <w:szCs w:val="22"/>
          <w:color w:val="auto"/>
        </w:rPr>
      </w:pPr>
    </w:p>
    <w:p>
      <w:pPr>
        <w:ind w:right="260" w:firstLine="224"/>
        <w:spacing w:after="0" w:line="223" w:lineRule="auto"/>
        <w:tabs>
          <w:tab w:leader="none" w:pos="684"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induce or otherwise assist or participate, directly or indirectly, in a close relative’s involvement with or investment in a significant supplier, significant customer or direct competitor of the Company in a manner that would be prohibited for the employee or executive officer under any of the prohibited activities listed above.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Non-Employee Directors</w:t>
      </w:r>
      <w:r>
        <w:rPr>
          <w:rFonts w:ascii="Arial" w:cs="Arial" w:eastAsia="Arial" w:hAnsi="Arial"/>
          <w:sz w:val="22"/>
          <w:szCs w:val="22"/>
          <w:color w:val="auto"/>
        </w:rPr>
        <w:t>. A non-employee director must not:</w:t>
      </w:r>
    </w:p>
    <w:p>
      <w:pPr>
        <w:spacing w:after="0" w:line="179" w:lineRule="exact"/>
        <w:rPr>
          <w:sz w:val="20"/>
          <w:szCs w:val="20"/>
          <w:color w:val="auto"/>
        </w:rPr>
      </w:pPr>
    </w:p>
    <w:p>
      <w:pPr>
        <w:ind w:right="580" w:firstLine="224"/>
        <w:spacing w:after="0" w:line="232" w:lineRule="auto"/>
        <w:tabs>
          <w:tab w:leader="none" w:pos="672" w:val="left"/>
        </w:tabs>
        <w:numPr>
          <w:ilvl w:val="0"/>
          <w:numId w:val="49"/>
        </w:numPr>
        <w:rPr>
          <w:rFonts w:ascii="Arial" w:cs="Arial" w:eastAsia="Arial" w:hAnsi="Arial"/>
          <w:sz w:val="22"/>
          <w:szCs w:val="22"/>
          <w:color w:val="auto"/>
        </w:rPr>
      </w:pPr>
      <w:r>
        <w:rPr>
          <w:rFonts w:ascii="Arial" w:cs="Arial" w:eastAsia="Arial" w:hAnsi="Arial"/>
          <w:sz w:val="22"/>
          <w:szCs w:val="22"/>
          <w:color w:val="auto"/>
        </w:rPr>
        <w:t>perform services as an employee, officer, director, advisor, consultant (directly or through an entity) or in any other capacity for a direct competitor of the Company;</w:t>
      </w:r>
    </w:p>
    <w:p>
      <w:pPr>
        <w:spacing w:after="0" w:line="158" w:lineRule="exact"/>
        <w:rPr>
          <w:rFonts w:ascii="Arial" w:cs="Arial" w:eastAsia="Arial" w:hAnsi="Arial"/>
          <w:sz w:val="22"/>
          <w:szCs w:val="22"/>
          <w:color w:val="auto"/>
        </w:rPr>
      </w:pPr>
    </w:p>
    <w:p>
      <w:pPr>
        <w:ind w:right="580" w:firstLine="224"/>
        <w:spacing w:after="0" w:line="232" w:lineRule="auto"/>
        <w:tabs>
          <w:tab w:leader="none" w:pos="684" w:val="left"/>
        </w:tabs>
        <w:numPr>
          <w:ilvl w:val="0"/>
          <w:numId w:val="49"/>
        </w:numPr>
        <w:rPr>
          <w:rFonts w:ascii="Arial" w:cs="Arial" w:eastAsia="Arial" w:hAnsi="Arial"/>
          <w:sz w:val="22"/>
          <w:szCs w:val="22"/>
          <w:color w:val="auto"/>
        </w:rPr>
      </w:pPr>
      <w:r>
        <w:rPr>
          <w:rFonts w:ascii="Arial" w:cs="Arial" w:eastAsia="Arial" w:hAnsi="Arial"/>
          <w:sz w:val="22"/>
          <w:szCs w:val="22"/>
          <w:color w:val="auto"/>
        </w:rPr>
        <w:t>have a financial interest in a direct competitor of the Company, other than an investment representing less than one percent (1%) of the outstanding shares of a publicly-held company;</w:t>
      </w:r>
    </w:p>
    <w:p>
      <w:pPr>
        <w:spacing w:after="0" w:line="158" w:lineRule="exact"/>
        <w:rPr>
          <w:rFonts w:ascii="Arial" w:cs="Arial" w:eastAsia="Arial" w:hAnsi="Arial"/>
          <w:sz w:val="22"/>
          <w:szCs w:val="22"/>
          <w:color w:val="auto"/>
        </w:rPr>
      </w:pPr>
    </w:p>
    <w:p>
      <w:pPr>
        <w:ind w:right="220" w:firstLine="224"/>
        <w:spacing w:after="0" w:line="232" w:lineRule="auto"/>
        <w:tabs>
          <w:tab w:leader="none" w:pos="672" w:val="left"/>
        </w:tabs>
        <w:numPr>
          <w:ilvl w:val="0"/>
          <w:numId w:val="49"/>
        </w:numPr>
        <w:rPr>
          <w:rFonts w:ascii="Arial" w:cs="Arial" w:eastAsia="Arial" w:hAnsi="Arial"/>
          <w:sz w:val="22"/>
          <w:szCs w:val="22"/>
          <w:color w:val="auto"/>
        </w:rPr>
      </w:pPr>
      <w:r>
        <w:rPr>
          <w:rFonts w:ascii="Arial" w:cs="Arial" w:eastAsia="Arial" w:hAnsi="Arial"/>
          <w:sz w:val="22"/>
          <w:szCs w:val="22"/>
          <w:color w:val="auto"/>
        </w:rPr>
        <w:t>use his or her position with the Company to influence any decision of the Company relating to a contract or transaction with a supplier or customer of the Company if the director or a close relative of the director:</w:t>
      </w:r>
    </w:p>
    <w:p>
      <w:pPr>
        <w:spacing w:after="0" w:line="158" w:lineRule="exact"/>
        <w:rPr>
          <w:rFonts w:ascii="Arial" w:cs="Arial" w:eastAsia="Arial" w:hAnsi="Arial"/>
          <w:sz w:val="22"/>
          <w:szCs w:val="22"/>
          <w:color w:val="auto"/>
        </w:rPr>
      </w:pPr>
    </w:p>
    <w:p>
      <w:pPr>
        <w:ind w:left="980" w:right="200" w:hanging="324"/>
        <w:spacing w:after="0" w:line="232" w:lineRule="auto"/>
        <w:tabs>
          <w:tab w:leader="none" w:pos="975" w:val="left"/>
        </w:tabs>
        <w:numPr>
          <w:ilvl w:val="1"/>
          <w:numId w:val="49"/>
        </w:numPr>
        <w:rPr>
          <w:rFonts w:ascii="Arial" w:cs="Arial" w:eastAsia="Arial" w:hAnsi="Arial"/>
          <w:sz w:val="22"/>
          <w:szCs w:val="22"/>
          <w:color w:val="auto"/>
        </w:rPr>
      </w:pPr>
      <w:r>
        <w:rPr>
          <w:rFonts w:ascii="Arial" w:cs="Arial" w:eastAsia="Arial" w:hAnsi="Arial"/>
          <w:sz w:val="22"/>
          <w:szCs w:val="22"/>
          <w:color w:val="auto"/>
        </w:rPr>
        <w:t>performs services as an employee, officer, director, advisor, consultant (directly or through an entity) or in any other capacity for such supplier or customer; or</w:t>
      </w:r>
    </w:p>
    <w:p>
      <w:pPr>
        <w:spacing w:after="0" w:line="158" w:lineRule="exact"/>
        <w:rPr>
          <w:rFonts w:ascii="Arial" w:cs="Arial" w:eastAsia="Arial" w:hAnsi="Arial"/>
          <w:sz w:val="22"/>
          <w:szCs w:val="22"/>
          <w:color w:val="auto"/>
        </w:rPr>
      </w:pPr>
    </w:p>
    <w:p>
      <w:pPr>
        <w:ind w:left="980" w:right="100" w:hanging="324"/>
        <w:spacing w:after="0" w:line="232" w:lineRule="auto"/>
        <w:tabs>
          <w:tab w:leader="none" w:pos="975" w:val="left"/>
        </w:tabs>
        <w:numPr>
          <w:ilvl w:val="1"/>
          <w:numId w:val="49"/>
        </w:numPr>
        <w:rPr>
          <w:rFonts w:ascii="Arial" w:cs="Arial" w:eastAsia="Arial" w:hAnsi="Arial"/>
          <w:sz w:val="22"/>
          <w:szCs w:val="22"/>
          <w:color w:val="auto"/>
        </w:rPr>
      </w:pPr>
      <w:r>
        <w:rPr>
          <w:rFonts w:ascii="Arial" w:cs="Arial" w:eastAsia="Arial" w:hAnsi="Arial"/>
          <w:sz w:val="22"/>
          <w:szCs w:val="22"/>
          <w:color w:val="auto"/>
        </w:rPr>
        <w:t>has a financial interest in such supplier or customer, other than an investment representing less than one percent (1%) of the outstanding shares of a publicly-held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5" w:lineRule="exact"/>
        <w:rPr>
          <w:rFonts w:ascii="Arial" w:cs="Arial" w:eastAsia="Arial" w:hAnsi="Arial"/>
          <w:sz w:val="22"/>
          <w:szCs w:val="22"/>
          <w:color w:val="auto"/>
        </w:rPr>
      </w:pPr>
    </w:p>
    <w:p>
      <w:pPr>
        <w:ind w:left="5580" w:hanging="136"/>
        <w:spacing w:after="0"/>
        <w:tabs>
          <w:tab w:leader="none" w:pos="5580" w:val="left"/>
        </w:tabs>
        <w:numPr>
          <w:ilvl w:val="2"/>
          <w:numId w:val="49"/>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00"/>
          </w:cols>
          <w:pgMar w:left="320" w:top="1440" w:right="379" w:bottom="1440" w:gutter="0" w:footer="0" w:header="0"/>
        </w:sectPr>
      </w:pPr>
    </w:p>
    <w:bookmarkStart w:id="127" w:name="page128"/>
    <w:bookmarkEnd w:id="127"/>
    <w:p>
      <w:pPr>
        <w:ind w:right="180" w:firstLine="224"/>
        <w:spacing w:after="0" w:line="223" w:lineRule="auto"/>
        <w:tabs>
          <w:tab w:leader="none" w:pos="68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induce or otherwise assist or participate, directly or indirectly, in a close relative’s involvement with or investment in a significant supplier, significant customer or direct competitor of the Company in a manner that would be prohibited for the non-employee director under any of the prohibited activities listed above.</w:t>
      </w:r>
    </w:p>
    <w:p>
      <w:pPr>
        <w:spacing w:after="0" w:line="159" w:lineRule="exact"/>
        <w:rPr>
          <w:sz w:val="20"/>
          <w:szCs w:val="20"/>
          <w:color w:val="auto"/>
        </w:rPr>
      </w:pPr>
    </w:p>
    <w:p>
      <w:pPr>
        <w:ind w:right="20" w:firstLine="648"/>
        <w:spacing w:after="0" w:line="220" w:lineRule="auto"/>
        <w:rPr>
          <w:sz w:val="20"/>
          <w:szCs w:val="20"/>
          <w:color w:val="auto"/>
        </w:rPr>
      </w:pPr>
      <w:r>
        <w:rPr>
          <w:rFonts w:ascii="Arial" w:cs="Arial" w:eastAsia="Arial" w:hAnsi="Arial"/>
          <w:sz w:val="21"/>
          <w:szCs w:val="21"/>
          <w:color w:val="auto"/>
        </w:rPr>
        <w:t>A “close relative” of a person includes a spouse, parent, sibling, child, mother- or father-in-law, son- or daughter-in-law or brother- or sister-in-law, and any other relative living in the same home with the employee, officer or director. A “significant customer” is a customer that has made during the Company’s last full fiscal year, or proposes to make during the Company’s current fiscal year, payments to the Company for property or services in excess of five (5) percent of (i) the Company’s consolidated gross revenues for its last full fiscal year or (ii) the customer’s consolidated gross revenues for its last full fiscal year. A “significant supplier” is a supplier to which the Company has made during the Company’s last full fiscal year, or proposes to make during the Company’s current fiscal year, payments for property or services in excess of five (5) percent of (i) the Company’s consolidated gross revenues for its last full fiscal year or (ii) the supplier’s consolidated gross revenues for its last full fiscal year. A “direct competitor” is an entity principally engaged in the outdoor advertising business with which the Company competes.</w:t>
      </w:r>
    </w:p>
    <w:p>
      <w:pPr>
        <w:spacing w:after="0" w:line="156"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Potential Conflicts of Interest Requiring Disclosure</w:t>
      </w:r>
    </w:p>
    <w:p>
      <w:pPr>
        <w:spacing w:after="0" w:line="185" w:lineRule="exact"/>
        <w:rPr>
          <w:sz w:val="20"/>
          <w:szCs w:val="20"/>
          <w:color w:val="auto"/>
        </w:rPr>
      </w:pPr>
    </w:p>
    <w:p>
      <w:pPr>
        <w:jc w:val="both"/>
        <w:ind w:firstLine="266"/>
        <w:spacing w:after="0" w:line="223" w:lineRule="auto"/>
        <w:rPr>
          <w:sz w:val="20"/>
          <w:szCs w:val="20"/>
          <w:color w:val="auto"/>
        </w:rPr>
      </w:pPr>
      <w:r>
        <w:rPr>
          <w:rFonts w:ascii="Arial" w:cs="Arial" w:eastAsia="Arial" w:hAnsi="Arial"/>
          <w:sz w:val="22"/>
          <w:szCs w:val="22"/>
          <w:color w:val="auto"/>
        </w:rPr>
        <w:t>The Board of Directors has determined that the following involve potential conflicts of interest that must be disclosed under the Company’s Code of Business Conduct and Ethics and then addressed in any manner determined in accordance with the procedures thereunder:</w:t>
      </w:r>
    </w:p>
    <w:p>
      <w:pPr>
        <w:spacing w:after="0" w:line="186" w:lineRule="exact"/>
        <w:rPr>
          <w:sz w:val="20"/>
          <w:szCs w:val="20"/>
          <w:color w:val="auto"/>
        </w:rPr>
      </w:pPr>
    </w:p>
    <w:p>
      <w:pPr>
        <w:ind w:left="980" w:right="40" w:hanging="324"/>
        <w:spacing w:after="0" w:line="234" w:lineRule="auto"/>
        <w:tabs>
          <w:tab w:leader="none" w:pos="974" w:val="left"/>
        </w:tabs>
        <w:numPr>
          <w:ilvl w:val="0"/>
          <w:numId w:val="52"/>
        </w:numPr>
        <w:rPr>
          <w:rFonts w:ascii="Arial" w:cs="Arial" w:eastAsia="Arial" w:hAnsi="Arial"/>
          <w:sz w:val="23"/>
          <w:szCs w:val="23"/>
          <w:color w:val="auto"/>
        </w:rPr>
      </w:pPr>
      <w:r>
        <w:rPr>
          <w:rFonts w:ascii="Arial" w:cs="Arial" w:eastAsia="Arial" w:hAnsi="Arial"/>
          <w:sz w:val="20"/>
          <w:szCs w:val="20"/>
          <w:color w:val="auto"/>
        </w:rPr>
        <w:t>An employee, executive officer or director has a close relative who serves as an officer or director of a significant supplier, significant customer or direct competitor of the Company and such service would have been prohibited if the employee, executive officer or director were serving in that role under Section 1 of these rules.</w:t>
      </w:r>
    </w:p>
    <w:p>
      <w:pPr>
        <w:spacing w:after="0" w:line="184" w:lineRule="exact"/>
        <w:rPr>
          <w:rFonts w:ascii="Arial" w:cs="Arial" w:eastAsia="Arial" w:hAnsi="Arial"/>
          <w:sz w:val="23"/>
          <w:szCs w:val="23"/>
          <w:color w:val="auto"/>
        </w:rPr>
      </w:pPr>
    </w:p>
    <w:p>
      <w:pPr>
        <w:jc w:val="both"/>
        <w:ind w:left="980" w:right="340" w:hanging="324"/>
        <w:spacing w:after="0" w:line="213" w:lineRule="auto"/>
        <w:tabs>
          <w:tab w:leader="none" w:pos="974" w:val="left"/>
        </w:tabs>
        <w:numPr>
          <w:ilvl w:val="0"/>
          <w:numId w:val="52"/>
        </w:numPr>
        <w:rPr>
          <w:rFonts w:ascii="Arial" w:cs="Arial" w:eastAsia="Arial" w:hAnsi="Arial"/>
          <w:sz w:val="25"/>
          <w:szCs w:val="25"/>
          <w:color w:val="auto"/>
        </w:rPr>
      </w:pPr>
      <w:r>
        <w:rPr>
          <w:rFonts w:ascii="Arial" w:cs="Arial" w:eastAsia="Arial" w:hAnsi="Arial"/>
          <w:sz w:val="22"/>
          <w:szCs w:val="22"/>
          <w:color w:val="auto"/>
        </w:rPr>
        <w:t>Any other material financial interest of an employee, executive officer or director in connection with any business relationship with the Company or any similar interest of a close relative of any of them that is known to the related employee, executive officer or director.</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55" w:lineRule="exact"/>
        <w:rPr>
          <w:rFonts w:ascii="Arial" w:cs="Arial" w:eastAsia="Arial" w:hAnsi="Arial"/>
          <w:sz w:val="25"/>
          <w:szCs w:val="25"/>
          <w:color w:val="auto"/>
        </w:rPr>
      </w:pPr>
    </w:p>
    <w:p>
      <w:pPr>
        <w:ind w:left="5580" w:hanging="136"/>
        <w:spacing w:after="0"/>
        <w:tabs>
          <w:tab w:leader="none" w:pos="55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240"/>
          </w:cols>
          <w:pgMar w:left="320" w:top="1401"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2"/>
          <w:szCs w:val="22"/>
          <w:b w:val="1"/>
          <w:bCs w:val="1"/>
          <w:color w:val="auto"/>
        </w:rPr>
        <w:t>APPENDIX B</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Procedures for Determining Conflicts of Interest and Waivers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216"/>
        <w:spacing w:after="0" w:line="232" w:lineRule="auto"/>
        <w:rPr>
          <w:sz w:val="20"/>
          <w:szCs w:val="20"/>
          <w:color w:val="auto"/>
        </w:rPr>
      </w:pPr>
      <w:r>
        <w:rPr>
          <w:rFonts w:ascii="Arial" w:cs="Arial" w:eastAsia="Arial" w:hAnsi="Arial"/>
          <w:sz w:val="22"/>
          <w:szCs w:val="22"/>
          <w:color w:val="auto"/>
        </w:rPr>
        <w:t>In determining whether a conflict of interest exists and whether to waive a Code of Business Conduct and Ethics provision in a particular circumstance, the board should also consider:</w:t>
      </w:r>
    </w:p>
    <w:p>
      <w:pPr>
        <w:spacing w:after="0" w:line="180" w:lineRule="exact"/>
        <w:rPr>
          <w:sz w:val="20"/>
          <w:szCs w:val="20"/>
          <w:color w:val="auto"/>
        </w:rPr>
      </w:pPr>
    </w:p>
    <w:p>
      <w:pPr>
        <w:ind w:left="980" w:hanging="324"/>
        <w:spacing w:after="0" w:line="233" w:lineRule="auto"/>
        <w:tabs>
          <w:tab w:leader="none" w:pos="974" w:val="left"/>
        </w:tabs>
        <w:numPr>
          <w:ilvl w:val="0"/>
          <w:numId w:val="53"/>
        </w:numPr>
        <w:rPr>
          <w:rFonts w:ascii="Arial" w:cs="Arial" w:eastAsia="Arial" w:hAnsi="Arial"/>
          <w:sz w:val="23"/>
          <w:szCs w:val="23"/>
          <w:color w:val="auto"/>
        </w:rPr>
      </w:pPr>
      <w:r>
        <w:rPr>
          <w:rFonts w:ascii="Arial" w:cs="Arial" w:eastAsia="Arial" w:hAnsi="Arial"/>
          <w:sz w:val="20"/>
          <w:szCs w:val="20"/>
          <w:b w:val="1"/>
          <w:bCs w:val="1"/>
          <w:color w:val="auto"/>
        </w:rPr>
        <w:t xml:space="preserve">the person involved in the potential conflict </w:t>
      </w:r>
      <w:r>
        <w:rPr>
          <w:rFonts w:ascii="Arial" w:cs="Arial" w:eastAsia="Arial" w:hAnsi="Arial"/>
          <w:sz w:val="20"/>
          <w:szCs w:val="20"/>
          <w:color w:val="auto"/>
        </w:rPr>
        <w:t>(For example, whether the person is an executive officer or a director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if a director of the Company, whether the person is an independent director. The more peripheral the person’s relationship to the Company is, the less likely that person is to influence the Company’s day-to-day operations and therefore the less likely the circumstance is to be disadvantageous to the Company);</w:t>
      </w:r>
    </w:p>
    <w:p>
      <w:pPr>
        <w:spacing w:after="0" w:line="180" w:lineRule="exact"/>
        <w:rPr>
          <w:rFonts w:ascii="Arial" w:cs="Arial" w:eastAsia="Arial" w:hAnsi="Arial"/>
          <w:sz w:val="23"/>
          <w:szCs w:val="23"/>
          <w:color w:val="auto"/>
        </w:rPr>
      </w:pPr>
    </w:p>
    <w:p>
      <w:pPr>
        <w:ind w:left="980" w:hanging="324"/>
        <w:spacing w:after="0" w:line="229" w:lineRule="auto"/>
        <w:tabs>
          <w:tab w:leader="none" w:pos="974" w:val="left"/>
        </w:tabs>
        <w:numPr>
          <w:ilvl w:val="0"/>
          <w:numId w:val="53"/>
        </w:numPr>
        <w:rPr>
          <w:rFonts w:ascii="Arial" w:cs="Arial" w:eastAsia="Arial" w:hAnsi="Arial"/>
          <w:sz w:val="23"/>
          <w:szCs w:val="23"/>
          <w:color w:val="auto"/>
        </w:rPr>
      </w:pPr>
      <w:r>
        <w:rPr>
          <w:rFonts w:ascii="Arial" w:cs="Arial" w:eastAsia="Arial" w:hAnsi="Arial"/>
          <w:sz w:val="20"/>
          <w:szCs w:val="20"/>
          <w:b w:val="1"/>
          <w:bCs w:val="1"/>
          <w:color w:val="auto"/>
        </w:rPr>
        <w:t xml:space="preserve">the nature of the relationship or situation creating the potential conflict of interest </w:t>
      </w:r>
      <w:r>
        <w:rPr>
          <w:rFonts w:ascii="Arial" w:cs="Arial" w:eastAsia="Arial" w:hAnsi="Arial"/>
          <w:sz w:val="20"/>
          <w:szCs w:val="20"/>
          <w:color w:val="auto"/>
        </w:rPr>
        <w:t>(For example, does the issue</w:t>
      </w:r>
      <w:r>
        <w:rPr>
          <w:rFonts w:ascii="Arial" w:cs="Arial" w:eastAsia="Arial" w:hAnsi="Arial"/>
          <w:sz w:val="20"/>
          <w:szCs w:val="20"/>
          <w:b w:val="1"/>
          <w:bCs w:val="1"/>
          <w:color w:val="auto"/>
        </w:rPr>
        <w:t xml:space="preserve"> </w:t>
      </w:r>
      <w:r>
        <w:rPr>
          <w:rFonts w:ascii="Arial" w:cs="Arial" w:eastAsia="Arial" w:hAnsi="Arial"/>
          <w:sz w:val="20"/>
          <w:szCs w:val="20"/>
          <w:color w:val="auto"/>
        </w:rPr>
        <w:t>arise because the person serves as an executive officer of the Company and a director of a contracting party with the Company? Is the person a director of the Company and an executive officer of a contracting party with the Company? Is the person a director of the Company and a director of a contracting party with the Company? Or is the director or executive officer of the Company related to a person that is a director or executive officer of the contracting party with the Company? The more peripheral the relationship of the person to either of the companies involved, the less likely that person is able to influence either company’s day-to-day decisions and therefore the less likely the relationship or activity is to be disadvantageous to the Company);</w:t>
      </w:r>
    </w:p>
    <w:p>
      <w:pPr>
        <w:spacing w:after="0" w:line="182" w:lineRule="exact"/>
        <w:rPr>
          <w:rFonts w:ascii="Arial" w:cs="Arial" w:eastAsia="Arial" w:hAnsi="Arial"/>
          <w:sz w:val="23"/>
          <w:szCs w:val="23"/>
          <w:color w:val="auto"/>
        </w:rPr>
      </w:pPr>
    </w:p>
    <w:p>
      <w:pPr>
        <w:ind w:left="980" w:right="100" w:hanging="324"/>
        <w:spacing w:after="0" w:line="215" w:lineRule="auto"/>
        <w:tabs>
          <w:tab w:leader="none" w:pos="974" w:val="left"/>
        </w:tabs>
        <w:numPr>
          <w:ilvl w:val="0"/>
          <w:numId w:val="53"/>
        </w:numPr>
        <w:rPr>
          <w:rFonts w:ascii="Arial" w:cs="Arial" w:eastAsia="Arial" w:hAnsi="Arial"/>
          <w:sz w:val="25"/>
          <w:szCs w:val="25"/>
          <w:color w:val="auto"/>
        </w:rPr>
      </w:pPr>
      <w:r>
        <w:rPr>
          <w:rFonts w:ascii="Arial" w:cs="Arial" w:eastAsia="Arial" w:hAnsi="Arial"/>
          <w:sz w:val="22"/>
          <w:szCs w:val="22"/>
          <w:b w:val="1"/>
          <w:bCs w:val="1"/>
          <w:color w:val="auto"/>
        </w:rPr>
        <w:t xml:space="preserve">the nature of the company with which the director or executive officer is affiliated </w:t>
      </w:r>
      <w:r>
        <w:rPr>
          <w:rFonts w:ascii="Arial" w:cs="Arial" w:eastAsia="Arial" w:hAnsi="Arial"/>
          <w:sz w:val="22"/>
          <w:szCs w:val="22"/>
          <w:color w:val="auto"/>
        </w:rPr>
        <w:t>(For example,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 competitor of the Company or a collaborator or a supplier or customer, and how significant a competitor, collaborator supplier or customer is the company?);</w:t>
      </w:r>
    </w:p>
    <w:p>
      <w:pPr>
        <w:spacing w:after="0" w:line="173" w:lineRule="exact"/>
        <w:rPr>
          <w:rFonts w:ascii="Arial" w:cs="Arial" w:eastAsia="Arial" w:hAnsi="Arial"/>
          <w:sz w:val="25"/>
          <w:szCs w:val="25"/>
          <w:color w:val="auto"/>
        </w:rPr>
      </w:pPr>
    </w:p>
    <w:p>
      <w:pPr>
        <w:ind w:left="980" w:hanging="324"/>
        <w:spacing w:after="0"/>
        <w:tabs>
          <w:tab w:leader="none" w:pos="980" w:val="left"/>
        </w:tabs>
        <w:numPr>
          <w:ilvl w:val="0"/>
          <w:numId w:val="53"/>
        </w:numPr>
        <w:rPr>
          <w:rFonts w:ascii="Arial" w:cs="Arial" w:eastAsia="Arial" w:hAnsi="Arial"/>
          <w:sz w:val="25"/>
          <w:szCs w:val="25"/>
          <w:color w:val="auto"/>
        </w:rPr>
      </w:pPr>
      <w:r>
        <w:rPr>
          <w:rFonts w:ascii="Arial" w:cs="Arial" w:eastAsia="Arial" w:hAnsi="Arial"/>
          <w:sz w:val="22"/>
          <w:szCs w:val="22"/>
          <w:b w:val="1"/>
          <w:bCs w:val="1"/>
          <w:color w:val="auto"/>
        </w:rPr>
        <w:t>the nature of any proposed transaction</w:t>
      </w:r>
      <w:r>
        <w:rPr>
          <w:rFonts w:ascii="Arial" w:cs="Arial" w:eastAsia="Arial" w:hAnsi="Arial"/>
          <w:sz w:val="22"/>
          <w:szCs w:val="22"/>
          <w:color w:val="auto"/>
        </w:rPr>
        <w:t>, including:</w:t>
      </w:r>
    </w:p>
    <w:p>
      <w:pPr>
        <w:spacing w:after="0" w:line="171" w:lineRule="exact"/>
        <w:rPr>
          <w:rFonts w:ascii="Arial" w:cs="Arial" w:eastAsia="Arial" w:hAnsi="Arial"/>
          <w:sz w:val="25"/>
          <w:szCs w:val="25"/>
          <w:color w:val="auto"/>
        </w:rPr>
      </w:pPr>
    </w:p>
    <w:p>
      <w:pPr>
        <w:ind w:left="1620" w:hanging="316"/>
        <w:spacing w:after="0"/>
        <w:tabs>
          <w:tab w:leader="none" w:pos="1620" w:val="left"/>
        </w:tabs>
        <w:numPr>
          <w:ilvl w:val="1"/>
          <w:numId w:val="53"/>
        </w:numPr>
        <w:rPr>
          <w:rFonts w:ascii="Arial" w:cs="Arial" w:eastAsia="Arial" w:hAnsi="Arial"/>
          <w:sz w:val="25"/>
          <w:szCs w:val="25"/>
          <w:color w:val="auto"/>
        </w:rPr>
      </w:pPr>
      <w:r>
        <w:rPr>
          <w:rFonts w:ascii="Arial" w:cs="Arial" w:eastAsia="Arial" w:hAnsi="Arial"/>
          <w:sz w:val="22"/>
          <w:szCs w:val="22"/>
          <w:color w:val="auto"/>
        </w:rPr>
        <w:t>the size of the transaction,</w:t>
      </w:r>
    </w:p>
    <w:p>
      <w:pPr>
        <w:spacing w:after="0" w:line="183" w:lineRule="exact"/>
        <w:rPr>
          <w:rFonts w:ascii="Arial" w:cs="Arial" w:eastAsia="Arial" w:hAnsi="Arial"/>
          <w:sz w:val="25"/>
          <w:szCs w:val="25"/>
          <w:color w:val="auto"/>
        </w:rPr>
      </w:pPr>
    </w:p>
    <w:p>
      <w:pPr>
        <w:ind w:left="1620" w:hanging="316"/>
        <w:spacing w:after="0"/>
        <w:tabs>
          <w:tab w:leader="none" w:pos="1620" w:val="left"/>
        </w:tabs>
        <w:numPr>
          <w:ilvl w:val="1"/>
          <w:numId w:val="53"/>
        </w:numPr>
        <w:rPr>
          <w:rFonts w:ascii="Arial" w:cs="Arial" w:eastAsia="Arial" w:hAnsi="Arial"/>
          <w:sz w:val="24"/>
          <w:szCs w:val="24"/>
          <w:color w:val="auto"/>
        </w:rPr>
      </w:pPr>
      <w:r>
        <w:rPr>
          <w:rFonts w:ascii="Arial" w:cs="Arial" w:eastAsia="Arial" w:hAnsi="Arial"/>
          <w:sz w:val="21"/>
          <w:szCs w:val="21"/>
          <w:color w:val="auto"/>
        </w:rPr>
        <w:t>whether the Company has engaged in this type of transaction before, either with this party or others,</w:t>
      </w:r>
    </w:p>
    <w:p>
      <w:pPr>
        <w:spacing w:after="0" w:line="171" w:lineRule="exact"/>
        <w:rPr>
          <w:rFonts w:ascii="Arial" w:cs="Arial" w:eastAsia="Arial" w:hAnsi="Arial"/>
          <w:sz w:val="24"/>
          <w:szCs w:val="24"/>
          <w:color w:val="auto"/>
        </w:rPr>
      </w:pPr>
    </w:p>
    <w:p>
      <w:pPr>
        <w:ind w:left="1620" w:hanging="316"/>
        <w:spacing w:after="0"/>
        <w:tabs>
          <w:tab w:leader="none" w:pos="1620" w:val="left"/>
        </w:tabs>
        <w:numPr>
          <w:ilvl w:val="1"/>
          <w:numId w:val="53"/>
        </w:numPr>
        <w:rPr>
          <w:rFonts w:ascii="Arial" w:cs="Arial" w:eastAsia="Arial" w:hAnsi="Arial"/>
          <w:sz w:val="25"/>
          <w:szCs w:val="25"/>
          <w:color w:val="auto"/>
        </w:rPr>
      </w:pPr>
      <w:r>
        <w:rPr>
          <w:rFonts w:ascii="Arial" w:cs="Arial" w:eastAsia="Arial" w:hAnsi="Arial"/>
          <w:sz w:val="22"/>
          <w:szCs w:val="22"/>
          <w:color w:val="auto"/>
        </w:rPr>
        <w:t>other connections with the other party,</w:t>
      </w:r>
    </w:p>
    <w:p>
      <w:pPr>
        <w:spacing w:after="0" w:line="171" w:lineRule="exact"/>
        <w:rPr>
          <w:rFonts w:ascii="Arial" w:cs="Arial" w:eastAsia="Arial" w:hAnsi="Arial"/>
          <w:sz w:val="25"/>
          <w:szCs w:val="25"/>
          <w:color w:val="auto"/>
        </w:rPr>
      </w:pPr>
    </w:p>
    <w:p>
      <w:pPr>
        <w:ind w:left="1620" w:hanging="316"/>
        <w:spacing w:after="0"/>
        <w:tabs>
          <w:tab w:leader="none" w:pos="1620" w:val="left"/>
        </w:tabs>
        <w:numPr>
          <w:ilvl w:val="1"/>
          <w:numId w:val="53"/>
        </w:numPr>
        <w:rPr>
          <w:rFonts w:ascii="Arial" w:cs="Arial" w:eastAsia="Arial" w:hAnsi="Arial"/>
          <w:sz w:val="25"/>
          <w:szCs w:val="25"/>
          <w:color w:val="auto"/>
        </w:rPr>
      </w:pPr>
      <w:r>
        <w:rPr>
          <w:rFonts w:ascii="Arial" w:cs="Arial" w:eastAsia="Arial" w:hAnsi="Arial"/>
          <w:sz w:val="22"/>
          <w:szCs w:val="22"/>
          <w:color w:val="auto"/>
        </w:rPr>
        <w:t>leverage of the other party,</w:t>
      </w:r>
    </w:p>
    <w:p>
      <w:pPr>
        <w:spacing w:after="0" w:line="171" w:lineRule="exact"/>
        <w:rPr>
          <w:rFonts w:ascii="Arial" w:cs="Arial" w:eastAsia="Arial" w:hAnsi="Arial"/>
          <w:sz w:val="25"/>
          <w:szCs w:val="25"/>
          <w:color w:val="auto"/>
        </w:rPr>
      </w:pPr>
    </w:p>
    <w:p>
      <w:pPr>
        <w:ind w:left="1620" w:hanging="316"/>
        <w:spacing w:after="0"/>
        <w:tabs>
          <w:tab w:leader="none" w:pos="1620" w:val="left"/>
        </w:tabs>
        <w:numPr>
          <w:ilvl w:val="1"/>
          <w:numId w:val="53"/>
        </w:numPr>
        <w:rPr>
          <w:rFonts w:ascii="Arial" w:cs="Arial" w:eastAsia="Arial" w:hAnsi="Arial"/>
          <w:sz w:val="25"/>
          <w:szCs w:val="25"/>
          <w:color w:val="auto"/>
        </w:rPr>
      </w:pPr>
      <w:r>
        <w:rPr>
          <w:rFonts w:ascii="Arial" w:cs="Arial" w:eastAsia="Arial" w:hAnsi="Arial"/>
          <w:sz w:val="22"/>
          <w:szCs w:val="22"/>
          <w:color w:val="auto"/>
        </w:rPr>
        <w:t>whether there were unusual terms associated with the transaction, and</w:t>
      </w:r>
    </w:p>
    <w:p>
      <w:pPr>
        <w:spacing w:after="0" w:line="184" w:lineRule="exact"/>
        <w:rPr>
          <w:rFonts w:ascii="Arial" w:cs="Arial" w:eastAsia="Arial" w:hAnsi="Arial"/>
          <w:sz w:val="25"/>
          <w:szCs w:val="25"/>
          <w:color w:val="auto"/>
        </w:rPr>
      </w:pPr>
    </w:p>
    <w:p>
      <w:pPr>
        <w:ind w:left="1620" w:right="240" w:hanging="316"/>
        <w:spacing w:after="0" w:line="217" w:lineRule="auto"/>
        <w:tabs>
          <w:tab w:leader="none" w:pos="1614" w:val="left"/>
        </w:tabs>
        <w:numPr>
          <w:ilvl w:val="1"/>
          <w:numId w:val="53"/>
        </w:numPr>
        <w:rPr>
          <w:rFonts w:ascii="Arial" w:cs="Arial" w:eastAsia="Arial" w:hAnsi="Arial"/>
          <w:sz w:val="25"/>
          <w:szCs w:val="25"/>
          <w:color w:val="auto"/>
        </w:rPr>
      </w:pPr>
      <w:r>
        <w:rPr>
          <w:rFonts w:ascii="Arial" w:cs="Arial" w:eastAsia="Arial" w:hAnsi="Arial"/>
          <w:sz w:val="22"/>
          <w:szCs w:val="22"/>
          <w:color w:val="auto"/>
        </w:rPr>
        <w:t>whether the terms offered are those that the Board believes would be offered or could be obtained absent the relationship;</w:t>
      </w: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200" w:lineRule="exact"/>
        <w:rPr>
          <w:rFonts w:ascii="Arial" w:cs="Arial" w:eastAsia="Arial" w:hAnsi="Arial"/>
          <w:sz w:val="25"/>
          <w:szCs w:val="25"/>
          <w:color w:val="auto"/>
        </w:rPr>
      </w:pPr>
    </w:p>
    <w:p>
      <w:pPr>
        <w:spacing w:after="0" w:line="396" w:lineRule="exact"/>
        <w:rPr>
          <w:rFonts w:ascii="Arial" w:cs="Arial" w:eastAsia="Arial" w:hAnsi="Arial"/>
          <w:sz w:val="25"/>
          <w:szCs w:val="25"/>
          <w:color w:val="auto"/>
        </w:rPr>
      </w:pPr>
    </w:p>
    <w:p>
      <w:pPr>
        <w:ind w:left="5580" w:hanging="136"/>
        <w:spacing w:after="0"/>
        <w:tabs>
          <w:tab w:leader="none" w:pos="5580" w:val="left"/>
        </w:tabs>
        <w:numPr>
          <w:ilvl w:val="2"/>
          <w:numId w:val="53"/>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20"/>
          </w:cols>
          <w:pgMar w:left="320" w:top="1395" w:right="359" w:bottom="1440" w:gutter="0" w:footer="0" w:header="0"/>
        </w:sectPr>
      </w:pPr>
    </w:p>
    <w:bookmarkStart w:id="129" w:name="page130"/>
    <w:bookmarkEnd w:id="129"/>
    <w:p>
      <w:pPr>
        <w:ind w:left="1620" w:right="40" w:hanging="316"/>
        <w:spacing w:after="0" w:line="260" w:lineRule="auto"/>
        <w:tabs>
          <w:tab w:leader="none" w:pos="1614" w:val="left"/>
        </w:tabs>
        <w:numPr>
          <w:ilvl w:val="0"/>
          <w:numId w:val="54"/>
        </w:numPr>
        <w:rPr>
          <w:rFonts w:ascii="Arial" w:cs="Arial" w:eastAsia="Arial" w:hAnsi="Arial"/>
          <w:sz w:val="22"/>
          <w:szCs w:val="22"/>
          <w:color w:val="auto"/>
        </w:rPr>
      </w:pPr>
      <w:r>
        <w:rPr>
          <w:rFonts w:ascii="Arial" w:cs="Arial" w:eastAsia="Arial" w:hAnsi="Arial"/>
          <w:sz w:val="19"/>
          <w:szCs w:val="19"/>
          <w:color w:val="auto"/>
        </w:rPr>
        <w:t>the level of involvement of the executive officer or director involving questions in any proposed transaction, including whether the waiver candidate will receive any compensation or other benefit tied to the transaction;</w:t>
      </w:r>
    </w:p>
    <w:p>
      <w:pPr>
        <w:spacing w:after="0" w:line="151" w:lineRule="exact"/>
        <w:rPr>
          <w:rFonts w:ascii="Arial" w:cs="Arial" w:eastAsia="Arial" w:hAnsi="Arial"/>
          <w:sz w:val="22"/>
          <w:szCs w:val="22"/>
          <w:color w:val="auto"/>
        </w:rPr>
      </w:pPr>
    </w:p>
    <w:p>
      <w:pPr>
        <w:ind w:left="1620" w:hanging="316"/>
        <w:spacing w:after="0"/>
        <w:tabs>
          <w:tab w:leader="none" w:pos="1620" w:val="left"/>
        </w:tabs>
        <w:numPr>
          <w:ilvl w:val="0"/>
          <w:numId w:val="54"/>
        </w:numPr>
        <w:rPr>
          <w:rFonts w:ascii="Arial" w:cs="Arial" w:eastAsia="Arial" w:hAnsi="Arial"/>
          <w:sz w:val="25"/>
          <w:szCs w:val="25"/>
          <w:color w:val="auto"/>
        </w:rPr>
      </w:pPr>
      <w:r>
        <w:rPr>
          <w:rFonts w:ascii="Arial" w:cs="Arial" w:eastAsia="Arial" w:hAnsi="Arial"/>
          <w:sz w:val="22"/>
          <w:szCs w:val="22"/>
          <w:color w:val="auto"/>
        </w:rPr>
        <w:t>whether the individual usurped a corporate opportunity;</w:t>
      </w:r>
    </w:p>
    <w:p>
      <w:pPr>
        <w:spacing w:after="0" w:line="184" w:lineRule="exact"/>
        <w:rPr>
          <w:rFonts w:ascii="Arial" w:cs="Arial" w:eastAsia="Arial" w:hAnsi="Arial"/>
          <w:sz w:val="25"/>
          <w:szCs w:val="25"/>
          <w:color w:val="auto"/>
        </w:rPr>
      </w:pPr>
    </w:p>
    <w:p>
      <w:pPr>
        <w:ind w:left="1620" w:right="240" w:hanging="316"/>
        <w:spacing w:after="0" w:line="217" w:lineRule="auto"/>
        <w:tabs>
          <w:tab w:leader="none" w:pos="1614" w:val="left"/>
        </w:tabs>
        <w:numPr>
          <w:ilvl w:val="0"/>
          <w:numId w:val="54"/>
        </w:numPr>
        <w:rPr>
          <w:rFonts w:ascii="Arial" w:cs="Arial" w:eastAsia="Arial" w:hAnsi="Arial"/>
          <w:sz w:val="25"/>
          <w:szCs w:val="25"/>
          <w:color w:val="auto"/>
        </w:rPr>
      </w:pPr>
      <w:r>
        <w:rPr>
          <w:rFonts w:ascii="Arial" w:cs="Arial" w:eastAsia="Arial" w:hAnsi="Arial"/>
          <w:sz w:val="22"/>
          <w:szCs w:val="22"/>
          <w:color w:val="auto"/>
        </w:rPr>
        <w:t>whether the proposed transaction or relationship would cause a director to lose his status as an independent director; and</w:t>
      </w:r>
    </w:p>
    <w:p>
      <w:pPr>
        <w:spacing w:after="0" w:line="186" w:lineRule="exact"/>
        <w:rPr>
          <w:rFonts w:ascii="Arial" w:cs="Arial" w:eastAsia="Arial" w:hAnsi="Arial"/>
          <w:sz w:val="25"/>
          <w:szCs w:val="25"/>
          <w:color w:val="auto"/>
        </w:rPr>
      </w:pPr>
    </w:p>
    <w:p>
      <w:pPr>
        <w:ind w:left="1620" w:hanging="316"/>
        <w:spacing w:after="0"/>
        <w:tabs>
          <w:tab w:leader="none" w:pos="1620" w:val="left"/>
        </w:tabs>
        <w:numPr>
          <w:ilvl w:val="0"/>
          <w:numId w:val="54"/>
        </w:numPr>
        <w:rPr>
          <w:rFonts w:ascii="Arial" w:cs="Arial" w:eastAsia="Arial" w:hAnsi="Arial"/>
          <w:sz w:val="23"/>
          <w:szCs w:val="23"/>
          <w:color w:val="auto"/>
        </w:rPr>
      </w:pPr>
      <w:r>
        <w:rPr>
          <w:rFonts w:ascii="Arial" w:cs="Arial" w:eastAsia="Arial" w:hAnsi="Arial"/>
          <w:sz w:val="20"/>
          <w:szCs w:val="20"/>
          <w:color w:val="auto"/>
        </w:rPr>
        <w:t>how any related disclosure would appear in, for example, The Wall Street Journal or other public forum.</w:t>
      </w:r>
    </w:p>
    <w:p>
      <w:pPr>
        <w:spacing w:after="0" w:line="168" w:lineRule="exact"/>
        <w:rPr>
          <w:sz w:val="20"/>
          <w:szCs w:val="20"/>
          <w:color w:val="auto"/>
        </w:rPr>
      </w:pPr>
    </w:p>
    <w:p>
      <w:pPr>
        <w:ind w:firstLine="204"/>
        <w:spacing w:after="0" w:line="252" w:lineRule="auto"/>
        <w:rPr>
          <w:sz w:val="20"/>
          <w:szCs w:val="20"/>
          <w:color w:val="auto"/>
        </w:rPr>
      </w:pPr>
      <w:r>
        <w:rPr>
          <w:rFonts w:ascii="Arial" w:cs="Arial" w:eastAsia="Arial" w:hAnsi="Arial"/>
          <w:sz w:val="19"/>
          <w:szCs w:val="19"/>
          <w:color w:val="auto"/>
        </w:rPr>
        <w:t>After reviewing these considerations and any others it considers appropriate, the Board should then consider whether the relationship or activity (i) will adversely affect the Company, (ii) was undertaken by the individual in good faith, (iii) constitutes a breach of loyalty to the Company and its stockholders, (iv) constitutes a violation of law, and (v) confers an improper personal benefit on the individual. The Board should then be in a position to determine if a conflict of interest exists and, if so, whether to waive the conflict if the relationship or activity is in the best interests of the Company or not opposed to those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120"/>
          </w:cols>
          <w:pgMar w:left="320" w:top="1428" w:right="4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b w:val="1"/>
                <w:bCs w:val="1"/>
                <w:color w:val="auto"/>
              </w:rPr>
              <w:t>SUBSIDIARIES OF LAMAR ADVERTISING</w:t>
            </w:r>
          </w:p>
        </w:tc>
      </w:tr>
      <w:tr>
        <w:trPr>
          <w:trHeight w:val="35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1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83"/>
        </w:trPr>
        <w:tc>
          <w:tcPr>
            <w:tcW w:w="3640" w:type="dxa"/>
            <w:vAlign w:val="bottom"/>
          </w:tcPr>
          <w:p>
            <w:pPr>
              <w:ind w:left="20"/>
              <w:spacing w:after="0"/>
              <w:rPr>
                <w:sz w:val="20"/>
                <w:szCs w:val="20"/>
                <w:color w:val="auto"/>
              </w:rPr>
            </w:pPr>
            <w:r>
              <w:rPr>
                <w:rFonts w:ascii="Arial" w:cs="Arial" w:eastAsia="Arial" w:hAnsi="Arial"/>
                <w:sz w:val="18"/>
                <w:szCs w:val="18"/>
                <w:color w:val="auto"/>
              </w:rPr>
              <w:t>Lamar Media Corp.</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24"/>
        </w:trPr>
        <w:tc>
          <w:tcPr>
            <w:tcW w:w="3640" w:type="dxa"/>
            <w:vAlign w:val="bottom"/>
          </w:tcPr>
          <w:p>
            <w:pPr>
              <w:ind w:left="20"/>
              <w:spacing w:after="0"/>
              <w:rPr>
                <w:sz w:val="20"/>
                <w:szCs w:val="20"/>
                <w:color w:val="auto"/>
              </w:rPr>
            </w:pPr>
            <w:r>
              <w:rPr>
                <w:rFonts w:ascii="Arial" w:cs="Arial" w:eastAsia="Arial" w:hAnsi="Arial"/>
                <w:sz w:val="18"/>
                <w:szCs w:val="18"/>
                <w:color w:val="auto"/>
              </w:rPr>
              <w:t>Allure Advertising, LLC</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56"/>
        </w:trPr>
        <w:tc>
          <w:tcPr>
            <w:tcW w:w="3640" w:type="dxa"/>
            <w:vAlign w:val="bottom"/>
          </w:tcPr>
          <w:p>
            <w:pPr>
              <w:ind w:left="20"/>
              <w:spacing w:after="0"/>
              <w:rPr>
                <w:sz w:val="20"/>
                <w:szCs w:val="20"/>
                <w:color w:val="auto"/>
              </w:rPr>
            </w:pPr>
            <w:r>
              <w:rPr>
                <w:rFonts w:ascii="Arial" w:cs="Arial" w:eastAsia="Arial" w:hAnsi="Arial"/>
                <w:sz w:val="18"/>
                <w:szCs w:val="18"/>
                <w:color w:val="auto"/>
              </w:rPr>
              <w:t>Arizona Logos, L.L.C.</w:t>
            </w: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Ashby Street Outdoor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Ashby Street Outdoor CC,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Ashby Street Outdoor Holdings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Canadian TODS Limited</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Nova Scotia, Canada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Colorado Logos,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Delaware Logos,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Douglas Outdoor Advertising of GA.,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Fairway CCO Indiana,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Fairway Media Group,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Fairway Outdoor Advertising,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Fairway Outdoor Funding,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Fairway Outdoor Funding Holdings,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Florida Logos,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FMG Outdoor Holdings,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FMO Real Estate,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Georgia Logos,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Interstate Logos,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Interstate Logos TRS,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Kansas Logos,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Kentucky Logos,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Kentucky</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Advantage GP Company,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Advantage Holding Company</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 Advantage LP Company,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Advantage Outdoor Company, L.P.</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w w:val="98"/>
              </w:rPr>
              <w:t>Lamar Advertising of Colorado Springs,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Louisiana,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Michigan,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Penn,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Puerto Rico,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Puerto Rico</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South Dakota,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South Dakota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of Youngstown,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Advertising Southwest,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Air,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Airport Advertising Company</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 Airport Advertising S/W Joint Venture</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Canadian Outdoor Company</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Central Outdoor,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Electrical, Inc.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Lamar-Fairway Blocker 1,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Lamar-Fairway Blocker 2, LLC</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Lamar Florida, L.L.C.</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240"/>
          </w:cols>
          <w:pgMar w:left="320" w:top="958"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28"/>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Lamar Investments, LLC</w:t>
            </w:r>
          </w:p>
        </w:tc>
        <w:tc>
          <w:tcPr>
            <w:tcW w:w="300" w:type="dxa"/>
            <w:vAlign w:val="bottom"/>
          </w:tcPr>
          <w:p>
            <w:pPr>
              <w:spacing w:after="0"/>
              <w:rPr>
                <w:sz w:val="19"/>
                <w:szCs w:val="19"/>
                <w:color w:val="auto"/>
              </w:rPr>
            </w:pPr>
          </w:p>
        </w:tc>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Obie Company,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OCI North,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OCI South Corporation</w:t>
            </w:r>
          </w:p>
        </w:tc>
        <w:tc>
          <w:tcPr>
            <w:tcW w:w="570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Ohio Outdoor Holding Corp.</w:t>
            </w:r>
          </w:p>
        </w:tc>
        <w:tc>
          <w:tcPr>
            <w:tcW w:w="57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Pensacola Transit, Inc.</w:t>
            </w:r>
          </w:p>
        </w:tc>
        <w:tc>
          <w:tcPr>
            <w:tcW w:w="570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QRS Receivables,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Service Company,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Tennessee, L.L.C.</w:t>
            </w:r>
          </w:p>
        </w:tc>
        <w:tc>
          <w:tcPr>
            <w:tcW w:w="570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Texas Limited Partnership</w:t>
            </w:r>
          </w:p>
        </w:tc>
        <w:tc>
          <w:tcPr>
            <w:tcW w:w="57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Transit Advertising Canada Ltd.</w:t>
            </w:r>
          </w:p>
        </w:tc>
        <w:tc>
          <w:tcPr>
            <w:tcW w:w="570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Transit,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TRS Holdings,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Lamar TRS Receivables,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Levin Industries, Inc.</w:t>
            </w: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Louisiana Interstate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Magic Media/Lamar,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Magic Media Real Estate,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Maine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Maine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MCC Outdoor, LLC</w:t>
            </w: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Michigan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Minnesota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Mississippi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Missouri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Montana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Montana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Nebraska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Nevada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New Hampshire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New Hampshire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New Jersey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New Mexico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New Mexico</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Ohio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Oklahoma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Olympus Media/Indiana,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Outdoor Marketing Systems, L.L.C.</w:t>
            </w:r>
          </w:p>
        </w:tc>
        <w:tc>
          <w:tcPr>
            <w:tcW w:w="570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Outdoor Promotions West,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QMC Transit, Inc.</w:t>
            </w:r>
          </w:p>
        </w:tc>
        <w:tc>
          <w:tcPr>
            <w:tcW w:w="5700" w:type="dxa"/>
            <w:vAlign w:val="bottom"/>
          </w:tcPr>
          <w:p>
            <w:pPr>
              <w:ind w:left="20"/>
              <w:spacing w:after="0"/>
              <w:rPr>
                <w:sz w:val="20"/>
                <w:szCs w:val="20"/>
                <w:color w:val="auto"/>
              </w:rPr>
            </w:pPr>
            <w:r>
              <w:rPr>
                <w:rFonts w:ascii="Arial" w:cs="Arial" w:eastAsia="Arial" w:hAnsi="Arial"/>
                <w:sz w:val="18"/>
                <w:szCs w:val="18"/>
                <w:color w:val="auto"/>
              </w:rPr>
              <w:t>Puerto Rico</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SHL-TR6/LI, LLC</w:t>
            </w: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Sky High Murals-Colossal Media, Inc.</w:t>
            </w:r>
          </w:p>
        </w:tc>
        <w:tc>
          <w:tcPr>
            <w:tcW w:w="57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South Carolina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Tennessee Logos, Inc.</w:t>
            </w:r>
          </w:p>
        </w:tc>
        <w:tc>
          <w:tcPr>
            <w:tcW w:w="570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The Lamar Company, L.L.C.</w:t>
            </w: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TLC Farms, L.L.C.</w:t>
            </w: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TLC Properties II, LLC</w:t>
            </w:r>
          </w:p>
        </w:tc>
        <w:tc>
          <w:tcPr>
            <w:tcW w:w="57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TLC Properties, Inc.</w:t>
            </w: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TLC Properties, L.L.C.</w:t>
            </w:r>
          </w:p>
        </w:tc>
        <w:tc>
          <w:tcPr>
            <w:tcW w:w="570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Triumph Outdoor Holdings,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Triumph Outdoor Rhode Island, LLC</w:t>
            </w:r>
          </w:p>
        </w:tc>
        <w:tc>
          <w:tcPr>
            <w:tcW w:w="570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20"/>
          </w:cols>
          <w:pgMar w:left="320" w:top="1008" w:right="35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28"/>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Utah Logos, Inc.</w:t>
            </w:r>
          </w:p>
        </w:tc>
        <w:tc>
          <w:tcPr>
            <w:tcW w:w="300" w:type="dxa"/>
            <w:vAlign w:val="bottom"/>
          </w:tcPr>
          <w:p>
            <w:pPr>
              <w:spacing w:after="0"/>
              <w:rPr>
                <w:sz w:val="19"/>
                <w:szCs w:val="19"/>
                <w:color w:val="auto"/>
              </w:rPr>
            </w:pPr>
          </w:p>
        </w:tc>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Utah</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Virginia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Washington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Washington</w:t>
            </w:r>
          </w:p>
        </w:tc>
      </w:tr>
      <w:tr>
        <w:trPr>
          <w:trHeight w:val="229"/>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Wisconsin Logos, LLC</w:t>
            </w:r>
          </w:p>
        </w:tc>
        <w:tc>
          <w:tcPr>
            <w:tcW w:w="570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Whiteway Outdoor Advertising, LLC</w:t>
            </w:r>
          </w:p>
        </w:tc>
        <w:tc>
          <w:tcPr>
            <w:tcW w:w="5700" w:type="dxa"/>
            <w:vAlign w:val="bottom"/>
          </w:tcPr>
          <w:p>
            <w:pPr>
              <w:ind w:left="2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20"/>
          </w:cols>
          <w:pgMar w:left="320" w:top="1008"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22(a)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 Subsidiaries of Lamar Media Corp.</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Lamar Media Corp. is the issuer of the (i) 3 3/4% Senior Notes due 2028, (ii) 4% Senior Notes due 2030, (iii) 4 7/8% Senior Notes due 2029, and (iv) 5 3/4% Senior Notes due 2026 (collectively, the “Notes”). The following subsidiaries are guarantors of these Notes as of the last day of the period covered by this report, as well as the 3 5/8% Senior Notes due 2031 issued by Lamar Media Corp. on January 22, 2021.</w:t>
      </w:r>
    </w:p>
    <w:p>
      <w:pPr>
        <w:spacing w:after="0" w:line="168"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28"/>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Allure Advertising, LLC</w:t>
            </w:r>
          </w:p>
        </w:tc>
        <w:tc>
          <w:tcPr>
            <w:tcW w:w="3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South Carolina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Arizona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Ashby Street Outdoor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Ashby Street Outdoor CC,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Ashby Street Outdoor Holdings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Colorado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Douglas Outdoor Advertising of GA., LLC</w:t>
            </w:r>
          </w:p>
        </w:tc>
        <w:tc>
          <w:tcPr>
            <w:tcW w:w="54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Fairway CCO Indiana,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Fairway Media Group,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Fairway Outdoor Advertising,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Fairway Outdoor Funding,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Fairway Outdoor Funding Holdings,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Florida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FMG Outdoor Holdings,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FMO Real Estate,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Georgia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Interstate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Interstate Logos TRS,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Kansas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Kentucky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Kentucky</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Advantage GP Company,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Advantage Holding Company</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Advantage LP Company,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Advantage Outdoor Company, L.P.</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Colorado Springs,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Louisiana,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Michigan, Inc.</w:t>
            </w:r>
          </w:p>
        </w:tc>
        <w:tc>
          <w:tcPr>
            <w:tcW w:w="544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Penn,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South Dakota, L.L.C.</w:t>
            </w:r>
          </w:p>
        </w:tc>
        <w:tc>
          <w:tcPr>
            <w:tcW w:w="5440" w:type="dxa"/>
            <w:vAlign w:val="bottom"/>
          </w:tcPr>
          <w:p>
            <w:pPr>
              <w:ind w:left="20"/>
              <w:spacing w:after="0"/>
              <w:rPr>
                <w:sz w:val="20"/>
                <w:szCs w:val="20"/>
                <w:color w:val="auto"/>
              </w:rPr>
            </w:pPr>
            <w:r>
              <w:rPr>
                <w:rFonts w:ascii="Arial" w:cs="Arial" w:eastAsia="Arial" w:hAnsi="Arial"/>
                <w:sz w:val="18"/>
                <w:szCs w:val="18"/>
                <w:color w:val="auto"/>
              </w:rPr>
              <w:t>South Dakota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of Youngstown, Inc.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Advertising Southwest, Inc.</w:t>
            </w:r>
          </w:p>
        </w:tc>
        <w:tc>
          <w:tcPr>
            <w:tcW w:w="544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Air,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Airport Advertising Company</w:t>
            </w:r>
          </w:p>
        </w:tc>
        <w:tc>
          <w:tcPr>
            <w:tcW w:w="544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Central Outdoor,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Electrical, Inc.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Lamar-Fairway Blocker 1,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Lamar-Fairway Blocker 2,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Florida, L.L.C.</w:t>
            </w:r>
          </w:p>
        </w:tc>
        <w:tc>
          <w:tcPr>
            <w:tcW w:w="544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240"/>
          </w:cols>
          <w:pgMar w:left="320" w:top="958"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28"/>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Lamar Investments, LLC</w:t>
            </w:r>
          </w:p>
        </w:tc>
        <w:tc>
          <w:tcPr>
            <w:tcW w:w="3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Obie Company,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OCI North,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OCI South Corporation</w:t>
            </w:r>
          </w:p>
        </w:tc>
        <w:tc>
          <w:tcPr>
            <w:tcW w:w="544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Ohio Outdoor Holding Corp.</w:t>
            </w:r>
          </w:p>
        </w:tc>
        <w:tc>
          <w:tcPr>
            <w:tcW w:w="54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Pensacola Transit, Inc.</w:t>
            </w:r>
          </w:p>
        </w:tc>
        <w:tc>
          <w:tcPr>
            <w:tcW w:w="544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Service Company,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Tennessee, L.L.C.</w:t>
            </w:r>
          </w:p>
        </w:tc>
        <w:tc>
          <w:tcPr>
            <w:tcW w:w="544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Texas Limited Partnership</w:t>
            </w:r>
          </w:p>
        </w:tc>
        <w:tc>
          <w:tcPr>
            <w:tcW w:w="54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Transit,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Lamar TRS Holdings,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Levin Industries, Inc.</w:t>
            </w:r>
          </w:p>
        </w:tc>
        <w:tc>
          <w:tcPr>
            <w:tcW w:w="54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Louisiana Interstate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Magic Media/Lamar,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Magic Media Real Estate,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Maine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Maine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MCC Outdoor, LLC</w:t>
            </w:r>
          </w:p>
        </w:tc>
        <w:tc>
          <w:tcPr>
            <w:tcW w:w="54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Michigan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Minnesota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Minnesota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Mississippi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Mississippi</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Missouri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Missouri</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Montana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Montana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Nebraska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Nevada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Hampshire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New Hampshire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Jersey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Mexico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New Mexico</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Ohio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Oklahoma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Olympus Media/Indiana,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Outdoor Marketing Systems, L.L.C.</w:t>
            </w:r>
          </w:p>
        </w:tc>
        <w:tc>
          <w:tcPr>
            <w:tcW w:w="544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Outdoor Promotions West,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SHL-TR6/LI, LLC</w:t>
            </w:r>
          </w:p>
        </w:tc>
        <w:tc>
          <w:tcPr>
            <w:tcW w:w="54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Sky High Murals-Colossal Media, Inc.</w:t>
            </w:r>
          </w:p>
        </w:tc>
        <w:tc>
          <w:tcPr>
            <w:tcW w:w="544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South Carolina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South Carolina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Tennessee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The Lamar Company,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TLC Farms,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TLC Properties II, LLC</w:t>
            </w:r>
          </w:p>
        </w:tc>
        <w:tc>
          <w:tcPr>
            <w:tcW w:w="54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TLC Properties, Inc.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TLC Properties, L.L.C.</w:t>
            </w:r>
          </w:p>
        </w:tc>
        <w:tc>
          <w:tcPr>
            <w:tcW w:w="544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Triumph Outdoor Holdings,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Triumph Outdoor Rhode Island, LLC</w:t>
            </w:r>
          </w:p>
        </w:tc>
        <w:tc>
          <w:tcPr>
            <w:tcW w:w="54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Utah Logos, Inc.</w:t>
            </w:r>
          </w:p>
        </w:tc>
        <w:tc>
          <w:tcPr>
            <w:tcW w:w="5440" w:type="dxa"/>
            <w:vAlign w:val="bottom"/>
          </w:tcPr>
          <w:p>
            <w:pPr>
              <w:ind w:left="20"/>
              <w:spacing w:after="0"/>
              <w:rPr>
                <w:sz w:val="20"/>
                <w:szCs w:val="20"/>
                <w:color w:val="auto"/>
              </w:rPr>
            </w:pPr>
            <w:r>
              <w:rPr>
                <w:rFonts w:ascii="Arial" w:cs="Arial" w:eastAsia="Arial" w:hAnsi="Arial"/>
                <w:sz w:val="18"/>
                <w:szCs w:val="18"/>
                <w:color w:val="auto"/>
              </w:rPr>
              <w:t>Utah</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Virginia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Washington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Washington</w:t>
            </w: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Wisconsin Logos, LLC</w:t>
            </w:r>
          </w:p>
        </w:tc>
        <w:tc>
          <w:tcPr>
            <w:tcW w:w="5440" w:type="dxa"/>
            <w:vAlign w:val="bottom"/>
          </w:tcPr>
          <w:p>
            <w:pPr>
              <w:ind w:left="20"/>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120"/>
          </w:cols>
          <w:pgMar w:left="420" w:top="1008" w:right="35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30"/>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Whiteway Outdoor Advertising, LLC</w:t>
            </w:r>
          </w:p>
        </w:tc>
        <w:tc>
          <w:tcPr>
            <w:tcW w:w="3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120"/>
          </w:cols>
          <w:pgMar w:left="420" w:top="1008" w:right="3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333-89034, 333-37858, 333-116008, 333-160945, 333-190603, 333-232687, and 333-232686) on Form S-8 and (No. 333-257243) on Form S-3 of our reports dated February 25, 2022, with respect to the consolidated financial statements and financial statement schedules II to III of Lamar Advertising Company and Lamar Media Corp. and the effectiveness of internal control over financial reporting.</w:t>
      </w: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920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KPMG LLP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95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ind w:left="1140" w:right="80" w:hanging="646"/>
        <w:spacing w:after="0" w:line="263"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646"/>
        <w:spacing w:after="0" w:line="263" w:lineRule="auto"/>
        <w:tabs>
          <w:tab w:leader="none" w:pos="11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646"/>
        <w:spacing w:after="0" w:line="342"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646"/>
        <w:spacing w:after="0" w:line="263" w:lineRule="auto"/>
        <w:tabs>
          <w:tab w:leader="none" w:pos="11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646"/>
        <w:spacing w:after="0" w:line="342"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23" w:lineRule="exact"/>
        <w:rPr>
          <w:rFonts w:ascii="Arial" w:cs="Arial" w:eastAsia="Arial" w:hAnsi="Arial"/>
          <w:sz w:val="16"/>
          <w:szCs w:val="16"/>
          <w:color w:val="auto"/>
        </w:rPr>
      </w:pPr>
    </w:p>
    <w:p>
      <w:pPr>
        <w:ind w:left="1140" w:right="300" w:hanging="646"/>
        <w:spacing w:after="0" w:line="277" w:lineRule="auto"/>
        <w:tabs>
          <w:tab w:leader="none" w:pos="11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Sean E. Reilly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Lamar Advertising Company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Lamar Media Corp.</w:t>
      </w:r>
    </w:p>
    <w:p>
      <w:pPr>
        <w:sectPr>
          <w:pgSz w:w="11900" w:h="16838" w:orient="portrait"/>
          <w:cols w:equalWidth="0" w:num="1">
            <w:col w:w="11240"/>
          </w:cols>
          <w:pgMar w:left="320" w:top="110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ind w:left="1140" w:right="80" w:hanging="646"/>
        <w:spacing w:after="0" w:line="263" w:lineRule="auto"/>
        <w:tabs>
          <w:tab w:leader="none" w:pos="11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646"/>
        <w:spacing w:after="0" w:line="263"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646"/>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646"/>
        <w:spacing w:after="0" w:line="263"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620" w:hanging="646"/>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23" w:lineRule="exact"/>
        <w:rPr>
          <w:rFonts w:ascii="Arial" w:cs="Arial" w:eastAsia="Arial" w:hAnsi="Arial"/>
          <w:sz w:val="16"/>
          <w:szCs w:val="16"/>
          <w:color w:val="auto"/>
        </w:rPr>
      </w:pPr>
    </w:p>
    <w:p>
      <w:pPr>
        <w:ind w:left="1140" w:right="300" w:hanging="646"/>
        <w:spacing w:after="0" w:line="277"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Lamar Advertising Company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10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firstLine="567"/>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2020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Dated: February 25, 2022</w:t>
            </w:r>
          </w:p>
        </w:tc>
        <w:tc>
          <w:tcPr>
            <w:tcW w:w="1940" w:type="dxa"/>
            <w:vAlign w:val="bottom"/>
          </w:tcPr>
          <w:p>
            <w:pPr>
              <w:ind w:left="122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29"/>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President and Chief Executive Officer, Lamar Advertising Company</w:t>
            </w:r>
          </w:p>
        </w:tc>
      </w:tr>
      <w:tr>
        <w:trPr>
          <w:trHeight w:val="230"/>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President and Chief Executive Officer, Lamar Media Corp.</w:t>
            </w:r>
          </w:p>
        </w:tc>
      </w:tr>
      <w:tr>
        <w:trPr>
          <w:trHeight w:val="500"/>
        </w:trPr>
        <w:tc>
          <w:tcPr>
            <w:tcW w:w="3080" w:type="dxa"/>
            <w:vAlign w:val="bottom"/>
          </w:tcPr>
          <w:p>
            <w:pPr>
              <w:spacing w:after="0"/>
              <w:rPr>
                <w:sz w:val="20"/>
                <w:szCs w:val="20"/>
                <w:color w:val="auto"/>
              </w:rPr>
            </w:pPr>
            <w:r>
              <w:rPr>
                <w:rFonts w:ascii="Arial" w:cs="Arial" w:eastAsia="Arial" w:hAnsi="Arial"/>
                <w:sz w:val="18"/>
                <w:szCs w:val="18"/>
                <w:color w:val="auto"/>
              </w:rPr>
              <w:t>Dated: February 25, 2022</w:t>
            </w:r>
          </w:p>
        </w:tc>
        <w:tc>
          <w:tcPr>
            <w:tcW w:w="1940" w:type="dxa"/>
            <w:vAlign w:val="bottom"/>
          </w:tcPr>
          <w:p>
            <w:pPr>
              <w:ind w:left="122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30"/>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lowerRoman"/>
      <w:start w:val="3"/>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2"/>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7"/>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upperLetter"/>
      <w:start w:val="1"/>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101"/>
    </w:lvl>
  </w:abstractNum>
  <w:abstractNum w:abstractNumId="45">
    <w:nsid w:val="1BA026FA"/>
    <w:multiLevelType w:val="hybridMultilevel"/>
    <w:lvl w:ilvl="0">
      <w:lvlJc w:val="left"/>
      <w:lvlText w:val="*"/>
      <w:numFmt w:val="bullet"/>
      <w:start w:val="1"/>
    </w:lvl>
    <w:lvl w:ilvl="1">
      <w:lvlJc w:val="left"/>
      <w:lvlText w:val="%2"/>
      <w:numFmt w:val="decimal"/>
      <w:start w:val="104"/>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9">
    <w:nsid w:val="70C6A529"/>
    <w:multiLevelType w:val="hybridMultilevel"/>
    <w:lvl w:ilvl="0">
      <w:lvlJc w:val="left"/>
      <w:lvlText w:val="(%1)"/>
      <w:numFmt w:val="lowerLetter"/>
      <w:start w:val="4"/>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
      <w:numFmt w:val="bullet"/>
      <w:start w:val="1"/>
    </w:lvl>
    <w:lvl w:ilvl="1">
      <w:lvlJc w:val="left"/>
      <w:lvlText w:val="-"/>
      <w:numFmt w:val="bullet"/>
      <w:start w:val="1"/>
    </w:lvl>
  </w:abstractNum>
  <w:abstractNum w:abstractNumId="52">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44" Type="http://schemas.openxmlformats.org/officeDocument/2006/relationships/image" Target="media/image167.png"/><Relationship Id="rId245" Type="http://schemas.openxmlformats.org/officeDocument/2006/relationships/image" Target="media/image168.png"/><Relationship Id="rId255" Type="http://schemas.openxmlformats.org/officeDocument/2006/relationships/image" Target="media/image169.png"/><Relationship Id="rId261" Type="http://schemas.openxmlformats.org/officeDocument/2006/relationships/image" Target="media/image170.png"/><Relationship Id="rId264" Type="http://schemas.openxmlformats.org/officeDocument/2006/relationships/image" Target="media/image171.png"/><Relationship Id="rId265" Type="http://schemas.openxmlformats.org/officeDocument/2006/relationships/image" Target="media/image172.png"/><Relationship Id="rId272" Type="http://schemas.openxmlformats.org/officeDocument/2006/relationships/image" Target="media/image173.png"/><Relationship Id="rId273" Type="http://schemas.openxmlformats.org/officeDocument/2006/relationships/image" Target="media/image174.png"/><Relationship Id="rId274" Type="http://schemas.openxmlformats.org/officeDocument/2006/relationships/image" Target="media/image175.png"/><Relationship Id="rId275" Type="http://schemas.openxmlformats.org/officeDocument/2006/relationships/image" Target="media/image176.png"/><Relationship Id="rId276" Type="http://schemas.openxmlformats.org/officeDocument/2006/relationships/image" Target="media/image177.png"/><Relationship Id="rId277" Type="http://schemas.openxmlformats.org/officeDocument/2006/relationships/image" Target="media/image178.png"/><Relationship Id="rId278" Type="http://schemas.openxmlformats.org/officeDocument/2006/relationships/image" Target="media/image179.png"/><Relationship Id="rId279" Type="http://schemas.openxmlformats.org/officeDocument/2006/relationships/image" Target="media/image180.png"/><Relationship Id="rId280" Type="http://schemas.openxmlformats.org/officeDocument/2006/relationships/image" Target="media/image181.png"/><Relationship Id="rId281" Type="http://schemas.openxmlformats.org/officeDocument/2006/relationships/image" Target="media/image182.png"/><Relationship Id="rId159" Type="http://schemas.openxmlformats.org/officeDocument/2006/relationships/hyperlink" Target="https://www.sec.gov/Archives/edgar/data/1090425/000119312514329086/d783274dex21.htm" TargetMode="External"/><Relationship Id="rId160" Type="http://schemas.openxmlformats.org/officeDocument/2006/relationships/hyperlink" Target="https://www.sec.gov/Archives/edgar/data/1090425/000119312514417756/d823054dex31.htm" TargetMode="External"/><Relationship Id="rId161" Type="http://schemas.openxmlformats.org/officeDocument/2006/relationships/hyperlink" Target="https://www.sec.gov/Archives/edgar/data/1090425/000119312514417756/d823054dex32.htm" TargetMode="External"/><Relationship Id="rId162" Type="http://schemas.openxmlformats.org/officeDocument/2006/relationships/hyperlink" Target="https://www.sec.gov/Archives/edgar/data/1090425/000119312514417756/d823054dex33.htm" TargetMode="External"/><Relationship Id="rId163" Type="http://schemas.openxmlformats.org/officeDocument/2006/relationships/hyperlink" Target="https://www.sec.gov/Archives/edgar/data/899045/000095013407011105/d46520exv3w2.htm" TargetMode="External"/><Relationship Id="rId164" Type="http://schemas.openxmlformats.org/officeDocument/2006/relationships/hyperlink" Target="https://www.sec.gov/Archives/edgar/data/899045/000095013499009877/0000950134-99-009877.txt" TargetMode="External"/><Relationship Id="rId165" Type="http://schemas.openxmlformats.org/officeDocument/2006/relationships/hyperlink" Target="https://www.sec.gov/Archives/edgar/data/1090425/000119312514417756/d823054dex42.htm" TargetMode="External"/><Relationship Id="rId166" Type="http://schemas.openxmlformats.org/officeDocument/2006/relationships/hyperlink" Target="https://www.sec.gov/Archives/edgar/data/1090425/000119312514417756/d823054dex43.htm" TargetMode="External"/><Relationship Id="rId167" Type="http://schemas.openxmlformats.org/officeDocument/2006/relationships/hyperlink" Target="https://www.sec.gov/Archives/edgar/data/899045/000156459020005593/lamr-ex4a3_479.htm" TargetMode="External"/><Relationship Id="rId168" Type="http://schemas.openxmlformats.org/officeDocument/2006/relationships/hyperlink" Target="https://www.sec.gov/Archives/edgar/data/899045/000119312512443858/d431256dex41.htm" TargetMode="External"/><Relationship Id="rId172" Type="http://schemas.openxmlformats.org/officeDocument/2006/relationships/hyperlink" Target="https://www.sec.gov/Archives/edgar/data/899045/000119312513084458/d446463dex4h4.htm" TargetMode="External"/><Relationship Id="rId173" Type="http://schemas.openxmlformats.org/officeDocument/2006/relationships/hyperlink" Target="https://www.sec.gov/Archives/edgar/data/899045/000119312513084458/d446463dex4h5.htm" TargetMode="External"/><Relationship Id="rId174" Type="http://schemas.openxmlformats.org/officeDocument/2006/relationships/hyperlink" Target="https://www.sec.gov/Archives/edgar/data/899045/000119312513084458/d446463dex4h6.htm" TargetMode="External"/><Relationship Id="rId175" Type="http://schemas.openxmlformats.org/officeDocument/2006/relationships/hyperlink" Target="https://www.sec.gov/Archives/edgar/data/899045/000119312513327135/d565771dex44.htm" TargetMode="External"/><Relationship Id="rId176" Type="http://schemas.openxmlformats.org/officeDocument/2006/relationships/hyperlink" Target="https://www.sec.gov/Archives/edgar/data/899045/000119312514187495/d707798dex45.htm" TargetMode="External"/><Relationship Id="rId177" Type="http://schemas.openxmlformats.org/officeDocument/2006/relationships/hyperlink" Target="https://www.sec.gov/Archives/edgar/data/899045/000119312515368451/d47340dex42.htm" TargetMode="External"/><Relationship Id="rId178" Type="http://schemas.openxmlformats.org/officeDocument/2006/relationships/hyperlink" Target="https://www.sec.gov/Archives/edgar/data/899045/000156459018003444/lamr-ex4c10_199.htm" TargetMode="External"/><Relationship Id="rId179" Type="http://schemas.openxmlformats.org/officeDocument/2006/relationships/hyperlink" Target="https://www.sec.gov/Archives/edgar/data/899045/000156459018003444/lamr-ex4c11_198.htm" TargetMode="External"/><Relationship Id="rId180" Type="http://schemas.openxmlformats.org/officeDocument/2006/relationships/hyperlink" Target="https://www.sec.gov/Archives/edgar/data/899045/000156459019015115/lamr-ex42_90.htm" TargetMode="External"/><Relationship Id="rId183" Type="http://schemas.openxmlformats.org/officeDocument/2006/relationships/hyperlink" Target="https://www.sec.gov/Archives/edgar/data/899045/000156459019015115/lamr-ex43_89.htm" TargetMode="External"/><Relationship Id="rId184" Type="http://schemas.openxmlformats.org/officeDocument/2006/relationships/hyperlink" Target="https://www.sec.gov/Archives/edgar/data/899045/000156459019040322/lamr-ex41_139.htm" TargetMode="External"/><Relationship Id="rId185" Type="http://schemas.openxmlformats.org/officeDocument/2006/relationships/hyperlink" Target="https://www.sec.gov/Archives/edgar/data/899045/000119312514011018/d659877dex41.htm" TargetMode="External"/><Relationship Id="rId186" Type="http://schemas.openxmlformats.org/officeDocument/2006/relationships/hyperlink" Target="https://www.sec.gov/Archives/edgar/data/899045/000119312515368451/d47340dex41.htm" TargetMode="External"/><Relationship Id="rId187" Type="http://schemas.openxmlformats.org/officeDocument/2006/relationships/hyperlink" Target="https://www.sec.gov/Archives/edgar/data/899045/000156459018003444/lamr-ex4d5_197.htm" TargetMode="External"/><Relationship Id="rId188" Type="http://schemas.openxmlformats.org/officeDocument/2006/relationships/hyperlink" Target="https://www.sec.gov/Archives/edgar/data/899045/000156459018003444/lamr-ex4d6_196.htm" TargetMode="External"/><Relationship Id="rId189" Type="http://schemas.openxmlformats.org/officeDocument/2006/relationships/hyperlink" Target="https://www.sec.gov/Archives/edgar/data/899045/000156459019015115/lamr-ex44_88.htm" TargetMode="External"/><Relationship Id="rId190" Type="http://schemas.openxmlformats.org/officeDocument/2006/relationships/hyperlink" Target="https://www.sec.gov/Archives/edgar/data/899045/000156459019015115/lamr-ex45_87.htm" TargetMode="External"/><Relationship Id="rId193" Type="http://schemas.openxmlformats.org/officeDocument/2006/relationships/hyperlink" Target="https://www.sec.gov/Archives/edgar/data/899045/000156459019040322/lamr-ex42_138.htm" TargetMode="External"/><Relationship Id="rId194" Type="http://schemas.openxmlformats.org/officeDocument/2006/relationships/hyperlink" Target="https://www.sec.gov/Archives/edgar/data/899045/000119312516446075/d127039dex41.htm" TargetMode="External"/><Relationship Id="rId195" Type="http://schemas.openxmlformats.org/officeDocument/2006/relationships/hyperlink" Target="https://www.sec.gov/Archives/edgar/data/899045/000156459018003444/lamr-ex4e4_195.htm" TargetMode="External"/><Relationship Id="rId196" Type="http://schemas.openxmlformats.org/officeDocument/2006/relationships/hyperlink" Target="https://www.sec.gov/Archives/edgar/data/899045/000156459018003444/lamr-ex4e5_194.htm" TargetMode="External"/><Relationship Id="rId197" Type="http://schemas.openxmlformats.org/officeDocument/2006/relationships/hyperlink" Target="https://www.sec.gov/Archives/edgar/data/899045/000156459019015115/lamr-ex46_86.htm" TargetMode="External"/><Relationship Id="rId198" Type="http://schemas.openxmlformats.org/officeDocument/2006/relationships/hyperlink" Target="https://www.sec.gov/Archives/edgar/data/899045/000156459019015115/lamr-ex47_85.htm" TargetMode="External"/><Relationship Id="rId199" Type="http://schemas.openxmlformats.org/officeDocument/2006/relationships/hyperlink" Target="https://www.sec.gov/Archives/edgar/data/899045/000119312519029539/d695015dex41.htm" TargetMode="External"/><Relationship Id="rId200" Type="http://schemas.openxmlformats.org/officeDocument/2006/relationships/hyperlink" Target="https://www.sec.gov/Archives/edgar/data/899045/000156459019040322/lamr-ex43_136.htm" TargetMode="External"/><Relationship Id="rId203" Type="http://schemas.openxmlformats.org/officeDocument/2006/relationships/hyperlink" Target="https://www.sec.gov/Archives/edgar/data/899045/000119312520033197/d889727dex41.htm" TargetMode="External"/><Relationship Id="rId204" Type="http://schemas.openxmlformats.org/officeDocument/2006/relationships/hyperlink" Target="https://www.sec.gov/Archives/edgar/data/899045/000119312520033197/d889727dex42.htm" TargetMode="External"/><Relationship Id="rId205" Type="http://schemas.openxmlformats.org/officeDocument/2006/relationships/hyperlink" Target="https://www.sec.gov/Archives/edgar/data/899045/000119312520146127/d930554dex41.htm" TargetMode="External"/><Relationship Id="rId206" Type="http://schemas.openxmlformats.org/officeDocument/2006/relationships/hyperlink" Target="https://www.sec.gov/Archives/edgar/data/0001090425/000119312521020764/d111035dex41.htm" TargetMode="External"/><Relationship Id="rId209" Type="http://schemas.openxmlformats.org/officeDocument/2006/relationships/hyperlink" Target="https://www.sec.gov/Archives/edgar/data/0001090425/000119312521193497/d361202dex41.htm" TargetMode="External"/><Relationship Id="rId210" Type="http://schemas.openxmlformats.org/officeDocument/2006/relationships/hyperlink" Target="https://www.sec.gov/Archives/edgar/data/899045/000156459020005593/lamr-ex10a1_478.htm" TargetMode="External"/><Relationship Id="rId211" Type="http://schemas.openxmlformats.org/officeDocument/2006/relationships/hyperlink" Target="https://www.sec.gov/Archives/edgar/data/899045/000156459020005593/lamr-ex10a2_477.htm" TargetMode="External"/><Relationship Id="rId212" Type="http://schemas.openxmlformats.org/officeDocument/2006/relationships/hyperlink" Target="https://www.sec.gov/Archives/edgar/data/899045/000095013406005174/d33719exv10w16.txt" TargetMode="External"/><Relationship Id="rId213" Type="http://schemas.openxmlformats.org/officeDocument/2006/relationships/hyperlink" Target="https://www.sec.gov/Archives/edgar/data/1090425/000095013407012610/d47205exv10w1.htm" TargetMode="External"/><Relationship Id="rId214" Type="http://schemas.openxmlformats.org/officeDocument/2006/relationships/hyperlink" Target="https://www.sec.gov/Archives/edgar/data/899045/000156459017021772/lamr-ex101_170.htm" TargetMode="External"/><Relationship Id="rId215" Type="http://schemas.openxmlformats.org/officeDocument/2006/relationships/hyperlink" Target="https://www.sec.gov/Archives/edgar/data/1090425/000119312519166112/d760299dex102.htm" TargetMode="External"/><Relationship Id="rId216" Type="http://schemas.openxmlformats.org/officeDocument/2006/relationships/hyperlink" Target="https://www.sec.gov/Archives/edgar/data/1090425/000095013407019058/d49522exv10w1.htm" TargetMode="External"/><Relationship Id="rId217" Type="http://schemas.openxmlformats.org/officeDocument/2006/relationships/hyperlink" Target="https://www.sec.gov/Archives/edgar/data/899045/000095013505006967/b58122laexv10w2.txt" TargetMode="External"/><Relationship Id="rId218" Type="http://schemas.openxmlformats.org/officeDocument/2006/relationships/hyperlink" Target="https://www.sec.gov/Archives/edgar/data/899045/000119312514072774/d651857dex10d3.htm" TargetMode="External"/><Relationship Id="rId219" Type="http://schemas.openxmlformats.org/officeDocument/2006/relationships/hyperlink" Target="https://www.sec.gov/Archives/edgar/data/1090425/000119312516521502/d168422d8k.htm" TargetMode="External"/><Relationship Id="rId220" Type="http://schemas.openxmlformats.org/officeDocument/2006/relationships/hyperlink" Target="https://www.sec.gov/Archives/edgar/data/1090425/000119312516608341/d183173d8k.htm" TargetMode="External"/><Relationship Id="rId223" Type="http://schemas.openxmlformats.org/officeDocument/2006/relationships/hyperlink" Target="https://www.sec.gov/Archives/edgar/data/899045/000119312518355826/d678645dex101.htm" TargetMode="External"/><Relationship Id="rId224" Type="http://schemas.openxmlformats.org/officeDocument/2006/relationships/hyperlink" Target="https://www.sec.gov/Archives/edgar/data/899045/000119312518355826/d678645dex102.htm" TargetMode="External"/><Relationship Id="rId225" Type="http://schemas.openxmlformats.org/officeDocument/2006/relationships/hyperlink" Target="https://www.sec.gov/Archives/edgar/data/899045/000119312518355826/d678645dex103.htm" TargetMode="External"/><Relationship Id="rId226" Type="http://schemas.openxmlformats.org/officeDocument/2006/relationships/hyperlink" Target="https://www.sec.gov/Archives/edgar/data/899045/000119312518355826/d678645dex104.htm" TargetMode="External"/><Relationship Id="rId227" Type="http://schemas.openxmlformats.org/officeDocument/2006/relationships/hyperlink" Target="https://www.sec.gov/Archives/edgar/data/899045/000119312520033197/d889727dex104.htm" TargetMode="External"/><Relationship Id="rId228" Type="http://schemas.openxmlformats.org/officeDocument/2006/relationships/hyperlink" Target="https://www.sec.gov/Archives/edgar/data/899045/000119312520033197/d889727dex105.htm" TargetMode="External"/><Relationship Id="rId229" Type="http://schemas.openxmlformats.org/officeDocument/2006/relationships/hyperlink" Target="https://www.sec.gov/Archives/edgar/data/899045/000119312520033197/d889727dex106.htm" TargetMode="External"/><Relationship Id="rId230" Type="http://schemas.openxmlformats.org/officeDocument/2006/relationships/hyperlink" Target="https://www.sec.gov/Archives/edgar/data/899045/000156459020037399/lamr-ex102_170.htm" TargetMode="External"/><Relationship Id="rId231" Type="http://schemas.openxmlformats.org/officeDocument/2006/relationships/hyperlink" Target="https://www.sec.gov/Archives/edgar/data/899045/000156459020037399/lamr-ex103_152.htm" TargetMode="External"/><Relationship Id="rId232" Type="http://schemas.openxmlformats.org/officeDocument/2006/relationships/hyperlink" Target="https://www.sec.gov/Archives/edgar/data/899045/000119312520187830/d864629dex101.htm" TargetMode="External"/><Relationship Id="rId233" Type="http://schemas.openxmlformats.org/officeDocument/2006/relationships/hyperlink" Target="https://www.sec.gov/Archives/edgar/data/899045/000119312520276938/d25262dex101.htm" TargetMode="External"/><Relationship Id="rId236" Type="http://schemas.openxmlformats.org/officeDocument/2006/relationships/hyperlink" Target="https://www.sec.gov/Archives/edgar/data/0001090425/000119312521176922/d175058dex101.htm" TargetMode="External"/><Relationship Id="rId237" Type="http://schemas.openxmlformats.org/officeDocument/2006/relationships/hyperlink" Target="https://www.sec.gov/Archives/edgar/data/899045/000095012310042765/d72662exv10w1.htm" TargetMode="External"/><Relationship Id="rId238" Type="http://schemas.openxmlformats.org/officeDocument/2006/relationships/hyperlink" Target="https://www.sec.gov/Archives/edgar/data/899045/000095012311018470/d78824exv10wpw2.htm" TargetMode="External"/><Relationship Id="rId239" Type="http://schemas.openxmlformats.org/officeDocument/2006/relationships/hyperlink" Target="https://www.sec.gov/Archives/edgar/data/899045/000095012311018470/d78824exv10wpw3.htm" TargetMode="External"/><Relationship Id="rId240" Type="http://schemas.openxmlformats.org/officeDocument/2006/relationships/hyperlink" Target="https://www.sec.gov/Archives/edgar/data/899045/000119312512057440/d299753dex102.htm" TargetMode="External"/><Relationship Id="rId241" Type="http://schemas.openxmlformats.org/officeDocument/2006/relationships/hyperlink" Target="https://www.sec.gov/Archives/edgar/data/899045/000119312514072774/d651857dex10f11.htm" TargetMode="External"/><Relationship Id="rId242" Type="http://schemas.openxmlformats.org/officeDocument/2006/relationships/hyperlink" Target="https://www.sec.gov/Archives/edgar/data/899045/000119312514040877/d672556dex101.htm" TargetMode="External"/><Relationship Id="rId243" Type="http://schemas.openxmlformats.org/officeDocument/2006/relationships/hyperlink" Target="https://www.sec.gov/Archives/edgar/data/899045/000119312514152081/d715756dex101.htm" TargetMode="External"/><Relationship Id="rId246" Type="http://schemas.openxmlformats.org/officeDocument/2006/relationships/hyperlink" Target="https://www.sec.gov/Archives/edgar/data/899045/000119312516428976/d121868dex101.htm" TargetMode="External"/><Relationship Id="rId247" Type="http://schemas.openxmlformats.org/officeDocument/2006/relationships/hyperlink" Target="https://www.sec.gov/Archives/edgar/data/899045/000119312516496958/d138430dex101.htm" TargetMode="External"/><Relationship Id="rId248" Type="http://schemas.openxmlformats.org/officeDocument/2006/relationships/hyperlink" Target="https://www.sec.gov/Archives/edgar/data/899045/000119312517176596/d400789dex101.htm" TargetMode="External"/><Relationship Id="rId249" Type="http://schemas.openxmlformats.org/officeDocument/2006/relationships/hyperlink" Target="https://www.sec.gov/Archives/edgar/data/899045/000119312518089644/d545969dex101.htm" TargetMode="External"/><Relationship Id="rId250" Type="http://schemas.openxmlformats.org/officeDocument/2006/relationships/hyperlink" Target="https://www.sec.gov/Archives/edgar/data/899045/000119312518347754/d672539dex101.htm" TargetMode="External"/><Relationship Id="rId251" Type="http://schemas.openxmlformats.org/officeDocument/2006/relationships/hyperlink" Target="https://www.sec.gov/Archives/edgar/data/899045/000119312519014003/d690385dex101.htm" TargetMode="External"/><Relationship Id="rId252" Type="http://schemas.openxmlformats.org/officeDocument/2006/relationships/hyperlink" Target="https://www.sec.gov/Archives/edgar/data/899045/000119312512081940/d263372dex10p4.htm" TargetMode="External"/><Relationship Id="rId253" Type="http://schemas.openxmlformats.org/officeDocument/2006/relationships/hyperlink" Target="https://www.sec.gov/Archives/edgar/data/899045/000119312512081940/d263372dex10p5.htm" TargetMode="External"/><Relationship Id="rId254" Type="http://schemas.openxmlformats.org/officeDocument/2006/relationships/hyperlink" Target="https://www.sec.gov/Archives/edgar/data/899045/000119312512081940/d263372dex10p6.htm" TargetMode="External"/><Relationship Id="rId256" Type="http://schemas.openxmlformats.org/officeDocument/2006/relationships/hyperlink" Target="https://www.sec.gov/Archives/edgar/data/899045/000119312513084458/d446463dex10f9.htm" TargetMode="External"/><Relationship Id="rId257" Type="http://schemas.openxmlformats.org/officeDocument/2006/relationships/hyperlink" Target="https://www.sec.gov/Archives/edgar/data/899045/000119312513084458/d446463dex10f10.htm" TargetMode="External"/><Relationship Id="rId258" Type="http://schemas.openxmlformats.org/officeDocument/2006/relationships/hyperlink" Target="https://www.sec.gov/Archives/edgar/data/899045/000119312514072774/d651857dex10f12.htm" TargetMode="External"/><Relationship Id="rId259" Type="http://schemas.openxmlformats.org/officeDocument/2006/relationships/hyperlink" Target="https://www.sec.gov/Archives/edgar/data/899045/000119312514072774/d651857dex10f13.htm" TargetMode="External"/><Relationship Id="rId260" Type="http://schemas.openxmlformats.org/officeDocument/2006/relationships/hyperlink" Target="https://www.sec.gov/Archives/edgar/data/899045/000119312514072774/d651857dex10f14.htm" TargetMode="External"/><Relationship Id="rId262" Type="http://schemas.openxmlformats.org/officeDocument/2006/relationships/hyperlink" Target="https://www.sec.gov/Archives/edgar/data/899045/000119312514072774/d651857dex10f15.htm" TargetMode="External"/><Relationship Id="rId263" Type="http://schemas.openxmlformats.org/officeDocument/2006/relationships/hyperlink" Target="https://www.sec.gov/Archives/edgar/data/899045/000156459017002293/lamr-ex10f20_934.htm" TargetMode="External"/><Relationship Id="rId266" Type="http://schemas.openxmlformats.org/officeDocument/2006/relationships/hyperlink" Target="https://www.sec.gov/Archives/edgar/data/899045/000156459018010171/lamr-ex101_92.htm" TargetMode="External"/><Relationship Id="rId267" Type="http://schemas.openxmlformats.org/officeDocument/2006/relationships/hyperlink" Target="https://www.sec.gov/Archives/edgar/data/899045/000156459019015115/lamr-ex103_84.htm" TargetMode="External"/><Relationship Id="rId268" Type="http://schemas.openxmlformats.org/officeDocument/2006/relationships/hyperlink" Target="https://www.sec.gov/Archives/edgar/data/899045/000156459019015115/lamr-ex104_83.htm" TargetMode="External"/><Relationship Id="rId269" Type="http://schemas.openxmlformats.org/officeDocument/2006/relationships/hyperlink" Target="https://www.sec.gov/Archives/edgar/data/899045/000156459019040322/lamr-ex101_137.htm" TargetMode="External"/><Relationship Id="rId270" Type="http://schemas.openxmlformats.org/officeDocument/2006/relationships/hyperlink" Target="https://www.sec.gov/Archives/edgar/data/899045/000119312520033197/d889727dex103.htm" TargetMode="External"/><Relationship Id="rId271" Type="http://schemas.openxmlformats.org/officeDocument/2006/relationships/hyperlink" Target="https://www.sec.gov/Archives/edgar/data/1090425/000119312514417756/d8230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2022-02-25T10:51:46Z</dcterms:created>
  <dcterms:modified xsi:type="dcterms:W3CDTF">2022-02-25T10:51:46Z</dcterms:modified>
</cp:coreProperties>
</file>