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84"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 the quarterly period ended June 30, 2025</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or</w:t>
      </w:r>
    </w:p>
    <w:p>
      <w:pPr>
        <w:ind w:left="360" w:hanging="334"/>
        <w:spacing w:after="0" w:line="195" w:lineRule="auto"/>
        <w:tabs>
          <w:tab w:leader="none" w:pos="360" w:val="left"/>
        </w:tabs>
        <w:numPr>
          <w:ilvl w:val="0"/>
          <w:numId w:val="2"/>
        </w:numPr>
        <w:rPr>
          <w:rFonts w:ascii="MS PGothic" w:cs="MS PGothic" w:eastAsia="MS PGothic" w:hAnsi="MS PGothic"/>
          <w:sz w:val="25"/>
          <w:szCs w:val="25"/>
          <w:color w:val="auto"/>
          <w:vertAlign w:val="subscript"/>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252"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For the transition period from______to______</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 xml:space="preserve">Commission File Number </w:t>
      </w:r>
      <w:r>
        <w:rPr>
          <w:rFonts w:ascii="Times New Roman" w:cs="Times New Roman" w:eastAsia="Times New Roman" w:hAnsi="Times New Roman"/>
          <w:sz w:val="13"/>
          <w:szCs w:val="13"/>
          <w:b w:val="1"/>
          <w:bCs w:val="1"/>
          <w:i w:val="1"/>
          <w:iCs w:val="1"/>
          <w:color w:val="auto"/>
        </w:rPr>
        <w:t>1-36756</w:t>
      </w:r>
    </w:p>
    <w:p>
      <w:pPr>
        <w:spacing w:after="0" w:line="94"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3"/>
          <w:szCs w:val="13"/>
          <w:b w:val="1"/>
          <w:bCs w:val="1"/>
          <w:color w:val="auto"/>
        </w:rPr>
        <w:t>__________________________________</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Lamar Advertising Company</w:t>
      </w:r>
    </w:p>
    <w:p>
      <w:pPr>
        <w:spacing w:after="0" w:line="96"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3"/>
          <w:szCs w:val="13"/>
          <w:b w:val="1"/>
          <w:bCs w:val="1"/>
          <w:color w:val="auto"/>
        </w:rPr>
        <w:t>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Commission File Number 1-12407</w:t>
      </w:r>
    </w:p>
    <w:p>
      <w:pPr>
        <w:spacing w:after="0" w:line="94"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3"/>
          <w:szCs w:val="13"/>
          <w:b w:val="1"/>
          <w:bCs w:val="1"/>
          <w:color w:val="auto"/>
        </w:rPr>
        <w:t>__________________________________</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Lamar Media Corp.</w:t>
      </w:r>
    </w:p>
    <w:p>
      <w:pPr>
        <w:spacing w:after="0" w:line="96" w:lineRule="exact"/>
        <w:rPr>
          <w:sz w:val="24"/>
          <w:szCs w:val="24"/>
          <w:color w:val="auto"/>
        </w:rPr>
      </w:pPr>
    </w:p>
    <w:tbl>
      <w:tblPr>
        <w:tblLayout w:type="fixed"/>
        <w:tblInd w:w="10" w:type="dxa"/>
        <w:tblCellMar>
          <w:top w:w="0" w:type="dxa"/>
          <w:left w:w="0" w:type="dxa"/>
          <w:bottom w:w="0" w:type="dxa"/>
          <w:right w:w="0" w:type="dxa"/>
        </w:tblCellMar>
      </w:tblPr>
      <w:tr>
        <w:trPr>
          <w:trHeight w:val="166"/>
        </w:trPr>
        <w:tc>
          <w:tcPr>
            <w:tcW w:w="3960" w:type="dxa"/>
            <w:vAlign w:val="bottom"/>
          </w:tcPr>
          <w:p>
            <w:pPr>
              <w:spacing w:after="0"/>
              <w:rPr>
                <w:sz w:val="14"/>
                <w:szCs w:val="14"/>
                <w:color w:val="auto"/>
              </w:rPr>
            </w:pPr>
          </w:p>
        </w:tc>
        <w:tc>
          <w:tcPr>
            <w:tcW w:w="352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(Exact names of registrants as specified in their charters)</w:t>
            </w:r>
          </w:p>
        </w:tc>
        <w:tc>
          <w:tcPr>
            <w:tcW w:w="3560" w:type="dxa"/>
            <w:vAlign w:val="bottom"/>
          </w:tcPr>
          <w:p>
            <w:pPr>
              <w:spacing w:after="0"/>
              <w:rPr>
                <w:sz w:val="14"/>
                <w:szCs w:val="14"/>
                <w:color w:val="auto"/>
              </w:rPr>
            </w:pPr>
          </w:p>
        </w:tc>
      </w:tr>
      <w:tr>
        <w:trPr>
          <w:trHeight w:val="243"/>
        </w:trPr>
        <w:tc>
          <w:tcPr>
            <w:tcW w:w="3960" w:type="dxa"/>
            <w:vAlign w:val="bottom"/>
          </w:tcPr>
          <w:p>
            <w:pPr>
              <w:spacing w:after="0"/>
              <w:rPr>
                <w:sz w:val="21"/>
                <w:szCs w:val="21"/>
                <w:color w:val="auto"/>
              </w:rPr>
            </w:pPr>
          </w:p>
        </w:tc>
        <w:tc>
          <w:tcPr>
            <w:tcW w:w="2700" w:type="dxa"/>
            <w:vAlign w:val="bottom"/>
            <w:gridSpan w:val="2"/>
          </w:tcPr>
          <w:p>
            <w:pPr>
              <w:jc w:val="center"/>
              <w:ind w:left="577"/>
              <w:spacing w:after="0"/>
              <w:rPr>
                <w:sz w:val="20"/>
                <w:szCs w:val="20"/>
                <w:color w:val="auto"/>
              </w:rPr>
            </w:pPr>
            <w:r>
              <w:rPr>
                <w:rFonts w:ascii="Times New Roman" w:cs="Times New Roman" w:eastAsia="Times New Roman" w:hAnsi="Times New Roman"/>
                <w:sz w:val="13"/>
                <w:szCs w:val="13"/>
                <w:b w:val="1"/>
                <w:bCs w:val="1"/>
                <w:color w:val="auto"/>
                <w:w w:val="97"/>
              </w:rPr>
              <w:t>________________________________</w:t>
            </w:r>
          </w:p>
        </w:tc>
        <w:tc>
          <w:tcPr>
            <w:tcW w:w="820" w:type="dxa"/>
            <w:vAlign w:val="bottom"/>
          </w:tcPr>
          <w:p>
            <w:pPr>
              <w:spacing w:after="0"/>
              <w:rPr>
                <w:sz w:val="21"/>
                <w:szCs w:val="21"/>
                <w:color w:val="auto"/>
              </w:rPr>
            </w:pPr>
          </w:p>
        </w:tc>
        <w:tc>
          <w:tcPr>
            <w:tcW w:w="3560" w:type="dxa"/>
            <w:vAlign w:val="bottom"/>
          </w:tcPr>
          <w:p>
            <w:pPr>
              <w:spacing w:after="0"/>
              <w:rPr>
                <w:sz w:val="21"/>
                <w:szCs w:val="21"/>
                <w:color w:val="auto"/>
              </w:rPr>
            </w:pPr>
          </w:p>
        </w:tc>
      </w:tr>
      <w:tr>
        <w:trPr>
          <w:trHeight w:val="297"/>
        </w:trPr>
        <w:tc>
          <w:tcPr>
            <w:tcW w:w="3960" w:type="dxa"/>
            <w:vAlign w:val="bottom"/>
          </w:tcPr>
          <w:p>
            <w:pPr>
              <w:jc w:val="center"/>
              <w:ind w:left="149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60" w:type="dxa"/>
            <w:vAlign w:val="bottom"/>
          </w:tcPr>
          <w:p>
            <w:pPr>
              <w:jc w:val="center"/>
              <w:ind w:right="1517"/>
              <w:spacing w:after="0"/>
              <w:rPr>
                <w:sz w:val="20"/>
                <w:szCs w:val="20"/>
                <w:color w:val="auto"/>
              </w:rPr>
            </w:pPr>
            <w:r>
              <w:rPr>
                <w:rFonts w:ascii="Times New Roman" w:cs="Times New Roman" w:eastAsia="Times New Roman" w:hAnsi="Times New Roman"/>
                <w:sz w:val="13"/>
                <w:szCs w:val="13"/>
                <w:b w:val="1"/>
                <w:bCs w:val="1"/>
                <w:color w:val="auto"/>
                <w:w w:val="98"/>
              </w:rPr>
              <w:t>47-0961620</w:t>
            </w:r>
          </w:p>
        </w:tc>
      </w:tr>
      <w:tr>
        <w:trPr>
          <w:trHeight w:val="203"/>
        </w:trPr>
        <w:tc>
          <w:tcPr>
            <w:tcW w:w="3960" w:type="dxa"/>
            <w:vAlign w:val="bottom"/>
          </w:tcPr>
          <w:p>
            <w:pPr>
              <w:jc w:val="center"/>
              <w:ind w:left="149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4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560" w:type="dxa"/>
            <w:vAlign w:val="bottom"/>
          </w:tcPr>
          <w:p>
            <w:pPr>
              <w:jc w:val="center"/>
              <w:ind w:right="1517"/>
              <w:spacing w:after="0"/>
              <w:rPr>
                <w:sz w:val="20"/>
                <w:szCs w:val="20"/>
                <w:color w:val="auto"/>
              </w:rPr>
            </w:pPr>
            <w:r>
              <w:rPr>
                <w:rFonts w:ascii="Times New Roman" w:cs="Times New Roman" w:eastAsia="Times New Roman" w:hAnsi="Times New Roman"/>
                <w:sz w:val="13"/>
                <w:szCs w:val="13"/>
                <w:b w:val="1"/>
                <w:bCs w:val="1"/>
                <w:color w:val="auto"/>
                <w:w w:val="98"/>
              </w:rPr>
              <w:t>72-1205791</w:t>
            </w:r>
          </w:p>
        </w:tc>
      </w:tr>
      <w:tr>
        <w:trPr>
          <w:trHeight w:val="203"/>
        </w:trPr>
        <w:tc>
          <w:tcPr>
            <w:tcW w:w="7480" w:type="dxa"/>
            <w:vAlign w:val="bottom"/>
            <w:gridSpan w:val="4"/>
          </w:tcPr>
          <w:p>
            <w:pPr>
              <w:jc w:val="center"/>
              <w:ind w:right="1960"/>
              <w:spacing w:after="0"/>
              <w:rPr>
                <w:sz w:val="20"/>
                <w:szCs w:val="20"/>
                <w:color w:val="auto"/>
              </w:rPr>
            </w:pPr>
            <w:r>
              <w:rPr>
                <w:rFonts w:ascii="Times New Roman" w:cs="Times New Roman" w:eastAsia="Times New Roman" w:hAnsi="Times New Roman"/>
                <w:sz w:val="13"/>
                <w:szCs w:val="13"/>
                <w:b w:val="1"/>
                <w:bCs w:val="1"/>
                <w:i w:val="1"/>
                <w:iCs w:val="1"/>
                <w:color w:val="auto"/>
                <w:w w:val="96"/>
              </w:rPr>
              <w:t>(State or other jurisdiction of incorporation or organization)</w:t>
            </w:r>
          </w:p>
        </w:tc>
        <w:tc>
          <w:tcPr>
            <w:tcW w:w="3560" w:type="dxa"/>
            <w:vAlign w:val="bottom"/>
          </w:tcPr>
          <w:p>
            <w:pPr>
              <w:jc w:val="center"/>
              <w:ind w:right="1537"/>
              <w:spacing w:after="0"/>
              <w:rPr>
                <w:sz w:val="20"/>
                <w:szCs w:val="20"/>
                <w:color w:val="auto"/>
              </w:rPr>
            </w:pPr>
            <w:r>
              <w:rPr>
                <w:rFonts w:ascii="Times New Roman" w:cs="Times New Roman" w:eastAsia="Times New Roman" w:hAnsi="Times New Roman"/>
                <w:sz w:val="13"/>
                <w:szCs w:val="13"/>
                <w:b w:val="1"/>
                <w:bCs w:val="1"/>
                <w:i w:val="1"/>
                <w:iCs w:val="1"/>
                <w:color w:val="auto"/>
                <w:w w:val="96"/>
              </w:rPr>
              <w:t>(I.R.S Employer Identification No.)</w:t>
            </w:r>
          </w:p>
        </w:tc>
      </w:tr>
      <w:tr>
        <w:trPr>
          <w:trHeight w:val="405"/>
        </w:trPr>
        <w:tc>
          <w:tcPr>
            <w:tcW w:w="3960" w:type="dxa"/>
            <w:vAlign w:val="bottom"/>
          </w:tcPr>
          <w:p>
            <w:pPr>
              <w:jc w:val="center"/>
              <w:ind w:left="1497"/>
              <w:spacing w:after="0"/>
              <w:rPr>
                <w:sz w:val="20"/>
                <w:szCs w:val="20"/>
                <w:color w:val="auto"/>
              </w:rPr>
            </w:pPr>
            <w:r>
              <w:rPr>
                <w:rFonts w:ascii="Times New Roman" w:cs="Times New Roman" w:eastAsia="Times New Roman" w:hAnsi="Times New Roman"/>
                <w:sz w:val="13"/>
                <w:szCs w:val="13"/>
                <w:b w:val="1"/>
                <w:bCs w:val="1"/>
                <w:color w:val="auto"/>
                <w:w w:val="97"/>
              </w:rPr>
              <w:t>5321 Corporate Blvd., Baton Rouge, LA</w:t>
            </w:r>
          </w:p>
        </w:tc>
        <w:tc>
          <w:tcPr>
            <w:tcW w:w="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60" w:type="dxa"/>
            <w:vAlign w:val="bottom"/>
          </w:tcPr>
          <w:p>
            <w:pPr>
              <w:jc w:val="center"/>
              <w:ind w:right="1537"/>
              <w:spacing w:after="0"/>
              <w:rPr>
                <w:sz w:val="20"/>
                <w:szCs w:val="20"/>
                <w:color w:val="auto"/>
              </w:rPr>
            </w:pPr>
            <w:r>
              <w:rPr>
                <w:rFonts w:ascii="Times New Roman" w:cs="Times New Roman" w:eastAsia="Times New Roman" w:hAnsi="Times New Roman"/>
                <w:sz w:val="13"/>
                <w:szCs w:val="13"/>
                <w:b w:val="1"/>
                <w:bCs w:val="1"/>
                <w:color w:val="auto"/>
                <w:w w:val="98"/>
              </w:rPr>
              <w:t>70808</w:t>
            </w:r>
          </w:p>
        </w:tc>
      </w:tr>
      <w:tr>
        <w:trPr>
          <w:trHeight w:val="203"/>
        </w:trPr>
        <w:tc>
          <w:tcPr>
            <w:tcW w:w="3960" w:type="dxa"/>
            <w:vAlign w:val="bottom"/>
          </w:tcPr>
          <w:p>
            <w:pPr>
              <w:jc w:val="center"/>
              <w:ind w:left="149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4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560" w:type="dxa"/>
            <w:vAlign w:val="bottom"/>
          </w:tcPr>
          <w:p>
            <w:pPr>
              <w:jc w:val="center"/>
              <w:ind w:right="151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351"/>
        </w:trPr>
        <w:tc>
          <w:tcPr>
            <w:tcW w:w="7480" w:type="dxa"/>
            <w:vAlign w:val="bottom"/>
            <w:gridSpan w:val="4"/>
          </w:tcPr>
          <w:p>
            <w:pPr>
              <w:ind w:left="3780"/>
              <w:spacing w:after="0"/>
              <w:rPr>
                <w:sz w:val="20"/>
                <w:szCs w:val="20"/>
                <w:color w:val="auto"/>
              </w:rPr>
            </w:pPr>
            <w:r>
              <w:rPr>
                <w:rFonts w:ascii="Times New Roman" w:cs="Times New Roman" w:eastAsia="Times New Roman" w:hAnsi="Times New Roman"/>
                <w:sz w:val="13"/>
                <w:szCs w:val="13"/>
                <w:b w:val="1"/>
                <w:bCs w:val="1"/>
                <w:color w:val="auto"/>
                <w:w w:val="97"/>
              </w:rPr>
              <w:t>Registrants’ telephone number, including area code: (225) 926-1000</w:t>
            </w:r>
          </w:p>
        </w:tc>
        <w:tc>
          <w:tcPr>
            <w:tcW w:w="3560" w:type="dxa"/>
            <w:vAlign w:val="bottom"/>
          </w:tcPr>
          <w:p>
            <w:pPr>
              <w:spacing w:after="0"/>
              <w:rPr>
                <w:sz w:val="24"/>
                <w:szCs w:val="24"/>
                <w:color w:val="auto"/>
              </w:rPr>
            </w:pPr>
          </w:p>
        </w:tc>
      </w:tr>
      <w:tr>
        <w:trPr>
          <w:trHeight w:val="243"/>
        </w:trPr>
        <w:tc>
          <w:tcPr>
            <w:tcW w:w="3960" w:type="dxa"/>
            <w:vAlign w:val="bottom"/>
          </w:tcPr>
          <w:p>
            <w:pPr>
              <w:spacing w:after="0"/>
              <w:rPr>
                <w:sz w:val="21"/>
                <w:szCs w:val="21"/>
                <w:color w:val="auto"/>
              </w:rPr>
            </w:pPr>
          </w:p>
        </w:tc>
        <w:tc>
          <w:tcPr>
            <w:tcW w:w="352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color w:val="auto"/>
                <w:w w:val="96"/>
              </w:rPr>
              <w:t>Securities registered pursuant to Section 12(b) of the Act:</w:t>
            </w:r>
          </w:p>
        </w:tc>
        <w:tc>
          <w:tcPr>
            <w:tcW w:w="3560" w:type="dxa"/>
            <w:vAlign w:val="bottom"/>
          </w:tcPr>
          <w:p>
            <w:pPr>
              <w:spacing w:after="0"/>
              <w:rPr>
                <w:sz w:val="21"/>
                <w:szCs w:val="21"/>
                <w:color w:val="auto"/>
              </w:rPr>
            </w:pPr>
          </w:p>
        </w:tc>
      </w:tr>
      <w:tr>
        <w:trPr>
          <w:trHeight w:val="124"/>
        </w:trPr>
        <w:tc>
          <w:tcPr>
            <w:tcW w:w="39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560" w:type="dxa"/>
            <w:vAlign w:val="bottom"/>
            <w:tcBorders>
              <w:bottom w:val="single" w:sz="8" w:color="auto"/>
            </w:tcBorders>
          </w:tcPr>
          <w:p>
            <w:pPr>
              <w:spacing w:after="0"/>
              <w:rPr>
                <w:sz w:val="10"/>
                <w:szCs w:val="10"/>
                <w:color w:val="auto"/>
              </w:rPr>
            </w:pPr>
          </w:p>
        </w:tc>
      </w:tr>
      <w:tr>
        <w:trPr>
          <w:trHeight w:val="167"/>
        </w:trPr>
        <w:tc>
          <w:tcPr>
            <w:tcW w:w="3960" w:type="dxa"/>
            <w:vAlign w:val="bottom"/>
            <w:tcBorders>
              <w:left w:val="single" w:sz="8" w:color="auto"/>
            </w:tcBorders>
          </w:tcPr>
          <w:p>
            <w:pPr>
              <w:jc w:val="center"/>
              <w:ind w:left="337"/>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4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Trading Symbol(s)</w:t>
            </w:r>
          </w:p>
        </w:tc>
        <w:tc>
          <w:tcPr>
            <w:tcW w:w="820" w:type="dxa"/>
            <w:vAlign w:val="bottom"/>
          </w:tcPr>
          <w:p>
            <w:pPr>
              <w:spacing w:after="0"/>
              <w:rPr>
                <w:sz w:val="14"/>
                <w:szCs w:val="14"/>
                <w:color w:val="auto"/>
              </w:rPr>
            </w:pPr>
          </w:p>
        </w:tc>
        <w:tc>
          <w:tcPr>
            <w:tcW w:w="3560" w:type="dxa"/>
            <w:vAlign w:val="bottom"/>
            <w:tcBorders>
              <w:right w:val="single" w:sz="8" w:color="auto"/>
            </w:tcBorders>
          </w:tcPr>
          <w:p>
            <w:pPr>
              <w:jc w:val="center"/>
              <w:ind w:right="777"/>
              <w:spacing w:after="0"/>
              <w:rPr>
                <w:sz w:val="20"/>
                <w:szCs w:val="20"/>
                <w:color w:val="auto"/>
              </w:rPr>
            </w:pPr>
            <w:r>
              <w:rPr>
                <w:rFonts w:ascii="Times New Roman" w:cs="Times New Roman" w:eastAsia="Times New Roman" w:hAnsi="Times New Roman"/>
                <w:sz w:val="13"/>
                <w:szCs w:val="13"/>
                <w:color w:val="auto"/>
                <w:w w:val="97"/>
              </w:rPr>
              <w:t>Name of each exchange on which registered</w:t>
            </w:r>
          </w:p>
        </w:tc>
      </w:tr>
      <w:tr>
        <w:trPr>
          <w:trHeight w:val="30"/>
        </w:trPr>
        <w:tc>
          <w:tcPr>
            <w:tcW w:w="396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166"/>
        </w:trPr>
        <w:tc>
          <w:tcPr>
            <w:tcW w:w="3960" w:type="dxa"/>
            <w:vAlign w:val="bottom"/>
            <w:tcBorders>
              <w:left w:val="single" w:sz="8" w:color="auto"/>
            </w:tcBorders>
          </w:tcPr>
          <w:p>
            <w:pPr>
              <w:jc w:val="center"/>
              <w:ind w:left="337"/>
              <w:spacing w:after="0"/>
              <w:rPr>
                <w:sz w:val="20"/>
                <w:szCs w:val="20"/>
                <w:color w:val="auto"/>
              </w:rPr>
            </w:pPr>
            <w:r>
              <w:rPr>
                <w:rFonts w:ascii="Times New Roman" w:cs="Times New Roman" w:eastAsia="Times New Roman" w:hAnsi="Times New Roman"/>
                <w:sz w:val="13"/>
                <w:szCs w:val="13"/>
                <w:color w:val="auto"/>
                <w:w w:val="97"/>
              </w:rPr>
              <w:t>Class A common stock, $0.001 par value</w:t>
            </w:r>
          </w:p>
        </w:tc>
        <w:tc>
          <w:tcPr>
            <w:tcW w:w="4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LAMR</w:t>
            </w:r>
          </w:p>
        </w:tc>
        <w:tc>
          <w:tcPr>
            <w:tcW w:w="820" w:type="dxa"/>
            <w:vAlign w:val="bottom"/>
          </w:tcPr>
          <w:p>
            <w:pPr>
              <w:spacing w:after="0"/>
              <w:rPr>
                <w:sz w:val="14"/>
                <w:szCs w:val="14"/>
                <w:color w:val="auto"/>
              </w:rPr>
            </w:pPr>
          </w:p>
        </w:tc>
        <w:tc>
          <w:tcPr>
            <w:tcW w:w="3560" w:type="dxa"/>
            <w:vAlign w:val="bottom"/>
            <w:tcBorders>
              <w:right w:val="single" w:sz="8" w:color="auto"/>
            </w:tcBorders>
          </w:tcPr>
          <w:p>
            <w:pPr>
              <w:jc w:val="center"/>
              <w:ind w:right="777"/>
              <w:spacing w:after="0"/>
              <w:rPr>
                <w:sz w:val="20"/>
                <w:szCs w:val="20"/>
                <w:color w:val="auto"/>
              </w:rPr>
            </w:pPr>
            <w:r>
              <w:rPr>
                <w:rFonts w:ascii="Times New Roman" w:cs="Times New Roman" w:eastAsia="Times New Roman" w:hAnsi="Times New Roman"/>
                <w:sz w:val="13"/>
                <w:szCs w:val="13"/>
                <w:color w:val="auto"/>
                <w:w w:val="96"/>
              </w:rPr>
              <w:t>The NASDAQ Stock Market, LLC</w:t>
            </w:r>
          </w:p>
        </w:tc>
      </w:tr>
      <w:tr>
        <w:trPr>
          <w:trHeight w:val="30"/>
        </w:trPr>
        <w:tc>
          <w:tcPr>
            <w:tcW w:w="396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bl>
    <w:p>
      <w:pPr>
        <w:spacing w:after="0" w:line="162" w:lineRule="exact"/>
        <w:rPr>
          <w:sz w:val="24"/>
          <w:szCs w:val="24"/>
          <w:color w:val="auto"/>
        </w:rPr>
      </w:pPr>
    </w:p>
    <w:p>
      <w:pPr>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1"/>
          <w:szCs w:val="11"/>
          <w:color w:val="auto"/>
        </w:rPr>
        <w:t>☐</w:t>
      </w:r>
    </w:p>
    <w:p>
      <w:pPr>
        <w:spacing w:after="0" w:line="60" w:lineRule="exact"/>
        <w:rPr>
          <w:sz w:val="24"/>
          <w:szCs w:val="24"/>
          <w:color w:val="auto"/>
        </w:rPr>
      </w:pPr>
    </w:p>
    <w:p>
      <w:pPr>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1"/>
          <w:szCs w:val="11"/>
          <w:color w:val="auto"/>
        </w:rPr>
        <w:t>☐</w:t>
      </w:r>
    </w:p>
    <w:p>
      <w:pPr>
        <w:spacing w:after="0" w:line="60"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1"/>
          <w:szCs w:val="11"/>
          <w:color w:val="auto"/>
        </w:rPr>
        <w:t>Indicate by check mark whether Lamar Advertising Company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380" w:type="dxa"/>
            <w:vAlign w:val="bottom"/>
          </w:tcPr>
          <w:p>
            <w:pPr>
              <w:ind w:left="680"/>
              <w:spacing w:after="0" w:line="111" w:lineRule="exact"/>
              <w:rPr>
                <w:sz w:val="20"/>
                <w:szCs w:val="20"/>
                <w:color w:val="auto"/>
              </w:rPr>
            </w:pPr>
            <w:r>
              <w:rPr>
                <w:rFonts w:ascii="MS PGothic" w:cs="MS PGothic" w:eastAsia="MS PGothic" w:hAnsi="MS PGothic"/>
                <w:sz w:val="11"/>
                <w:szCs w:val="11"/>
                <w:color w:val="auto"/>
              </w:rPr>
              <w:t>☒</w:t>
            </w:r>
          </w:p>
        </w:tc>
        <w:tc>
          <w:tcPr>
            <w:tcW w:w="4560" w:type="dxa"/>
            <w:vAlign w:val="bottom"/>
          </w:tcPr>
          <w:p>
            <w:pPr>
              <w:ind w:left="2580"/>
              <w:spacing w:after="0"/>
              <w:rPr>
                <w:sz w:val="20"/>
                <w:szCs w:val="20"/>
                <w:color w:val="auto"/>
              </w:rPr>
            </w:pPr>
            <w:r>
              <w:rPr>
                <w:rFonts w:ascii="Times New Roman" w:cs="Times New Roman" w:eastAsia="Times New Roman" w:hAnsi="Times New Roman"/>
                <w:sz w:val="11"/>
                <w:szCs w:val="11"/>
                <w:color w:val="auto"/>
              </w:rPr>
              <w:t>Accelerated filer</w:t>
            </w:r>
          </w:p>
        </w:tc>
        <w:tc>
          <w:tcPr>
            <w:tcW w:w="880" w:type="dxa"/>
            <w:vAlign w:val="bottom"/>
          </w:tcPr>
          <w:p>
            <w:pPr>
              <w:ind w:left="800"/>
              <w:spacing w:after="0" w:line="81" w:lineRule="exact"/>
              <w:rPr>
                <w:sz w:val="20"/>
                <w:szCs w:val="20"/>
                <w:color w:val="auto"/>
              </w:rPr>
            </w:pPr>
            <w:r>
              <w:rPr>
                <w:rFonts w:ascii="MS PGothic" w:cs="MS PGothic" w:eastAsia="MS PGothic" w:hAnsi="MS PGothic"/>
                <w:sz w:val="8"/>
                <w:szCs w:val="8"/>
                <w:color w:val="auto"/>
                <w:w w:val="74"/>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380" w:type="dxa"/>
            <w:vAlign w:val="bottom"/>
          </w:tcPr>
          <w:p>
            <w:pPr>
              <w:ind w:left="680"/>
              <w:spacing w:after="0" w:line="111" w:lineRule="exact"/>
              <w:rPr>
                <w:sz w:val="20"/>
                <w:szCs w:val="20"/>
                <w:color w:val="auto"/>
              </w:rPr>
            </w:pPr>
            <w:r>
              <w:rPr>
                <w:rFonts w:ascii="MS PGothic" w:cs="MS PGothic" w:eastAsia="MS PGothic" w:hAnsi="MS PGothic"/>
                <w:sz w:val="11"/>
                <w:szCs w:val="11"/>
                <w:color w:val="auto"/>
              </w:rPr>
              <w:t>☐</w:t>
            </w:r>
          </w:p>
        </w:tc>
        <w:tc>
          <w:tcPr>
            <w:tcW w:w="4560" w:type="dxa"/>
            <w:vAlign w:val="bottom"/>
          </w:tcPr>
          <w:p>
            <w:pPr>
              <w:ind w:left="258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880" w:type="dxa"/>
            <w:vAlign w:val="bottom"/>
          </w:tcPr>
          <w:p>
            <w:pPr>
              <w:ind w:left="800"/>
              <w:spacing w:after="0" w:line="81" w:lineRule="exact"/>
              <w:rPr>
                <w:sz w:val="20"/>
                <w:szCs w:val="20"/>
                <w:color w:val="auto"/>
              </w:rPr>
            </w:pPr>
            <w:r>
              <w:rPr>
                <w:rFonts w:ascii="MS PGothic" w:cs="MS PGothic" w:eastAsia="MS PGothic" w:hAnsi="MS PGothic"/>
                <w:sz w:val="8"/>
                <w:szCs w:val="8"/>
                <w:color w:val="auto"/>
                <w:w w:val="74"/>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Emerging growth company</w:t>
            </w:r>
          </w:p>
        </w:tc>
        <w:tc>
          <w:tcPr>
            <w:tcW w:w="3380" w:type="dxa"/>
            <w:vAlign w:val="bottom"/>
          </w:tcPr>
          <w:p>
            <w:pPr>
              <w:ind w:left="680"/>
              <w:spacing w:after="0" w:line="111" w:lineRule="exact"/>
              <w:rPr>
                <w:sz w:val="20"/>
                <w:szCs w:val="20"/>
                <w:color w:val="auto"/>
              </w:rPr>
            </w:pPr>
            <w:r>
              <w:rPr>
                <w:rFonts w:ascii="MS PGothic" w:cs="MS PGothic" w:eastAsia="MS PGothic" w:hAnsi="MS PGothic"/>
                <w:sz w:val="11"/>
                <w:szCs w:val="11"/>
                <w:color w:val="auto"/>
              </w:rPr>
              <w:t>☐</w:t>
            </w:r>
          </w:p>
        </w:tc>
        <w:tc>
          <w:tcPr>
            <w:tcW w:w="456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181" w:lineRule="exact"/>
        <w:rPr>
          <w:sz w:val="24"/>
          <w:szCs w:val="24"/>
          <w:color w:val="auto"/>
        </w:rPr>
      </w:pPr>
    </w:p>
    <w:p>
      <w:pPr>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Lamar Advertising Company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60" w:lineRule="exact"/>
        <w:rPr>
          <w:sz w:val="24"/>
          <w:szCs w:val="24"/>
          <w:color w:val="auto"/>
        </w:rPr>
      </w:pPr>
    </w:p>
    <w:p>
      <w:pPr>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Lamar Media Corp.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r>
        <w:rPr>
          <w:rFonts w:ascii="MS PGothic" w:cs="MS PGothic" w:eastAsia="MS PGothic" w:hAnsi="MS PGothic"/>
          <w:sz w:val="11"/>
          <w:szCs w:val="11"/>
          <w:color w:val="auto"/>
        </w:rPr>
        <w:t>☐</w:t>
      </w:r>
    </w:p>
    <w:p>
      <w:pPr>
        <w:spacing w:after="0" w:line="90"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500" w:type="dxa"/>
            <w:vAlign w:val="bottom"/>
          </w:tcPr>
          <w:p>
            <w:pPr>
              <w:ind w:left="660"/>
              <w:spacing w:after="0" w:line="111" w:lineRule="exact"/>
              <w:rPr>
                <w:sz w:val="20"/>
                <w:szCs w:val="20"/>
                <w:color w:val="auto"/>
              </w:rPr>
            </w:pPr>
            <w:r>
              <w:rPr>
                <w:rFonts w:ascii="MS PGothic" w:cs="MS PGothic" w:eastAsia="MS PGothic" w:hAnsi="MS PGothic"/>
                <w:sz w:val="11"/>
                <w:szCs w:val="11"/>
                <w:color w:val="auto"/>
              </w:rPr>
              <w:t>☐</w:t>
            </w:r>
          </w:p>
        </w:tc>
        <w:tc>
          <w:tcPr>
            <w:tcW w:w="4580" w:type="dxa"/>
            <w:vAlign w:val="bottom"/>
          </w:tcPr>
          <w:p>
            <w:pPr>
              <w:ind w:left="2760"/>
              <w:spacing w:after="0"/>
              <w:rPr>
                <w:sz w:val="20"/>
                <w:szCs w:val="20"/>
                <w:color w:val="auto"/>
              </w:rPr>
            </w:pPr>
            <w:r>
              <w:rPr>
                <w:rFonts w:ascii="Times New Roman" w:cs="Times New Roman" w:eastAsia="Times New Roman" w:hAnsi="Times New Roman"/>
                <w:sz w:val="11"/>
                <w:szCs w:val="11"/>
                <w:color w:val="auto"/>
              </w:rPr>
              <w:t>Accelerated filer</w:t>
            </w:r>
          </w:p>
        </w:tc>
        <w:tc>
          <w:tcPr>
            <w:tcW w:w="740" w:type="dxa"/>
            <w:vAlign w:val="bottom"/>
          </w:tcPr>
          <w:p>
            <w:pPr>
              <w:ind w:left="6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500" w:type="dxa"/>
            <w:vAlign w:val="bottom"/>
          </w:tcPr>
          <w:p>
            <w:pPr>
              <w:ind w:left="660"/>
              <w:spacing w:after="0" w:line="111" w:lineRule="exact"/>
              <w:rPr>
                <w:sz w:val="20"/>
                <w:szCs w:val="20"/>
                <w:color w:val="auto"/>
              </w:rPr>
            </w:pPr>
            <w:r>
              <w:rPr>
                <w:rFonts w:ascii="MS PGothic" w:cs="MS PGothic" w:eastAsia="MS PGothic" w:hAnsi="MS PGothic"/>
                <w:sz w:val="11"/>
                <w:szCs w:val="11"/>
                <w:color w:val="auto"/>
              </w:rPr>
              <w:t>☒</w:t>
            </w:r>
          </w:p>
        </w:tc>
        <w:tc>
          <w:tcPr>
            <w:tcW w:w="4580" w:type="dxa"/>
            <w:vAlign w:val="bottom"/>
          </w:tcPr>
          <w:p>
            <w:pPr>
              <w:ind w:left="276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740" w:type="dxa"/>
            <w:vAlign w:val="bottom"/>
          </w:tcPr>
          <w:p>
            <w:pPr>
              <w:ind w:left="6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Emerging growth company</w:t>
            </w:r>
          </w:p>
        </w:tc>
        <w:tc>
          <w:tcPr>
            <w:tcW w:w="3500" w:type="dxa"/>
            <w:vAlign w:val="bottom"/>
          </w:tcPr>
          <w:p>
            <w:pPr>
              <w:ind w:left="660"/>
              <w:spacing w:after="0" w:line="111" w:lineRule="exact"/>
              <w:rPr>
                <w:sz w:val="20"/>
                <w:szCs w:val="20"/>
                <w:color w:val="auto"/>
              </w:rPr>
            </w:pPr>
            <w:r>
              <w:rPr>
                <w:rFonts w:ascii="MS PGothic" w:cs="MS PGothic" w:eastAsia="MS PGothic" w:hAnsi="MS PGothic"/>
                <w:sz w:val="11"/>
                <w:szCs w:val="11"/>
                <w:color w:val="auto"/>
              </w:rPr>
              <w:t>☐</w:t>
            </w:r>
          </w:p>
        </w:tc>
        <w:tc>
          <w:tcPr>
            <w:tcW w:w="458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pacing w:after="0" w:line="181" w:lineRule="exact"/>
        <w:rPr>
          <w:sz w:val="24"/>
          <w:szCs w:val="24"/>
          <w:color w:val="auto"/>
        </w:rPr>
      </w:pPr>
    </w:p>
    <w:p>
      <w:pPr>
        <w:ind w:right="20"/>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Lamar Media Corp.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ectPr>
          <w:pgSz w:w="11900" w:h="16838" w:orient="portrait"/>
          <w:cols w:equalWidth="0" w:num="1">
            <w:col w:w="11240"/>
          </w:cols>
          <w:pgMar w:left="320" w:top="229" w:right="339" w:bottom="1440" w:gutter="0" w:footer="0" w:header="0"/>
        </w:sectPr>
      </w:pP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Indicate by check mark whether Lamar Advertising Company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Yes</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91" w:lineRule="exact"/>
        <w:rPr>
          <w:sz w:val="20"/>
          <w:szCs w:val="20"/>
          <w:color w:val="auto"/>
        </w:rPr>
      </w:pP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89" w:lineRule="exact"/>
        <w:rPr>
          <w:sz w:val="24"/>
          <w:szCs w:val="24"/>
          <w:color w:val="auto"/>
        </w:rPr>
      </w:pPr>
    </w:p>
    <w:p>
      <w:pPr>
        <w:sectPr>
          <w:pgSz w:w="11900" w:h="16838" w:orient="portrait"/>
          <w:cols w:equalWidth="0" w:num="4">
            <w:col w:w="5620" w:space="100"/>
            <w:col w:w="160" w:space="60"/>
            <w:col w:w="180" w:space="100"/>
            <w:col w:w="5020"/>
          </w:cols>
          <w:pgMar w:left="320" w:top="229" w:right="339"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Indicate by check mark whether Lamar Media Corp.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Yes</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color w:val="auto"/>
        </w:rPr>
        <w:t>No</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153" w:lineRule="exact"/>
        <w:rPr>
          <w:sz w:val="24"/>
          <w:szCs w:val="24"/>
          <w:color w:val="auto"/>
        </w:rPr>
      </w:pPr>
    </w:p>
    <w:p>
      <w:pPr>
        <w:sectPr>
          <w:pgSz w:w="11900" w:h="16838" w:orient="portrait"/>
          <w:cols w:equalWidth="0" w:num="5">
            <w:col w:w="5200" w:space="100"/>
            <w:col w:w="160" w:space="60"/>
            <w:col w:w="200" w:space="100"/>
            <w:col w:w="120" w:space="60"/>
            <w:col w:w="524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The number of shares of Lamar Advertising Company’s Class A common stock outstanding as of August 1, 2025: 86,798,604</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number of shares of the Lamar Advertising Company’s Class B common stock outstanding as of August 1, 2025: 14,420,085</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number of shares of Lamar Media Corp. common stock outstanding as of August 1, 2025: 100</w:t>
      </w:r>
    </w:p>
    <w:p>
      <w:pPr>
        <w:spacing w:after="0" w:line="88"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1"/>
          <w:szCs w:val="11"/>
          <w:b w:val="1"/>
          <w:bCs w:val="1"/>
          <w:color w:val="auto"/>
        </w:rPr>
        <w:t>This combined Form 10-Q is separately filed by (i) Lamar Advertising Company and (ii) Lamar Media Corp. (which is a wholly owned subsidiary of Lamar Advertising Company). Lamar Media Corp. meets the conditions set forth in general instruction H(1) (a) and (b) of Form 10-Q and is, therefore, filing this form with the reduced disclosure format permitted by such instruction.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448945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w:t>
      </w:r>
    </w:p>
    <w:p>
      <w:pPr>
        <w:spacing w:after="0" w:line="247" w:lineRule="exact"/>
        <w:rPr>
          <w:sz w:val="20"/>
          <w:szCs w:val="20"/>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condition;</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objectives, prospects, growth and operating strategies;</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expenditures and level of acquisition activity;</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assets and realize operating efficiency from acquisitions;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opportunities and competitive positions;</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cash flows and expected cash requirements;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risks;</w:t>
      </w:r>
    </w:p>
    <w:p>
      <w:pPr>
        <w:spacing w:after="0" w:line="103" w:lineRule="exact"/>
        <w:rPr>
          <w:rFonts w:ascii="Times New Roman" w:cs="Times New Roman" w:eastAsia="Times New Roman" w:hAnsi="Times New Roman"/>
          <w:sz w:val="18"/>
          <w:szCs w:val="18"/>
          <w:color w:val="auto"/>
        </w:rPr>
      </w:pPr>
    </w:p>
    <w:p>
      <w:pPr>
        <w:ind w:left="1140" w:right="20" w:hanging="565"/>
        <w:spacing w:after="0" w:line="35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applicable covenants and restrictions included in Lamar Media’s senior credit facility, Accounts Receivable Securitization Program and the indentures relating to its outstanding notes;</w:t>
      </w: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dividend distributions; and</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qualified as a Real Estate Investment Trust (“REIT”).</w:t>
      </w:r>
    </w:p>
    <w:p>
      <w:pPr>
        <w:spacing w:after="0" w:line="30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uncertainties and other important factors, including but not limited to the following, any of which may cause the actual results, performance or achievements of Lamar Advertising Company (referred to herein as the “Company” or “Lamar Advertising”) or Lamar Media Corp. (referred to herein as “Lamar Media”) to differ materially from those expressed or implied by the forward-looking statements:</w:t>
      </w:r>
    </w:p>
    <w:p>
      <w:pPr>
        <w:spacing w:after="0" w:line="247" w:lineRule="exact"/>
        <w:rPr>
          <w:sz w:val="20"/>
          <w:szCs w:val="20"/>
          <w:color w:val="auto"/>
        </w:rPr>
      </w:pPr>
    </w:p>
    <w:p>
      <w:pPr>
        <w:ind w:left="1140" w:hanging="565"/>
        <w:spacing w:after="0" w:line="35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economy and financial markets generally and their effects on the markets in which we operate and the broader demand for advertising including economic changes that may result from new or increased tariffs, trade restrictions or geopolitical tensions;</w:t>
      </w: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expenditures on advertising in general and outdoor advertising in particular;</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relating to our significant indebtedness;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outdoor advertising and its continued popularity as an advertising medium;</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and ability to obtain, additional funding for acquisitions, operations and debt refinancing;</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within the outdoor advertising industry;</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 of the outdoor advertising industry by federal, state and local governments;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expiring contracts at favorable rates;</w:t>
      </w:r>
    </w:p>
    <w:p>
      <w:pPr>
        <w:spacing w:after="0" w:line="103" w:lineRule="exact"/>
        <w:rPr>
          <w:rFonts w:ascii="Times New Roman" w:cs="Times New Roman" w:eastAsia="Times New Roman" w:hAnsi="Times New Roman"/>
          <w:sz w:val="18"/>
          <w:szCs w:val="18"/>
          <w:color w:val="auto"/>
        </w:rPr>
      </w:pPr>
    </w:p>
    <w:p>
      <w:pPr>
        <w:ind w:left="1140" w:hanging="565"/>
        <w:spacing w:after="0" w:line="35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businesses and assets that we acquire and our ability to recognize cost savings and operating efficiencies as a result of these acquisitions;</w:t>
      </w: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digital deployment strategy;</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our Class A common stock;</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or guidelines;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mitigate the threat of and damages caused by hurricanes and other kinds of severe weather;</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status as a REIT; and</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applicable to REITs or in the interpretation of those laws.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forward-looking statements in this report are based on our current good faith beliefs; however, actual results may differ due to inaccurate assumptions, the factors listed above or other foreseeable or unforeseeable factors. Consequently, we cannot guarantee that any of the forward-looking statements will prove to be accurate. The forward-looking statements in this report speak only as of the date of this report, and Lamar Advertising Company and Lamar Media Corp. expressly disclaim any obligation or undertaking to update or revise any forward-looking statement contained in this report, except as required by law.</w:t>
      </w:r>
    </w:p>
    <w:p>
      <w:pPr>
        <w:spacing w:after="0" w:line="21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a further description of these and other risks and uncertainties, the Company encourages you to read carefully Item 1A to the combined Annual Report on Form 10-K for the year ended December 31, 2024 of the Company and Lamar Media (the “2024 Combined Form 10-K”), filed on February 20, 2025, and as such risk factors may be further updated or supplemented, from time to time, in our future combined Quarterly Reports on Form 10-Q and Current Reports on Form 8-K.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044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0440" w:type="dxa"/>
            <w:vAlign w:val="bottom"/>
            <w:gridSpan w:val="18"/>
            <w:vMerge w:val="continue"/>
          </w:tcPr>
          <w:p>
            <w:pPr>
              <w:spacing w:after="0"/>
              <w:rPr>
                <w:sz w:val="15"/>
                <w:szCs w:val="15"/>
                <w:color w:val="auto"/>
              </w:rPr>
            </w:pPr>
          </w:p>
        </w:tc>
        <w:tc>
          <w:tcPr>
            <w:tcW w:w="7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66"/>
        </w:trPr>
        <w:tc>
          <w:tcPr>
            <w:tcW w:w="30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7380" w:type="dxa"/>
            <w:vAlign w:val="bottom"/>
            <w:gridSpan w:val="9"/>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93"/>
        </w:trPr>
        <w:tc>
          <w:tcPr>
            <w:tcW w:w="28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Lamar Advertising Company</w:t>
            </w:r>
          </w:p>
        </w:tc>
        <w:tc>
          <w:tcPr>
            <w:tcW w:w="7620" w:type="dxa"/>
            <w:vAlign w:val="bottom"/>
            <w:gridSpan w:val="10"/>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9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2025 and December 31, 2024</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7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and Comprehensive Income for the three and six months ended June 30, 2025 and 2024</w:t>
            </w:r>
          </w:p>
        </w:tc>
        <w:tc>
          <w:tcPr>
            <w:tcW w:w="2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86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and six months ended June 30, 2025 and 2024</w:t>
            </w:r>
          </w:p>
        </w:tc>
        <w:tc>
          <w:tcPr>
            <w:tcW w:w="1340" w:type="dxa"/>
            <w:vAlign w:val="bottom"/>
            <w:gridSpan w:val="2"/>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2025 and 2024</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72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740" w:type="dxa"/>
            <w:vAlign w:val="bottom"/>
            <w:gridSpan w:val="3"/>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gridSpan w:val="2"/>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04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Lamar Media Corp.</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9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2025 and December 31, 2024</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7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and Comprehensive Income for the three and six months ended June 30, 2025 and 2024</w:t>
            </w:r>
          </w:p>
        </w:tc>
        <w:tc>
          <w:tcPr>
            <w:tcW w:w="2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9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June 30, 2025 and 2024</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2025 and 2024</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72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740" w:type="dxa"/>
            <w:vAlign w:val="bottom"/>
            <w:gridSpan w:val="3"/>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358"/>
        </w:trPr>
        <w:tc>
          <w:tcPr>
            <w:tcW w:w="504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080" w:type="dxa"/>
            <w:vAlign w:val="bottom"/>
            <w:tcBorders>
              <w:top w:val="single" w:sz="8" w:color="0000FF"/>
            </w:tcBorders>
            <w:gridSpan w:val="2"/>
          </w:tcPr>
          <w:p>
            <w:pPr>
              <w:spacing w:after="0"/>
              <w:rPr>
                <w:sz w:val="24"/>
                <w:szCs w:val="24"/>
                <w:color w:val="auto"/>
              </w:rPr>
            </w:pPr>
          </w:p>
        </w:tc>
        <w:tc>
          <w:tcPr>
            <w:tcW w:w="3320" w:type="dxa"/>
            <w:vAlign w:val="bottom"/>
            <w:gridSpan w:val="4"/>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398"/>
        </w:trPr>
        <w:tc>
          <w:tcPr>
            <w:tcW w:w="24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8000" w:type="dxa"/>
            <w:vAlign w:val="bottom"/>
            <w:gridSpan w:val="1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399"/>
        </w:trPr>
        <w:tc>
          <w:tcPr>
            <w:tcW w:w="27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680" w:type="dxa"/>
            <w:vAlign w:val="bottom"/>
            <w:gridSpan w:val="11"/>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398"/>
        </w:trPr>
        <w:tc>
          <w:tcPr>
            <w:tcW w:w="10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0"/>
        </w:trPr>
        <w:tc>
          <w:tcPr>
            <w:tcW w:w="128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0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5420" w:type="dxa"/>
            <w:vAlign w:val="bottom"/>
            <w:gridSpan w:val="7"/>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399"/>
        </w:trPr>
        <w:tc>
          <w:tcPr>
            <w:tcW w:w="10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398"/>
        </w:trPr>
        <w:tc>
          <w:tcPr>
            <w:tcW w:w="12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700" w:type="dxa"/>
            <w:vAlign w:val="bottom"/>
            <w:tcBorders>
              <w:top w:val="single" w:sz="8" w:color="0000FF"/>
            </w:tcBorders>
            <w:gridSpan w:val="2"/>
          </w:tcPr>
          <w:p>
            <w:pPr>
              <w:spacing w:after="0"/>
              <w:rPr>
                <w:sz w:val="24"/>
                <w:szCs w:val="24"/>
                <w:color w:val="auto"/>
              </w:rPr>
            </w:pPr>
          </w:p>
        </w:tc>
        <w:tc>
          <w:tcPr>
            <w:tcW w:w="8460" w:type="dxa"/>
            <w:vAlign w:val="bottom"/>
            <w:gridSpan w:val="13"/>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220" w:type="dxa"/>
            <w:vAlign w:val="bottom"/>
          </w:tcPr>
          <w:p>
            <w:pPr>
              <w:spacing w:after="0"/>
              <w:rPr>
                <w:sz w:val="11"/>
                <w:szCs w:val="11"/>
                <w:color w:val="auto"/>
              </w:rPr>
            </w:pPr>
          </w:p>
        </w:tc>
        <w:tc>
          <w:tcPr>
            <w:tcW w:w="1100" w:type="dxa"/>
            <w:vAlign w:val="bottom"/>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2"/>
        </w:trPr>
        <w:tc>
          <w:tcPr>
            <w:tcW w:w="8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49"/>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489"/>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8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8"/>
              </w:rPr>
              <w:t>(Unaudited)</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39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55,726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49,461</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Receivables, net of allowance for doubtful accounts of $11,970 and $12,404 in 2025 and 2024, respectively</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345,869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334,798</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55,943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41,009</w:t>
            </w:r>
          </w:p>
        </w:tc>
        <w:tc>
          <w:tcPr>
            <w:tcW w:w="0" w:type="dxa"/>
            <w:vAlign w:val="bottom"/>
          </w:tcPr>
          <w:p>
            <w:pPr>
              <w:spacing w:after="0"/>
              <w:rPr>
                <w:sz w:val="1"/>
                <w:szCs w:val="1"/>
                <w:color w:val="auto"/>
              </w:rPr>
            </w:pPr>
          </w:p>
        </w:tc>
      </w:tr>
      <w:tr>
        <w:trPr>
          <w:trHeight w:val="186"/>
        </w:trPr>
        <w:tc>
          <w:tcPr>
            <w:tcW w:w="8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457,538</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425,268</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4,638,502</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4,574,894</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(3,031,863)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(2,974,085)</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1,606,639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1,600,809</w:t>
            </w: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 of use assets</w:t>
            </w: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1,446,449</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1,355,231</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lease right of use assets</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8,331</w:t>
            </w: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2,035,201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2,035,082</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1,064,977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1,062,601</w:t>
            </w: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56,259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99,227</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6,673,968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6,586,549</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Trade accounts payable</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27,534</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21,586</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Current maturities of long-term debt, net of deferred financing costs of $503 and $611 in 2025 and 2024, respectively</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249,925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249,806</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202,466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218,108</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Current financing lease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expenses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112,280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133,943</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income</w:t>
            </w: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189,126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153,700</w:t>
            </w:r>
          </w:p>
        </w:tc>
        <w:tc>
          <w:tcPr>
            <w:tcW w:w="0" w:type="dxa"/>
            <w:vAlign w:val="bottom"/>
          </w:tcPr>
          <w:p>
            <w:pPr>
              <w:spacing w:after="0"/>
              <w:rPr>
                <w:sz w:val="1"/>
                <w:szCs w:val="1"/>
                <w:color w:val="auto"/>
              </w:rPr>
            </w:pPr>
          </w:p>
        </w:tc>
      </w:tr>
      <w:tr>
        <w:trPr>
          <w:trHeight w:val="186"/>
        </w:trPr>
        <w:tc>
          <w:tcPr>
            <w:tcW w:w="8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782,662</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778,474</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 of deferred financing costs of $20,044 and $22,826 in 2025 and 2024,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3,113,788</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2,961,058</w:t>
            </w: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1,190,639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1,114,407</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lease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13,283</w:t>
            </w: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8,006</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retirement obligation</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615,506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614,713</w:t>
            </w: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51,098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48,588</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5,767,085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5,538,529</w:t>
            </w:r>
          </w:p>
        </w:tc>
        <w:tc>
          <w:tcPr>
            <w:tcW w:w="0" w:type="dxa"/>
            <w:vAlign w:val="bottom"/>
          </w:tcPr>
          <w:p>
            <w:pPr>
              <w:spacing w:after="0"/>
              <w:rPr>
                <w:sz w:val="1"/>
                <w:szCs w:val="1"/>
                <w:color w:val="auto"/>
              </w:rPr>
            </w:pPr>
          </w:p>
        </w:tc>
      </w:tr>
      <w:tr>
        <w:trPr>
          <w:trHeight w:val="17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Series AA preferred stock, par value $0.001, $63.80 cumulative dividends, 5,720 shares authorized; 5,720 shares issued and outstanding at</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4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2025 and 2024</w:t>
            </w: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Class A common stock, par value $0.001, 362,500,000 shares authorized; 89,137,296 and 88,867,481 shares issued at 2025 and 2024,</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4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respectively; 86,798,604 and 87,976,923 outstanding at 2025 and 2024, respectively</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Class B common stock, par value $0.001, 37,500,000 shares authorized, 14,420,085 shares issued and outstanding at 2025 and 2024</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2"/>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2,197,618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2,159,292</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Accumulated comprehensive loss</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w:t>
            </w:r>
          </w:p>
        </w:tc>
        <w:tc>
          <w:tcPr>
            <w:tcW w:w="0" w:type="dxa"/>
            <w:vAlign w:val="bottom"/>
          </w:tcPr>
          <w:p>
            <w:pPr>
              <w:spacing w:after="0"/>
              <w:rPr>
                <w:sz w:val="1"/>
                <w:szCs w:val="1"/>
                <w:color w:val="auto"/>
              </w:rPr>
            </w:pPr>
          </w:p>
        </w:tc>
      </w:tr>
      <w:tr>
        <w:trPr>
          <w:trHeight w:val="192"/>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(1,059,786)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(1,036,582)</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Cost of shares held in treasury, 2,338,692 and 890,558 shares at 2025 and 2024, respectively</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(230,609)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(72,688)</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906,883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1,048,020</w:t>
            </w:r>
          </w:p>
        </w:tc>
        <w:tc>
          <w:tcPr>
            <w:tcW w:w="0" w:type="dxa"/>
            <w:vAlign w:val="bottom"/>
          </w:tcPr>
          <w:p>
            <w:pPr>
              <w:spacing w:after="0"/>
              <w:rPr>
                <w:sz w:val="1"/>
                <w:szCs w:val="1"/>
                <w:color w:val="auto"/>
              </w:rPr>
            </w:pPr>
          </w:p>
        </w:tc>
      </w:tr>
      <w:tr>
        <w:trPr>
          <w:trHeight w:val="218"/>
        </w:trPr>
        <w:tc>
          <w:tcPr>
            <w:tcW w:w="8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6,673,968</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6,586,549</w:t>
            </w:r>
          </w:p>
        </w:tc>
        <w:tc>
          <w:tcPr>
            <w:tcW w:w="0" w:type="dxa"/>
            <w:vAlign w:val="bottom"/>
          </w:tcPr>
          <w:p>
            <w:pPr>
              <w:spacing w:after="0"/>
              <w:rPr>
                <w:sz w:val="1"/>
                <w:szCs w:val="1"/>
                <w:color w:val="auto"/>
              </w:rPr>
            </w:pPr>
          </w:p>
        </w:tc>
      </w:tr>
      <w:tr>
        <w:trPr>
          <w:trHeight w:val="25"/>
        </w:trPr>
        <w:tc>
          <w:tcPr>
            <w:tcW w:w="8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252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Pr>
          <w:p>
            <w:pPr>
              <w:spacing w:after="0"/>
              <w:rPr>
                <w:sz w:val="16"/>
                <w:szCs w:val="16"/>
                <w:color w:val="auto"/>
              </w:rPr>
            </w:pPr>
          </w:p>
        </w:tc>
      </w:tr>
      <w:tr>
        <w:trPr>
          <w:trHeight w:val="37"/>
        </w:trPr>
        <w:tc>
          <w:tcPr>
            <w:tcW w:w="56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6"/>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6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w:t>
            </w:r>
          </w:p>
        </w:tc>
        <w:tc>
          <w:tcPr>
            <w:tcW w:w="2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579,311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565,251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1,084,741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1,063,401</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2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r>
      <w:tr>
        <w:trPr>
          <w:trHeight w:val="243"/>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 advertising expenses (exclusive of depreciation and amortization)</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358,910</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expenses (exclusive of depreciation and</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41"/>
        </w:trPr>
        <w:tc>
          <w:tcPr>
            <w:tcW w:w="5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89,315</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88,341</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184,307</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177,502</w:t>
            </w:r>
          </w:p>
        </w:tc>
      </w:tr>
      <w:tr>
        <w:trPr>
          <w:trHeight w:val="243"/>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expenses (exclusive of depreciation and amortization)</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68,755</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78,110</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77,191</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155,931</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152,419</w:t>
            </w:r>
          </w:p>
        </w:tc>
      </w:tr>
      <w:tr>
        <w:trPr>
          <w:trHeight w:val="243"/>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w:t>
            </w:r>
          </w:p>
        </w:tc>
      </w:tr>
      <w:tr>
        <w:trPr>
          <w:trHeight w:val="27"/>
        </w:trPr>
        <w:tc>
          <w:tcPr>
            <w:tcW w:w="56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56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381,630</w:t>
            </w:r>
          </w:p>
        </w:tc>
        <w:tc>
          <w:tcPr>
            <w:tcW w:w="1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381,024</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695,827</w:t>
            </w:r>
          </w:p>
        </w:tc>
        <w:tc>
          <w:tcPr>
            <w:tcW w:w="1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754,574</w:t>
            </w:r>
          </w:p>
        </w:tc>
      </w:tr>
      <w:tr>
        <w:trPr>
          <w:trHeight w:val="237"/>
        </w:trPr>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197,681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184,227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388,914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308,827</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r>
      <w:tr>
        <w:trPr>
          <w:trHeight w:val="243"/>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88,824</w:t>
            </w:r>
          </w:p>
        </w:tc>
      </w:tr>
      <w:tr>
        <w:trPr>
          <w:trHeight w:val="243"/>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in loss (earnings) of investee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56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88,340</w:t>
            </w:r>
          </w:p>
        </w:tc>
      </w:tr>
      <w:tr>
        <w:trPr>
          <w:trHeight w:val="23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157,404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140,466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311,177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220,487</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r>
      <w:tr>
        <w:trPr>
          <w:trHeight w:val="23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155,016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137,594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294,245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216,093</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3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154,355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137,366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293,110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215,590</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and paid on preferred stock</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6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stock</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154,264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137,275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292,928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215,408</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70"/>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3"/>
                <w:szCs w:val="23"/>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89"/>
        </w:trPr>
        <w:tc>
          <w:tcPr>
            <w:tcW w:w="5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per share of common stock</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computing earnings per share:</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43"/>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101,271,391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102,248,621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101,851,428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102,181,890</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101,653,373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102,594,217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102,233,863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102,522,569</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216,093</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3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156,033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137,163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294,941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215,270</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6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controlling interest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155,372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136,935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293,806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214,767</w:t>
            </w:r>
          </w:p>
        </w:tc>
      </w:tr>
      <w:tr>
        <w:trPr>
          <w:trHeight w:val="21"/>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900" w:type="dxa"/>
            <w:vAlign w:val="bottom"/>
          </w:tcPr>
          <w:p>
            <w:pPr>
              <w:spacing w:after="0"/>
              <w:rPr>
                <w:sz w:val="9"/>
                <w:szCs w:val="9"/>
                <w:color w:val="auto"/>
              </w:rPr>
            </w:pPr>
          </w:p>
        </w:tc>
        <w:tc>
          <w:tcPr>
            <w:tcW w:w="560" w:type="dxa"/>
            <w:vAlign w:val="bottom"/>
          </w:tcPr>
          <w:p>
            <w:pPr>
              <w:jc w:val="center"/>
              <w:ind w:left="126"/>
              <w:spacing w:after="0"/>
              <w:rPr>
                <w:sz w:val="20"/>
                <w:szCs w:val="20"/>
                <w:color w:val="auto"/>
              </w:rPr>
            </w:pPr>
            <w:r>
              <w:rPr>
                <w:rFonts w:ascii="Times New Roman" w:cs="Times New Roman" w:eastAsia="Times New Roman" w:hAnsi="Times New Roman"/>
                <w:sz w:val="9"/>
                <w:szCs w:val="9"/>
                <w:b w:val="1"/>
                <w:bCs w:val="1"/>
                <w:color w:val="auto"/>
                <w:w w:val="99"/>
              </w:rPr>
              <w:t>Series AA</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Class A</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w w:val="97"/>
              </w:rPr>
              <w:t>Class B</w:t>
            </w: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9"/>
              </w:rPr>
              <w:t>Add’l</w:t>
            </w:r>
          </w:p>
        </w:tc>
        <w:tc>
          <w:tcPr>
            <w:tcW w:w="100" w:type="dxa"/>
            <w:vAlign w:val="bottom"/>
          </w:tcPr>
          <w:p>
            <w:pPr>
              <w:spacing w:after="0"/>
              <w:rPr>
                <w:sz w:val="9"/>
                <w:szCs w:val="9"/>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7"/>
              </w:rPr>
              <w:t>Accumulated</w:t>
            </w: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900" w:type="dxa"/>
            <w:vAlign w:val="bottom"/>
          </w:tcPr>
          <w:p>
            <w:pPr>
              <w:spacing w:after="0"/>
              <w:rPr>
                <w:sz w:val="9"/>
                <w:szCs w:val="9"/>
                <w:color w:val="auto"/>
              </w:rPr>
            </w:pPr>
          </w:p>
        </w:tc>
        <w:tc>
          <w:tcPr>
            <w:tcW w:w="560" w:type="dxa"/>
            <w:vAlign w:val="bottom"/>
          </w:tcPr>
          <w:p>
            <w:pPr>
              <w:jc w:val="center"/>
              <w:ind w:left="146"/>
              <w:spacing w:after="0"/>
              <w:rPr>
                <w:sz w:val="20"/>
                <w:szCs w:val="20"/>
                <w:color w:val="auto"/>
              </w:rPr>
            </w:pPr>
            <w:r>
              <w:rPr>
                <w:rFonts w:ascii="Times New Roman" w:cs="Times New Roman" w:eastAsia="Times New Roman" w:hAnsi="Times New Roman"/>
                <w:sz w:val="9"/>
                <w:szCs w:val="9"/>
                <w:b w:val="1"/>
                <w:bCs w:val="1"/>
                <w:color w:val="auto"/>
              </w:rPr>
              <w:t>PREF</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9"/>
                <w:szCs w:val="9"/>
                <w:b w:val="1"/>
                <w:bCs w:val="1"/>
                <w:color w:val="auto"/>
              </w:rPr>
              <w:t>CMN</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CMN</w:t>
            </w:r>
          </w:p>
        </w:tc>
        <w:tc>
          <w:tcPr>
            <w:tcW w:w="180" w:type="dxa"/>
            <w:vAlign w:val="bottom"/>
          </w:tcPr>
          <w:p>
            <w:pPr>
              <w:spacing w:after="0"/>
              <w:rPr>
                <w:sz w:val="9"/>
                <w:szCs w:val="9"/>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9"/>
                <w:szCs w:val="9"/>
                <w:b w:val="1"/>
                <w:bCs w:val="1"/>
                <w:color w:val="auto"/>
              </w:rPr>
              <w:t>Treasury</w:t>
            </w:r>
          </w:p>
        </w:tc>
        <w:tc>
          <w:tcPr>
            <w:tcW w:w="180" w:type="dxa"/>
            <w:vAlign w:val="bottom"/>
          </w:tcPr>
          <w:p>
            <w:pPr>
              <w:spacing w:after="0"/>
              <w:rPr>
                <w:sz w:val="9"/>
                <w:szCs w:val="9"/>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5"/>
              </w:rPr>
              <w:t>Paid in</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9"/>
              </w:rPr>
              <w:t>Comprehensive</w:t>
            </w:r>
          </w:p>
        </w:tc>
        <w:tc>
          <w:tcPr>
            <w:tcW w:w="140" w:type="dxa"/>
            <w:vAlign w:val="bottom"/>
          </w:tcPr>
          <w:p>
            <w:pPr>
              <w:spacing w:after="0"/>
              <w:rPr>
                <w:sz w:val="9"/>
                <w:szCs w:val="9"/>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100" w:type="dxa"/>
            <w:vAlign w:val="bottom"/>
          </w:tcPr>
          <w:p>
            <w:pPr>
              <w:spacing w:after="0"/>
              <w:rPr>
                <w:sz w:val="9"/>
                <w:szCs w:val="9"/>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8"/>
              </w:rPr>
              <w:t>Non-controlling</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18"/>
        </w:trPr>
        <w:tc>
          <w:tcPr>
            <w:tcW w:w="2900" w:type="dxa"/>
            <w:vAlign w:val="bottom"/>
          </w:tcPr>
          <w:p>
            <w:pPr>
              <w:spacing w:after="0"/>
              <w:rPr>
                <w:sz w:val="10"/>
                <w:szCs w:val="10"/>
                <w:color w:val="auto"/>
              </w:rPr>
            </w:pPr>
          </w:p>
        </w:tc>
        <w:tc>
          <w:tcPr>
            <w:tcW w:w="560" w:type="dxa"/>
            <w:vAlign w:val="bottom"/>
          </w:tcPr>
          <w:p>
            <w:pPr>
              <w:jc w:val="center"/>
              <w:ind w:left="126"/>
              <w:spacing w:after="0"/>
              <w:rPr>
                <w:sz w:val="20"/>
                <w:szCs w:val="20"/>
                <w:color w:val="auto"/>
              </w:rPr>
            </w:pPr>
            <w:r>
              <w:rPr>
                <w:rFonts w:ascii="Times New Roman" w:cs="Times New Roman" w:eastAsia="Times New Roman" w:hAnsi="Times New Roman"/>
                <w:sz w:val="9"/>
                <w:szCs w:val="9"/>
                <w:b w:val="1"/>
                <w:bCs w:val="1"/>
                <w:color w:val="auto"/>
              </w:rPr>
              <w:t>Stock</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9"/>
                <w:szCs w:val="9"/>
                <w:b w:val="1"/>
                <w:bCs w:val="1"/>
                <w:color w:val="auto"/>
              </w:rPr>
              <w:t>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Stock</w:t>
            </w:r>
          </w:p>
        </w:tc>
        <w:tc>
          <w:tcPr>
            <w:tcW w:w="180" w:type="dxa"/>
            <w:vAlign w:val="bottom"/>
          </w:tcPr>
          <w:p>
            <w:pPr>
              <w:spacing w:after="0"/>
              <w:rPr>
                <w:sz w:val="10"/>
                <w:szCs w:val="10"/>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9"/>
                <w:szCs w:val="9"/>
                <w:b w:val="1"/>
                <w:bCs w:val="1"/>
                <w:color w:val="auto"/>
              </w:rPr>
              <w:t>Stock</w:t>
            </w:r>
          </w:p>
        </w:tc>
        <w:tc>
          <w:tcPr>
            <w:tcW w:w="180" w:type="dxa"/>
            <w:vAlign w:val="bottom"/>
          </w:tcPr>
          <w:p>
            <w:pPr>
              <w:spacing w:after="0"/>
              <w:rPr>
                <w:sz w:val="10"/>
                <w:szCs w:val="10"/>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w w:val="98"/>
              </w:rPr>
              <w:t>Capital</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rPr>
              <w:t>Loss</w:t>
            </w:r>
          </w:p>
        </w:tc>
        <w:tc>
          <w:tcPr>
            <w:tcW w:w="140" w:type="dxa"/>
            <w:vAlign w:val="bottom"/>
          </w:tcPr>
          <w:p>
            <w:pPr>
              <w:spacing w:after="0"/>
              <w:rPr>
                <w:sz w:val="10"/>
                <w:szCs w:val="10"/>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3"/>
              </w:rPr>
              <w:t>Deficit</w:t>
            </w:r>
          </w:p>
        </w:tc>
        <w:tc>
          <w:tcPr>
            <w:tcW w:w="100" w:type="dxa"/>
            <w:vAlign w:val="bottom"/>
          </w:tcPr>
          <w:p>
            <w:pPr>
              <w:spacing w:after="0"/>
              <w:rPr>
                <w:sz w:val="10"/>
                <w:szCs w:val="10"/>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6"/>
              </w:rPr>
              <w:t>interest</w:t>
            </w:r>
          </w:p>
        </w:tc>
        <w:tc>
          <w:tcPr>
            <w:tcW w:w="200" w:type="dxa"/>
            <w:vAlign w:val="bottom"/>
          </w:tcPr>
          <w:p>
            <w:pPr>
              <w:spacing w:after="0"/>
              <w:rPr>
                <w:sz w:val="10"/>
                <w:szCs w:val="10"/>
                <w:color w:val="auto"/>
              </w:rPr>
            </w:pPr>
          </w:p>
        </w:tc>
        <w:tc>
          <w:tcPr>
            <w:tcW w:w="680" w:type="dxa"/>
            <w:vAlign w:val="bottom"/>
          </w:tcPr>
          <w:p>
            <w:pPr>
              <w:jc w:val="right"/>
              <w:ind w:right="278"/>
              <w:spacing w:after="0"/>
              <w:rPr>
                <w:sz w:val="20"/>
                <w:szCs w:val="20"/>
                <w:color w:val="auto"/>
              </w:rPr>
            </w:pPr>
            <w:r>
              <w:rPr>
                <w:rFonts w:ascii="Times New Roman" w:cs="Times New Roman" w:eastAsia="Times New Roman" w:hAnsi="Times New Roman"/>
                <w:sz w:val="9"/>
                <w:szCs w:val="9"/>
                <w:b w:val="1"/>
                <w:bCs w:val="1"/>
                <w:color w:val="auto"/>
              </w:rPr>
              <w:t>Total</w:t>
            </w:r>
          </w:p>
        </w:tc>
      </w:tr>
      <w:tr>
        <w:trPr>
          <w:trHeight w:val="28"/>
        </w:trPr>
        <w:tc>
          <w:tcPr>
            <w:tcW w:w="29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6"/>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2024</w:t>
            </w:r>
          </w:p>
        </w:tc>
        <w:tc>
          <w:tcPr>
            <w:tcW w:w="560" w:type="dxa"/>
            <w:vAlign w:val="bottom"/>
            <w:tcBorders>
              <w:bottom w:val="single" w:sz="8" w:color="CCEEFF"/>
            </w:tcBorders>
            <w:shd w:val="clear" w:color="auto" w:fill="CCEEFF"/>
          </w:tcPr>
          <w:p>
            <w:pPr>
              <w:jc w:val="right"/>
              <w:ind w:right="42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ind w:right="40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(72,688)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2,159,292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(1,036,582)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1,048,020</w:t>
            </w:r>
          </w:p>
        </w:tc>
      </w:tr>
      <w:tr>
        <w:trPr>
          <w:trHeight w:val="173"/>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Non-cash compensation</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3,993</w:t>
            </w:r>
          </w:p>
        </w:tc>
      </w:tr>
      <w:tr>
        <w:trPr>
          <w:trHeight w:val="29"/>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Issuance of 168,450 shares of common stock</w:t>
            </w: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9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through stock awards</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22,235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22,235</w:t>
            </w:r>
          </w:p>
        </w:tc>
      </w:tr>
      <w:tr>
        <w:trPr>
          <w:trHeight w:val="173"/>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Exercise of 6,950 shares of stock options</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w:t>
            </w:r>
          </w:p>
        </w:tc>
      </w:tr>
      <w:tr>
        <w:trPr>
          <w:trHeight w:val="29"/>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7"/>
              </w:rPr>
              <w:t>Issuance of 42,204 shares of common stock through</w:t>
            </w: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9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employee purchase plan</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4,082</w:t>
            </w:r>
          </w:p>
        </w:tc>
      </w:tr>
      <w:tr>
        <w:trPr>
          <w:trHeight w:val="173"/>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Purchase of 224,572 shares of treasury stock</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(26,368)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(26,368)</w:t>
            </w:r>
          </w:p>
        </w:tc>
      </w:tr>
      <w:tr>
        <w:trPr>
          <w:trHeight w:val="29"/>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r>
      <w:tr>
        <w:trPr>
          <w:trHeight w:val="173"/>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138,755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139,229</w:t>
            </w:r>
          </w:p>
        </w:tc>
      </w:tr>
      <w:tr>
        <w:trPr>
          <w:trHeight w:val="29"/>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Reallocation of capital</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Dividends ($1.55 per common share) and other</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distributions</w:t>
            </w:r>
          </w:p>
        </w:tc>
        <w:tc>
          <w:tcPr>
            <w:tcW w:w="5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(159,067)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(159,620)</w:t>
            </w:r>
          </w:p>
        </w:tc>
      </w:tr>
      <w:tr>
        <w:trPr>
          <w:trHeight w:val="29"/>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Dividends ($15.95 per preferred share)</w:t>
            </w:r>
          </w:p>
        </w:tc>
        <w:tc>
          <w:tcPr>
            <w:tcW w:w="5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67"/>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March 31, 2025</w:t>
            </w:r>
          </w:p>
        </w:tc>
        <w:tc>
          <w:tcPr>
            <w:tcW w:w="560" w:type="dxa"/>
            <w:vAlign w:val="bottom"/>
            <w:tcBorders>
              <w:top w:val="single" w:sz="8" w:color="auto"/>
            </w:tcBorders>
          </w:tcPr>
          <w:p>
            <w:pPr>
              <w:jc w:val="right"/>
              <w:ind w:right="42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Borders>
              <w:top w:val="single" w:sz="8" w:color="auto"/>
            </w:tcBorders>
          </w:tcPr>
          <w:p>
            <w:pPr>
              <w:jc w:val="right"/>
              <w:ind w:right="40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(99,056)</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2,189,187</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(3,275)</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(1,056,985)</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1,596</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1,031,570</w:t>
            </w:r>
          </w:p>
        </w:tc>
      </w:tr>
      <w:tr>
        <w:trPr>
          <w:trHeight w:val="29"/>
        </w:trPr>
        <w:tc>
          <w:tcPr>
            <w:tcW w:w="29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6"/>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Non-cash compensation</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3,622</w:t>
            </w:r>
          </w:p>
        </w:tc>
      </w:tr>
      <w:tr>
        <w:trPr>
          <w:trHeight w:val="157"/>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9"/>
              </w:rPr>
              <w:t>Issuance of 6,463 shares of common stock through</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stock awards</w:t>
            </w:r>
          </w:p>
        </w:tc>
        <w:tc>
          <w:tcPr>
            <w:tcW w:w="5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w:t>
            </w:r>
          </w:p>
        </w:tc>
      </w:tr>
      <w:tr>
        <w:trPr>
          <w:trHeight w:val="29"/>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Exercise of 17,150 shares of stock options</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w:t>
            </w:r>
          </w:p>
        </w:tc>
      </w:tr>
      <w:tr>
        <w:trPr>
          <w:trHeight w:val="157"/>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7"/>
              </w:rPr>
              <w:t>Issuance of 28,598 shares of common stock through</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employee purchase plan</w:t>
            </w:r>
          </w:p>
        </w:tc>
        <w:tc>
          <w:tcPr>
            <w:tcW w:w="5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2,942</w:t>
            </w:r>
          </w:p>
        </w:tc>
      </w:tr>
      <w:tr>
        <w:trPr>
          <w:trHeight w:val="30"/>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Purchase of 1,223,562 shares of treasury stock</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(131,553)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(131,553)</w:t>
            </w:r>
          </w:p>
        </w:tc>
      </w:tr>
      <w:tr>
        <w:trPr>
          <w:trHeight w:val="173"/>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w:t>
            </w:r>
          </w:p>
        </w:tc>
      </w:tr>
      <w:tr>
        <w:trPr>
          <w:trHeight w:val="30"/>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154,355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155,016</w:t>
            </w:r>
          </w:p>
        </w:tc>
      </w:tr>
      <w:tr>
        <w:trPr>
          <w:trHeight w:val="157"/>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Dividends ($1.55 per common share) and other</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distributions</w:t>
            </w:r>
          </w:p>
        </w:tc>
        <w:tc>
          <w:tcPr>
            <w:tcW w:w="5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(157,065)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(157,507)</w:t>
            </w:r>
          </w:p>
        </w:tc>
      </w:tr>
      <w:tr>
        <w:trPr>
          <w:trHeight w:val="30"/>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Dividends ($15.95 per preferred share)</w:t>
            </w:r>
          </w:p>
        </w:tc>
        <w:tc>
          <w:tcPr>
            <w:tcW w:w="5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95"/>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June 30, 2025</w:t>
            </w:r>
          </w:p>
        </w:tc>
        <w:tc>
          <w:tcPr>
            <w:tcW w:w="560" w:type="dxa"/>
            <w:vAlign w:val="bottom"/>
            <w:tcBorders>
              <w:top w:val="single" w:sz="8" w:color="auto"/>
              <w:bottom w:val="single" w:sz="8" w:color="auto"/>
            </w:tcBorders>
          </w:tcPr>
          <w:p>
            <w:pPr>
              <w:jc w:val="right"/>
              <w:ind w:right="42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ind w:right="40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(230,609)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2,197,618</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(1,059,786)</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906,883</w:t>
            </w:r>
          </w:p>
        </w:tc>
      </w:tr>
      <w:tr>
        <w:trPr>
          <w:trHeight w:val="22"/>
        </w:trPr>
        <w:tc>
          <w:tcPr>
            <w:tcW w:w="29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880" w:type="dxa"/>
            <w:vAlign w:val="bottom"/>
          </w:tcPr>
          <w:p>
            <w:pPr>
              <w:spacing w:after="0"/>
              <w:rPr>
                <w:sz w:val="9"/>
                <w:szCs w:val="9"/>
                <w:color w:val="auto"/>
              </w:rPr>
            </w:pPr>
          </w:p>
        </w:tc>
        <w:tc>
          <w:tcPr>
            <w:tcW w:w="580" w:type="dxa"/>
            <w:vAlign w:val="bottom"/>
          </w:tcPr>
          <w:p>
            <w:pPr>
              <w:jc w:val="center"/>
              <w:ind w:left="146"/>
              <w:spacing w:after="0"/>
              <w:rPr>
                <w:sz w:val="20"/>
                <w:szCs w:val="20"/>
                <w:color w:val="auto"/>
              </w:rPr>
            </w:pPr>
            <w:r>
              <w:rPr>
                <w:rFonts w:ascii="Times New Roman" w:cs="Times New Roman" w:eastAsia="Times New Roman" w:hAnsi="Times New Roman"/>
                <w:sz w:val="9"/>
                <w:szCs w:val="9"/>
                <w:b w:val="1"/>
                <w:bCs w:val="1"/>
                <w:color w:val="auto"/>
                <w:w w:val="99"/>
              </w:rPr>
              <w:t>Series AA</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Class A</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rPr>
              <w:t>Class B</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9"/>
              </w:rPr>
              <w:t>Add’l</w:t>
            </w:r>
          </w:p>
        </w:tc>
        <w:tc>
          <w:tcPr>
            <w:tcW w:w="100" w:type="dxa"/>
            <w:vAlign w:val="bottom"/>
          </w:tcPr>
          <w:p>
            <w:pPr>
              <w:spacing w:after="0"/>
              <w:rPr>
                <w:sz w:val="9"/>
                <w:szCs w:val="9"/>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7"/>
              </w:rPr>
              <w:t>Accumulated</w:t>
            </w: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880" w:type="dxa"/>
            <w:vAlign w:val="bottom"/>
          </w:tcPr>
          <w:p>
            <w:pPr>
              <w:spacing w:after="0"/>
              <w:rPr>
                <w:sz w:val="9"/>
                <w:szCs w:val="9"/>
                <w:color w:val="auto"/>
              </w:rPr>
            </w:pPr>
          </w:p>
        </w:tc>
        <w:tc>
          <w:tcPr>
            <w:tcW w:w="580" w:type="dxa"/>
            <w:vAlign w:val="bottom"/>
          </w:tcPr>
          <w:p>
            <w:pPr>
              <w:jc w:val="center"/>
              <w:ind w:left="126"/>
              <w:spacing w:after="0"/>
              <w:rPr>
                <w:sz w:val="20"/>
                <w:szCs w:val="20"/>
                <w:color w:val="auto"/>
              </w:rPr>
            </w:pPr>
            <w:r>
              <w:rPr>
                <w:rFonts w:ascii="Times New Roman" w:cs="Times New Roman" w:eastAsia="Times New Roman" w:hAnsi="Times New Roman"/>
                <w:sz w:val="9"/>
                <w:szCs w:val="9"/>
                <w:b w:val="1"/>
                <w:bCs w:val="1"/>
                <w:color w:val="auto"/>
              </w:rPr>
              <w:t>PREF</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9"/>
                <w:szCs w:val="9"/>
                <w:b w:val="1"/>
                <w:bCs w:val="1"/>
                <w:color w:val="auto"/>
              </w:rPr>
              <w:t>CMN</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rPr>
              <w:t>CMN</w:t>
            </w:r>
          </w:p>
        </w:tc>
        <w:tc>
          <w:tcPr>
            <w:tcW w:w="160" w:type="dxa"/>
            <w:vAlign w:val="bottom"/>
          </w:tcPr>
          <w:p>
            <w:pPr>
              <w:spacing w:after="0"/>
              <w:rPr>
                <w:sz w:val="9"/>
                <w:szCs w:val="9"/>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9"/>
                <w:szCs w:val="9"/>
                <w:b w:val="1"/>
                <w:bCs w:val="1"/>
                <w:color w:val="auto"/>
              </w:rPr>
              <w:t>Treasury</w:t>
            </w:r>
          </w:p>
        </w:tc>
        <w:tc>
          <w:tcPr>
            <w:tcW w:w="200" w:type="dxa"/>
            <w:vAlign w:val="bottom"/>
          </w:tcPr>
          <w:p>
            <w:pPr>
              <w:spacing w:after="0"/>
              <w:rPr>
                <w:sz w:val="9"/>
                <w:szCs w:val="9"/>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5"/>
              </w:rPr>
              <w:t>Paid in</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9"/>
              </w:rPr>
              <w:t>Comprehensive</w:t>
            </w:r>
          </w:p>
        </w:tc>
        <w:tc>
          <w:tcPr>
            <w:tcW w:w="120" w:type="dxa"/>
            <w:vAlign w:val="bottom"/>
          </w:tcPr>
          <w:p>
            <w:pPr>
              <w:spacing w:after="0"/>
              <w:rPr>
                <w:sz w:val="9"/>
                <w:szCs w:val="9"/>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7"/>
              </w:rPr>
              <w:t>Accumulated</w:t>
            </w:r>
          </w:p>
        </w:tc>
        <w:tc>
          <w:tcPr>
            <w:tcW w:w="100" w:type="dxa"/>
            <w:vAlign w:val="bottom"/>
          </w:tcPr>
          <w:p>
            <w:pPr>
              <w:spacing w:after="0"/>
              <w:rPr>
                <w:sz w:val="9"/>
                <w:szCs w:val="9"/>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8"/>
              </w:rPr>
              <w:t>Non-controlling</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18"/>
        </w:trPr>
        <w:tc>
          <w:tcPr>
            <w:tcW w:w="2880" w:type="dxa"/>
            <w:vAlign w:val="bottom"/>
          </w:tcPr>
          <w:p>
            <w:pPr>
              <w:spacing w:after="0"/>
              <w:rPr>
                <w:sz w:val="10"/>
                <w:szCs w:val="10"/>
                <w:color w:val="auto"/>
              </w:rPr>
            </w:pPr>
          </w:p>
        </w:tc>
        <w:tc>
          <w:tcPr>
            <w:tcW w:w="580" w:type="dxa"/>
            <w:vAlign w:val="bottom"/>
          </w:tcPr>
          <w:p>
            <w:pPr>
              <w:jc w:val="center"/>
              <w:ind w:left="126"/>
              <w:spacing w:after="0"/>
              <w:rPr>
                <w:sz w:val="20"/>
                <w:szCs w:val="20"/>
                <w:color w:val="auto"/>
              </w:rPr>
            </w:pPr>
            <w:r>
              <w:rPr>
                <w:rFonts w:ascii="Times New Roman" w:cs="Times New Roman" w:eastAsia="Times New Roman" w:hAnsi="Times New Roman"/>
                <w:sz w:val="9"/>
                <w:szCs w:val="9"/>
                <w:b w:val="1"/>
                <w:bCs w:val="1"/>
                <w:color w:val="auto"/>
                <w:w w:val="92"/>
              </w:rPr>
              <w:t>Stock</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9"/>
                <w:szCs w:val="9"/>
                <w:b w:val="1"/>
                <w:bCs w:val="1"/>
                <w:color w:val="auto"/>
              </w:rPr>
              <w:t>Stock</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rPr>
              <w:t>Stock</w:t>
            </w:r>
          </w:p>
        </w:tc>
        <w:tc>
          <w:tcPr>
            <w:tcW w:w="160" w:type="dxa"/>
            <w:vAlign w:val="bottom"/>
          </w:tcPr>
          <w:p>
            <w:pPr>
              <w:spacing w:after="0"/>
              <w:rPr>
                <w:sz w:val="10"/>
                <w:szCs w:val="10"/>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9"/>
                <w:szCs w:val="9"/>
                <w:b w:val="1"/>
                <w:bCs w:val="1"/>
                <w:color w:val="auto"/>
              </w:rPr>
              <w:t>Stock</w:t>
            </w:r>
          </w:p>
        </w:tc>
        <w:tc>
          <w:tcPr>
            <w:tcW w:w="200" w:type="dxa"/>
            <w:vAlign w:val="bottom"/>
          </w:tcPr>
          <w:p>
            <w:pPr>
              <w:spacing w:after="0"/>
              <w:rPr>
                <w:sz w:val="10"/>
                <w:szCs w:val="10"/>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9"/>
                <w:szCs w:val="9"/>
                <w:b w:val="1"/>
                <w:bCs w:val="1"/>
                <w:color w:val="auto"/>
                <w:w w:val="98"/>
              </w:rPr>
              <w:t>Capital</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rPr>
              <w:t>Loss</w:t>
            </w:r>
          </w:p>
        </w:tc>
        <w:tc>
          <w:tcPr>
            <w:tcW w:w="12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Deficit</w:t>
            </w:r>
          </w:p>
        </w:tc>
        <w:tc>
          <w:tcPr>
            <w:tcW w:w="100" w:type="dxa"/>
            <w:vAlign w:val="bottom"/>
          </w:tcPr>
          <w:p>
            <w:pPr>
              <w:spacing w:after="0"/>
              <w:rPr>
                <w:sz w:val="10"/>
                <w:szCs w:val="10"/>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6"/>
              </w:rPr>
              <w:t>interest</w:t>
            </w:r>
          </w:p>
        </w:tc>
        <w:tc>
          <w:tcPr>
            <w:tcW w:w="200" w:type="dxa"/>
            <w:vAlign w:val="bottom"/>
          </w:tcPr>
          <w:p>
            <w:pPr>
              <w:spacing w:after="0"/>
              <w:rPr>
                <w:sz w:val="10"/>
                <w:szCs w:val="10"/>
                <w:color w:val="auto"/>
              </w:rPr>
            </w:pPr>
          </w:p>
        </w:tc>
        <w:tc>
          <w:tcPr>
            <w:tcW w:w="680" w:type="dxa"/>
            <w:vAlign w:val="bottom"/>
          </w:tcPr>
          <w:p>
            <w:pPr>
              <w:jc w:val="right"/>
              <w:ind w:right="278"/>
              <w:spacing w:after="0"/>
              <w:rPr>
                <w:sz w:val="20"/>
                <w:szCs w:val="20"/>
                <w:color w:val="auto"/>
              </w:rPr>
            </w:pPr>
            <w:r>
              <w:rPr>
                <w:rFonts w:ascii="Times New Roman" w:cs="Times New Roman" w:eastAsia="Times New Roman" w:hAnsi="Times New Roman"/>
                <w:sz w:val="9"/>
                <w:szCs w:val="9"/>
                <w:b w:val="1"/>
                <w:bCs w:val="1"/>
                <w:color w:val="auto"/>
              </w:rPr>
              <w:t>Total</w:t>
            </w:r>
          </w:p>
        </w:tc>
      </w:tr>
      <w:tr>
        <w:trPr>
          <w:trHeight w:val="28"/>
        </w:trPr>
        <w:tc>
          <w:tcPr>
            <w:tcW w:w="28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6"/>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58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ind w:right="42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88</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(67,347)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2,103,282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(819,235)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1,216,788</w:t>
            </w:r>
          </w:p>
        </w:tc>
      </w:tr>
      <w:tr>
        <w:trPr>
          <w:trHeight w:val="173"/>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Non-cash compensation</w:t>
            </w:r>
          </w:p>
        </w:tc>
        <w:tc>
          <w:tcPr>
            <w:tcW w:w="58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2,745</w:t>
            </w:r>
          </w:p>
        </w:tc>
      </w:tr>
      <w:tr>
        <w:trPr>
          <w:trHeight w:val="29"/>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Issuance of 137,350 shares of common stock</w:t>
            </w: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8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through stock awards</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17,868</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17,869</w:t>
            </w:r>
          </w:p>
        </w:tc>
      </w:tr>
      <w:tr>
        <w:trPr>
          <w:trHeight w:val="173"/>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Exercise of 47,000 shares of stock options</w:t>
            </w:r>
          </w:p>
        </w:tc>
        <w:tc>
          <w:tcPr>
            <w:tcW w:w="58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3,415</w:t>
            </w:r>
          </w:p>
        </w:tc>
      </w:tr>
      <w:tr>
        <w:trPr>
          <w:trHeight w:val="29"/>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6"/>
              </w:rPr>
              <w:t>Issuance of 40,322 shares of common stock through</w:t>
            </w: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8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employee purchase plan</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3,652</w:t>
            </w:r>
          </w:p>
        </w:tc>
      </w:tr>
      <w:tr>
        <w:trPr>
          <w:trHeight w:val="173"/>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Purchase of 49,623 shares of treasury stock</w:t>
            </w:r>
          </w:p>
        </w:tc>
        <w:tc>
          <w:tcPr>
            <w:tcW w:w="58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(5,341)</w:t>
            </w:r>
          </w:p>
        </w:tc>
      </w:tr>
      <w:tr>
        <w:trPr>
          <w:trHeight w:val="29"/>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r>
      <w:tr>
        <w:trPr>
          <w:trHeight w:val="173"/>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58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78,499</w:t>
            </w:r>
          </w:p>
        </w:tc>
      </w:tr>
      <w:tr>
        <w:trPr>
          <w:trHeight w:val="29"/>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Reallocation of capital</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Dividends ($1.30 per common share) and other</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distributions</w:t>
            </w:r>
          </w:p>
        </w:tc>
        <w:tc>
          <w:tcPr>
            <w:tcW w:w="580" w:type="dxa"/>
            <w:vAlign w:val="bottom"/>
          </w:tcPr>
          <w:p>
            <w:pPr>
              <w:spacing w:after="0"/>
              <w:rPr>
                <w:sz w:val="14"/>
                <w:szCs w:val="1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(133,028)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(133,507)</w:t>
            </w:r>
          </w:p>
        </w:tc>
      </w:tr>
      <w:tr>
        <w:trPr>
          <w:trHeight w:val="29"/>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Dividends ($15.95 per preferred share)</w:t>
            </w: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67"/>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March 31, 2024</w:t>
            </w:r>
          </w:p>
        </w:tc>
        <w:tc>
          <w:tcPr>
            <w:tcW w:w="580" w:type="dxa"/>
            <w:vAlign w:val="bottom"/>
            <w:tcBorders>
              <w:top w:val="single" w:sz="8" w:color="auto"/>
            </w:tcBorders>
          </w:tcPr>
          <w:p>
            <w:pPr>
              <w:jc w:val="right"/>
              <w:ind w:right="44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Borders>
              <w:top w:val="single" w:sz="8" w:color="auto"/>
            </w:tcBorders>
          </w:tcPr>
          <w:p>
            <w:pPr>
              <w:jc w:val="right"/>
              <w:ind w:right="42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89</w:t>
            </w:r>
          </w:p>
        </w:tc>
        <w:tc>
          <w:tcPr>
            <w:tcW w:w="1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(72,688)</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2,129,944</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(874,130)</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1,183,637</w:t>
            </w:r>
          </w:p>
        </w:tc>
      </w:tr>
      <w:tr>
        <w:trPr>
          <w:trHeight w:val="29"/>
        </w:trPr>
        <w:tc>
          <w:tcPr>
            <w:tcW w:w="28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6"/>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Non-cash compensation</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5,821</w:t>
            </w:r>
          </w:p>
        </w:tc>
      </w:tr>
      <w:tr>
        <w:trPr>
          <w:trHeight w:val="157"/>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9"/>
              </w:rPr>
              <w:t>Issuance of 5,652 shares of common stock through</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stock awards</w:t>
            </w:r>
          </w:p>
        </w:tc>
        <w:tc>
          <w:tcPr>
            <w:tcW w:w="580" w:type="dxa"/>
            <w:vAlign w:val="bottom"/>
          </w:tcPr>
          <w:p>
            <w:pPr>
              <w:spacing w:after="0"/>
              <w:rPr>
                <w:sz w:val="14"/>
                <w:szCs w:val="1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w:t>
            </w:r>
          </w:p>
        </w:tc>
      </w:tr>
      <w:tr>
        <w:trPr>
          <w:trHeight w:val="29"/>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Exercise of 18,475 shares of stock options</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1,690</w:t>
            </w:r>
          </w:p>
        </w:tc>
      </w:tr>
      <w:tr>
        <w:trPr>
          <w:trHeight w:val="157"/>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6"/>
              </w:rPr>
              <w:t>Issuance of 30,337 shares of common stock through</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employee purchase plan</w:t>
            </w:r>
          </w:p>
        </w:tc>
        <w:tc>
          <w:tcPr>
            <w:tcW w:w="580" w:type="dxa"/>
            <w:vAlign w:val="bottom"/>
          </w:tcPr>
          <w:p>
            <w:pPr>
              <w:spacing w:after="0"/>
              <w:rPr>
                <w:sz w:val="14"/>
                <w:szCs w:val="1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2,748</w:t>
            </w:r>
          </w:p>
        </w:tc>
      </w:tr>
      <w:tr>
        <w:trPr>
          <w:trHeight w:val="29"/>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w:t>
            </w:r>
          </w:p>
        </w:tc>
      </w:tr>
      <w:tr>
        <w:trPr>
          <w:trHeight w:val="173"/>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58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137,366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137,594</w:t>
            </w:r>
          </w:p>
        </w:tc>
      </w:tr>
      <w:tr>
        <w:trPr>
          <w:trHeight w:val="30"/>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Dividends ($1.30 per common share) and other</w:t>
            </w: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8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distributions</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(133,116)</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(133,333)</w:t>
            </w:r>
          </w:p>
        </w:tc>
      </w:tr>
      <w:tr>
        <w:trPr>
          <w:trHeight w:val="173"/>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Dividends ($15.95 per preferred share)</w:t>
            </w:r>
          </w:p>
        </w:tc>
        <w:tc>
          <w:tcPr>
            <w:tcW w:w="58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30"/>
        </w:trPr>
        <w:tc>
          <w:tcPr>
            <w:tcW w:w="28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5"/>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June 30, 2024</w:t>
            </w:r>
          </w:p>
        </w:tc>
        <w:tc>
          <w:tcPr>
            <w:tcW w:w="58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2,140,977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(869,971)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1,198,409</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3"/>
          <w:szCs w:val="13"/>
          <w:b w:val="1"/>
          <w:bCs w:val="1"/>
          <w:color w:val="auto"/>
        </w:rPr>
        <w:t>Six Months Ended</w:t>
      </w:r>
    </w:p>
    <w:p>
      <w:pPr>
        <w:spacing w:after="0" w:line="15"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3"/>
          <w:szCs w:val="13"/>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19050</wp:posOffset>
            </wp:positionV>
            <wp:extent cx="1748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68"/>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29"/>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294,245</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216,093</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155,931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152,419</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Stock-based compensation</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25,616</w:t>
            </w:r>
          </w:p>
        </w:tc>
        <w:tc>
          <w:tcPr>
            <w:tcW w:w="0" w:type="dxa"/>
            <w:vAlign w:val="bottom"/>
          </w:tcPr>
          <w:p>
            <w:pPr>
              <w:spacing w:after="0"/>
              <w:rPr>
                <w:sz w:val="1"/>
                <w:szCs w:val="1"/>
                <w:color w:val="auto"/>
              </w:rPr>
            </w:pPr>
          </w:p>
        </w:tc>
      </w:tr>
      <w:tr>
        <w:trPr>
          <w:trHeight w:val="193"/>
        </w:trPr>
        <w:tc>
          <w:tcPr>
            <w:tcW w:w="8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included in interest expense</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3,271</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Gain on disposition of assets and investments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(73,961)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w:t>
            </w:r>
          </w:p>
        </w:tc>
        <w:tc>
          <w:tcPr>
            <w:tcW w:w="0" w:type="dxa"/>
            <w:vAlign w:val="bottom"/>
          </w:tcPr>
          <w:p>
            <w:pPr>
              <w:spacing w:after="0"/>
              <w:rPr>
                <w:sz w:val="1"/>
                <w:szCs w:val="1"/>
                <w:color w:val="auto"/>
              </w:rPr>
            </w:pPr>
          </w:p>
        </w:tc>
      </w:tr>
      <w:tr>
        <w:trPr>
          <w:trHeight w:val="193"/>
        </w:trPr>
        <w:tc>
          <w:tcPr>
            <w:tcW w:w="8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Equity in (earnings) loss of investee</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Deferred tax benefit</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3"/>
        </w:trPr>
        <w:tc>
          <w:tcPr>
            <w:tcW w:w="8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Increase in:</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Receivables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(19,034)</w:t>
            </w:r>
          </w:p>
        </w:tc>
        <w:tc>
          <w:tcPr>
            <w:tcW w:w="0" w:type="dxa"/>
            <w:vAlign w:val="bottom"/>
          </w:tcPr>
          <w:p>
            <w:pPr>
              <w:spacing w:after="0"/>
              <w:rPr>
                <w:sz w:val="1"/>
                <w:szCs w:val="1"/>
                <w:color w:val="auto"/>
              </w:rPr>
            </w:pPr>
          </w:p>
        </w:tc>
      </w:tr>
      <w:tr>
        <w:trPr>
          <w:trHeight w:val="193"/>
        </w:trPr>
        <w:tc>
          <w:tcPr>
            <w:tcW w:w="8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Prepaid expenses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(6,665)</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(10,682)</w:t>
            </w:r>
          </w:p>
        </w:tc>
        <w:tc>
          <w:tcPr>
            <w:tcW w:w="0" w:type="dxa"/>
            <w:vAlign w:val="bottom"/>
          </w:tcPr>
          <w:p>
            <w:pPr>
              <w:spacing w:after="0"/>
              <w:rPr>
                <w:sz w:val="1"/>
                <w:szCs w:val="1"/>
                <w:color w:val="auto"/>
              </w:rPr>
            </w:pPr>
          </w:p>
        </w:tc>
      </w:tr>
      <w:tr>
        <w:trPr>
          <w:trHeight w:val="193"/>
        </w:trPr>
        <w:tc>
          <w:tcPr>
            <w:tcW w:w="8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Increase (decrease) in:</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Trade accounts payable</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w:t>
            </w:r>
          </w:p>
        </w:tc>
        <w:tc>
          <w:tcPr>
            <w:tcW w:w="0" w:type="dxa"/>
            <w:vAlign w:val="bottom"/>
          </w:tcPr>
          <w:p>
            <w:pPr>
              <w:spacing w:after="0"/>
              <w:rPr>
                <w:sz w:val="1"/>
                <w:szCs w:val="1"/>
                <w:color w:val="auto"/>
              </w:rPr>
            </w:pPr>
          </w:p>
        </w:tc>
      </w:tr>
      <w:tr>
        <w:trPr>
          <w:trHeight w:val="193"/>
        </w:trPr>
        <w:tc>
          <w:tcPr>
            <w:tcW w:w="8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Accrued expenses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(6,420)</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(28,272)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(25,945)</w:t>
            </w:r>
          </w:p>
        </w:tc>
        <w:tc>
          <w:tcPr>
            <w:tcW w:w="0" w:type="dxa"/>
            <w:vAlign w:val="bottom"/>
          </w:tcPr>
          <w:p>
            <w:pPr>
              <w:spacing w:after="0"/>
              <w:rPr>
                <w:sz w:val="1"/>
                <w:szCs w:val="1"/>
                <w:color w:val="auto"/>
              </w:rPr>
            </w:pPr>
          </w:p>
        </w:tc>
      </w:tr>
      <w:tr>
        <w:trPr>
          <w:trHeight w:val="193"/>
        </w:trPr>
        <w:tc>
          <w:tcPr>
            <w:tcW w:w="8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36,501</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357,232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366,904</w:t>
            </w:r>
          </w:p>
        </w:tc>
        <w:tc>
          <w:tcPr>
            <w:tcW w:w="0" w:type="dxa"/>
            <w:vAlign w:val="bottom"/>
          </w:tcPr>
          <w:p>
            <w:pPr>
              <w:spacing w:after="0"/>
              <w:rPr>
                <w:sz w:val="1"/>
                <w:szCs w:val="1"/>
                <w:color w:val="auto"/>
              </w:rPr>
            </w:pPr>
          </w:p>
        </w:tc>
      </w:tr>
      <w:tr>
        <w:trPr>
          <w:trHeight w:val="17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Acquisitions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(87,080)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(28,192)</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 expenditures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(68,088)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(52,130)</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disposition of assets and investments</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121,392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3,661</w:t>
            </w:r>
          </w:p>
        </w:tc>
        <w:tc>
          <w:tcPr>
            <w:tcW w:w="0" w:type="dxa"/>
            <w:vAlign w:val="bottom"/>
          </w:tcPr>
          <w:p>
            <w:pPr>
              <w:spacing w:after="0"/>
              <w:rPr>
                <w:sz w:val="1"/>
                <w:szCs w:val="1"/>
                <w:color w:val="auto"/>
              </w:rPr>
            </w:pPr>
          </w:p>
        </w:tc>
      </w:tr>
      <w:tr>
        <w:trPr>
          <w:trHeight w:val="186"/>
        </w:trPr>
        <w:tc>
          <w:tcPr>
            <w:tcW w:w="84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(33,776)</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(76,661)</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used for purchase of treasury stock</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(157,921)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(5,341)</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proceeds from issuance of common stock</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11,505</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Principal payments on financing leases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Payments on revolving credit facility</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(292,000)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(213,000)</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received from revolving credit facility</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442,000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218,000</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Payments on accounts receivable securitization program</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(86,200)</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received from accounts receivable securitization program</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29,400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86,200</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Debt issuance costs</w:t>
            </w:r>
          </w:p>
        </w:tc>
        <w:tc>
          <w:tcPr>
            <w:tcW w:w="3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Dividends/distributions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(316,314)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(266,326)</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(317,469)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(256,744)</w:t>
            </w: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in cash and cash equivalents</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6,265</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33,327</w:t>
            </w:r>
          </w:p>
        </w:tc>
        <w:tc>
          <w:tcPr>
            <w:tcW w:w="0" w:type="dxa"/>
            <w:vAlign w:val="bottom"/>
          </w:tcPr>
          <w:p>
            <w:pPr>
              <w:spacing w:after="0"/>
              <w:rPr>
                <w:sz w:val="1"/>
                <w:szCs w:val="1"/>
                <w:color w:val="auto"/>
              </w:rPr>
            </w:pPr>
          </w:p>
        </w:tc>
      </w:tr>
      <w:tr>
        <w:trPr>
          <w:trHeight w:val="192"/>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49,461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44,605</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55,726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77,932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4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85,653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foreign, state and federal income taxes</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14,666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5,205</w:t>
            </w:r>
          </w:p>
        </w:tc>
        <w:tc>
          <w:tcPr>
            <w:tcW w:w="0" w:type="dxa"/>
            <w:vAlign w:val="bottom"/>
          </w:tcPr>
          <w:p>
            <w:pPr>
              <w:spacing w:after="0"/>
              <w:rPr>
                <w:sz w:val="1"/>
                <w:szCs w:val="1"/>
                <w:color w:val="auto"/>
              </w:rPr>
            </w:pPr>
          </w:p>
        </w:tc>
      </w:tr>
      <w:tr>
        <w:trPr>
          <w:trHeight w:val="25"/>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Significant Accounting Policies</w:t>
      </w:r>
    </w:p>
    <w:p>
      <w:pPr>
        <w:spacing w:after="0" w:line="25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the Company’s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the Company’s consolidated financial statements and the notes thereto included in the 2024 Combined Form 10-K. Subsequent events, if any, are evaluated through the date on which the financial statements are issued.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Revenues</w:t>
      </w:r>
    </w:p>
    <w:p>
      <w:pPr>
        <w:spacing w:after="0" w:line="254"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Advertising revenues: </w:t>
      </w:r>
      <w:r>
        <w:rPr>
          <w:rFonts w:ascii="Times New Roman" w:cs="Times New Roman" w:eastAsia="Times New Roman" w:hAnsi="Times New Roman"/>
          <w:sz w:val="18"/>
          <w:szCs w:val="18"/>
          <w:color w:val="auto"/>
        </w:rPr>
        <w:t>The majority of our revenues are derived from contracts for advertising space on billboard, logo and transit displays.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Contracts that do not meet the criteria of a lease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are accounted for under ASC 606, R</w:t>
      </w:r>
      <w:r>
        <w:rPr>
          <w:rFonts w:ascii="Times New Roman" w:cs="Times New Roman" w:eastAsia="Times New Roman" w:hAnsi="Times New Roman"/>
          <w:sz w:val="18"/>
          <w:szCs w:val="18"/>
          <w:i w:val="1"/>
          <w:iCs w:val="1"/>
          <w:color w:val="auto"/>
        </w:rPr>
        <w:t>evenue from Contracts with Customers</w:t>
      </w:r>
      <w:r>
        <w:rPr>
          <w:rFonts w:ascii="Times New Roman" w:cs="Times New Roman" w:eastAsia="Times New Roman" w:hAnsi="Times New Roman"/>
          <w:sz w:val="18"/>
          <w:szCs w:val="18"/>
          <w:color w:val="auto"/>
        </w:rPr>
        <w:t>. The majority of our advertising space contracts do not meet the definition of a lease under ASC 842 and are therefore accounted for under ASC 606. The contract revenues are recognized ratably over their contract life. Costs to fulfill a contract, which include our costs to install advertising copy onto billboards, are capitalized and amortized to direct advertising expenses (exclusive of depreciation and amortization) in the Condensed Consolidated Statements of Income and Comprehensive Income.</w:t>
      </w:r>
    </w:p>
    <w:p>
      <w:pPr>
        <w:spacing w:after="0" w:line="209"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Our other component of revenue primarily consists of production services which includes creating and printing the advertising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copy. Revenue for production contracts is recognized under ASC 606. Contract revenues for production services are recognized upon satisfaction of the contract which is typically less than one week.</w:t>
      </w:r>
    </w:p>
    <w:p>
      <w:pPr>
        <w:spacing w:after="0" w:line="200"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Arrangements with multiple performance obligations: </w:t>
      </w:r>
      <w:r>
        <w:rPr>
          <w:rFonts w:ascii="Times New Roman" w:cs="Times New Roman" w:eastAsia="Times New Roman" w:hAnsi="Times New Roman"/>
          <w:sz w:val="18"/>
          <w:szCs w:val="18"/>
          <w:color w:val="auto"/>
        </w:rPr>
        <w:t>Our contracts with customers may include multiple performance obligations. For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we allocate revenue to each performance obligation based on the relative standalone selling price. We determine standalone selling prices based on the prices charged to customers using expected cost plus margin.</w:t>
      </w:r>
    </w:p>
    <w:p>
      <w:pPr>
        <w:spacing w:after="0" w:line="200"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revenues: </w:t>
      </w:r>
      <w:r>
        <w:rPr>
          <w:rFonts w:ascii="Times New Roman" w:cs="Times New Roman" w:eastAsia="Times New Roman" w:hAnsi="Times New Roman"/>
          <w:sz w:val="18"/>
          <w:szCs w:val="18"/>
          <w:color w:val="auto"/>
        </w:rPr>
        <w:t>We record deferred revenues when cash payments are received or due in advance of our performance obligation. The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invoicing and when a payment is due is not significant. For certain services we require payment before the product or services are delivered to the customer. The balance of deferred income is considered short-term and will be recognized in revenue within twelve months.</w:t>
      </w:r>
    </w:p>
    <w:p>
      <w:pPr>
        <w:spacing w:after="0" w:line="20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Practical expedients and exemptions: </w:t>
      </w:r>
      <w:r>
        <w:rPr>
          <w:rFonts w:ascii="Times New Roman" w:cs="Times New Roman" w:eastAsia="Times New Roman" w:hAnsi="Times New Roman"/>
          <w:sz w:val="18"/>
          <w:szCs w:val="18"/>
          <w:color w:val="auto"/>
        </w:rPr>
        <w:t>The Company is utilizing the following practical expedients and exemptions from ASC 606. We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sales commissions when incurred because the amortization period is one year or less. These costs are recorded within direct advertising expenses (exclusive of depreciation and amortization). We do not disclose the value of unsatisfied performance obligations as the majority of our contracts with customers have an original expected length of less than one year. For contracts with customers which exceed one year, the future amount to be invoiced to the customer corresponds directly with the value to be received by the customer.</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our disaggregated revenue by source for the three and six months ended June 30, 2025 and 2024.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5"/>
                <w:szCs w:val="15"/>
                <w:color w:val="auto"/>
              </w:rPr>
            </w:pPr>
          </w:p>
        </w:tc>
      </w:t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r>
      <w:tr>
        <w:trPr>
          <w:trHeight w:val="37"/>
        </w:trPr>
        <w:tc>
          <w:tcPr>
            <w:tcW w:w="56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37"/>
        </w:trPr>
        <w:tc>
          <w:tcPr>
            <w:tcW w:w="56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advertising</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512,317</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502,144</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957,214</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941,529</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Logo advertising</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42,259</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 advertising</w:t>
            </w:r>
          </w:p>
        </w:tc>
        <w:tc>
          <w:tcPr>
            <w:tcW w:w="3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43,743</w:t>
            </w:r>
          </w:p>
        </w:tc>
        <w:tc>
          <w:tcPr>
            <w:tcW w:w="12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41,590</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82,638</w:t>
            </w:r>
          </w:p>
        </w:tc>
        <w:tc>
          <w:tcPr>
            <w:tcW w:w="12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79,613</w:t>
            </w:r>
          </w:p>
        </w:tc>
      </w:tr>
      <w:tr>
        <w:trPr>
          <w:trHeight w:val="263"/>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579,311</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565,251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1,084,741</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1,063,401</w:t>
            </w:r>
          </w:p>
        </w:tc>
      </w:tr>
      <w:tr>
        <w:trPr>
          <w:trHeight w:val="21"/>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56"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During the three months ended June 30, 2025 and 2024, we had operating lease costs of $82,812 and $79,519, respectively, and variable lease costs of $17,278 and $16,868, respectively. During the six months ended June 30, 2025 and 2024, we had operating lease costs of $164,943 and $158,770, respectively, and variable lease costs of $31,210 and $30,310, respectively. These operating lease costs are recorded in direct advertising expenses (exclusive of depreciation and amortization). For the three months ended June 30, 2025 and 2024, we recorded a gain of $62 and $260, respectively, in gain on disposition of assets related to the amendment and termination of lease agreements. For the six months ended June 30, 2025 and 2024, we recorded a gain of $41 and $268, respectively, in gain on disposition of assets related to the amendment and termination of lease agreements. Cash payments of $191,085 and $189,395 were made reducing our operating lease liabilities for the six months ended June 30, 2025 and 2024, respectively, and are included in cash flows provided by operating activities in the Condensed Consolidated Statements of Cash Flows.</w:t>
      </w:r>
    </w:p>
    <w:p>
      <w:pPr>
        <w:spacing w:after="0" w:line="21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We elected the short-term lease exemption which applies to certain of our vehicle agreements. This election allows the Company to not recognize lease right of use assets ("ROU assets") or lease liabilities for agreements with a term of twelve months or less. We recorded $2,525 and $2,647 in direct advertising expenses (exclusive of depreciation and amortization) for these agreements during the three months ended June 30, 2025 and 2024, respectively. We recorded $5,159 and $5,174 in direct advertising expenses (exclusive of depreciation and amortization) for these agreements during the six months ended June 30, 2025 and 2024, respectively.</w:t>
      </w:r>
    </w:p>
    <w:p>
      <w:pPr>
        <w:spacing w:after="0" w:line="21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operating leases have a weighted-average remaining lease term of 12.9 years. The weighted-average discount rate of our operating leases is 5.2%. Also, during the six months ended June 30, 2025 and 2024, we obtained $31,588 and $5,169, respectively, of leased assets in exchange for new operating lease liabilities, which includes liabilities obtained through acquisitions.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following is a summary of the maturities of our operating lease liabilities as of June 30, 2025:</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9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109,621</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230,522</w:t>
            </w:r>
          </w:p>
        </w:tc>
      </w:tr>
      <w:tr>
        <w:trPr>
          <w:trHeight w:val="27"/>
        </w:trPr>
        <w:tc>
          <w:tcPr>
            <w:tcW w:w="9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198,302</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169,526</w:t>
            </w:r>
          </w:p>
        </w:tc>
      </w:tr>
      <w:tr>
        <w:trPr>
          <w:trHeight w:val="27"/>
        </w:trPr>
        <w:tc>
          <w:tcPr>
            <w:tcW w:w="9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148,908</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1,074,575</w:t>
            </w:r>
          </w:p>
        </w:tc>
      </w:tr>
      <w:tr>
        <w:trPr>
          <w:trHeight w:val="27"/>
        </w:trPr>
        <w:tc>
          <w:tcPr>
            <w:tcW w:w="9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1,931,454</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(538,349)</w:t>
            </w:r>
          </w:p>
        </w:tc>
      </w:tr>
      <w:tr>
        <w:trPr>
          <w:trHeight w:val="27"/>
        </w:trPr>
        <w:tc>
          <w:tcPr>
            <w:tcW w:w="9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1,393,105</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During the three months ended June 30, 2025 and 2024, $713 of amortization expense for each period and $107 and $117, respectively, of interest expense relating to our financing lease liabilities were recorded in depreciation and amortization and interest expense, respectively, in the Condensed Consolidated Statements of Income and Comprehensive Income. During the six months ended June 30, 2025 and 2024, amortization expense was $1,426 and $1,427, respectively, and $217 and $237, respectively, of interest expense relating to our financing lease liabilities were recorded in depreciation and amortization and interest expense, respectively, in the Condensed Consolidated Statements of Income and Comprehensive Income. Cash payments of $666 were made reducing our financing lease liabilities for each of the six months ended June 30, 2025 and 2024, and are included in cash flows used in financing activities in the Condensed Consolidated Statements of Cash Flows. Our financing leases have a weighted-average remaining lease term of 2.4 years and a weighted-average discount rate of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 xml:space="preserve">Due to our election not to reassess conclusions about lease identification as part of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our transit agreements were accounted for as leases on January 1, 2019. As we enter into new or renew current transit agreements, those agreements do not meet the criteria of a lease under ASC 842, therefore, they are no longer accounted for as a lease. For the three months ended June 30, 2025 and 2024, non-lease variable transit costs were $25,182 and $23,429, respectively. For the six months ended June 30, 2025 and 2024, non-lease variable transit costs were $48,630 and $46,992,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Stock-Based Compensation</w:t>
      </w:r>
    </w:p>
    <w:p>
      <w:pPr>
        <w:spacing w:after="0" w:line="254"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Incentive Plan. </w:t>
      </w:r>
      <w:r>
        <w:rPr>
          <w:rFonts w:ascii="Times New Roman" w:cs="Times New Roman" w:eastAsia="Times New Roman" w:hAnsi="Times New Roman"/>
          <w:sz w:val="18"/>
          <w:szCs w:val="18"/>
          <w:color w:val="auto"/>
        </w:rPr>
        <w:t>Lamar 1996 Equity Incentive Plan, as amended, (the “1996 Plan”) has reserved 17.5 million shares of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for issuance to directors and employees, including shares underlying granted options and common stock reserved for issuance under its performance-based incentive and LTIP unit program. Options granted under the 1996 plan expire ten years from the grant date with vesting terms ranging from three to five years which primarily include 1) options that vest in one-fifth 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spacing w:after="0" w:line="21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use a Black-Scholes-Merton option pricing model to estimate the fair value of share-based awards. The Black-Scholes-Merton option pricing model incorporates various and highly subjective assumptions, including expected term and expected volatility. The Company had 36,000 granted options of its Class A common stock during the six months ended June 30, 2025. At June 30, 2025 a total of 1,192,504 shares were available for future grant.</w:t>
      </w:r>
    </w:p>
    <w:p>
      <w:pPr>
        <w:spacing w:after="0" w:line="20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Purchase Plan. </w:t>
      </w:r>
      <w:r>
        <w:rPr>
          <w:rFonts w:ascii="Times New Roman" w:cs="Times New Roman" w:eastAsia="Times New Roman" w:hAnsi="Times New Roman"/>
          <w:sz w:val="18"/>
          <w:szCs w:val="18"/>
          <w:color w:val="auto"/>
        </w:rPr>
        <w:t>On May 30, 2019, our shareholders approved Lamar Advertising’s 2019 Employee Stock Purchase Plan (the “2019 ESPP”).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shares of Class A common stock available for issuance under the 2019 ESPP was automatically increased by 87,976 shares on January 1, 2025 pursuant to the automatic increase provisions of the 2019 ESPP.</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summary of 2019 ESPP share activity for the six months ended June 30, 2025:</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13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37"/>
        </w:trPr>
        <w:tc>
          <w:tcPr>
            <w:tcW w:w="9920" w:type="dxa"/>
            <w:vAlign w:val="bottom"/>
            <w:tcBorders>
              <w:bottom w:val="single" w:sz="8" w:color="CFF0FC"/>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4"/>
        </w:trPr>
        <w:tc>
          <w:tcPr>
            <w:tcW w:w="9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January 1, 2025</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204,528</w:t>
            </w:r>
          </w:p>
        </w:tc>
      </w:tr>
      <w:tr>
        <w:trPr>
          <w:trHeight w:val="243"/>
        </w:trPr>
        <w:tc>
          <w:tcPr>
            <w:tcW w:w="9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shares reserved under 2019 ESPP</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87,976</w:t>
            </w:r>
          </w:p>
        </w:tc>
      </w:tr>
      <w:tr>
        <w:trPr>
          <w:trHeight w:val="27"/>
        </w:trPr>
        <w:tc>
          <w:tcPr>
            <w:tcW w:w="99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9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Purchases</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(70,802)</w:t>
            </w:r>
          </w:p>
        </w:tc>
      </w:tr>
      <w:tr>
        <w:trPr>
          <w:trHeight w:val="237"/>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June 30, 2025</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221,702</w:t>
            </w:r>
          </w:p>
        </w:tc>
      </w:tr>
      <w:tr>
        <w:trPr>
          <w:trHeight w:val="27"/>
        </w:trPr>
        <w:tc>
          <w:tcPr>
            <w:tcW w:w="99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99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 compensation. </w:t>
      </w:r>
      <w:r>
        <w:rPr>
          <w:rFonts w:ascii="Times New Roman" w:cs="Times New Roman" w:eastAsia="Times New Roman" w:hAnsi="Times New Roman"/>
          <w:sz w:val="18"/>
          <w:szCs w:val="18"/>
          <w:color w:val="auto"/>
        </w:rPr>
        <w:t>Unrestricted shares of our Class A common stock may be awarded to key officers, employees and directors under the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The number of shares to be issued, if any, is generally dependent on the level of achievement of performance measures for key officers and employees, as determined by the Company’s Compensation Committee based on our 2025 results. Any shares issued based on the achievement of performance goals will be issued in the first quarter of 2026. The shares subject to these awards can range from a minimum of 0% to a maximum of 120% of the target number of shares depending on the level at which the goals are attained. Under the Incentive Plan, the Company's Compensation Committee may also award additional shares in its discretion based on other factors, which awards, if any, will also be issued in the first quarter of 2026. For the three months ended June 30, 2025 and 2024, the Company recorded $3,055 and $4,893, respectively, as stock-based compensation expense. For the six months ended June 30, 2025 and 2024, the Company recorded $9,573 and $14,818, respectively, as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LTIP </w:t>
      </w:r>
      <w:r>
        <w:rPr>
          <w:rFonts w:ascii="Times New Roman" w:cs="Times New Roman" w:eastAsia="Times New Roman" w:hAnsi="Times New Roman"/>
          <w:sz w:val="18"/>
          <w:szCs w:val="18"/>
          <w:color w:val="auto"/>
        </w:rPr>
        <w:t>Units. In addition to stock compensation, the Company may issue LTIP Units of Lamar Advertising Limited Partnership (the "OP"),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of the Company, to certain officers, employees and directors under the Incentive Plan of the Company. Such LTIP Units are subject to vesting and forfeiture conditions based on performance criteria approved by the Compensation Committee. The Compensation Committee may also make discretionary grants of LTIP Units based on other factors. LTIP Units are a class of units intended to qualify as “profits interests” of the OP. The LTIP Units convert into Common Units of the OP upon the occurrence of certain events. Common Units are redeemable by the holder for shares of the Company's Class A common stock after a holding period of twelve months, or may be paid out in cash at the option of the general partner of the OP. As of June 30, 2025, the OP has a total of 380,800 LTIP Units issued and outstanding to the Company’s executive officers, of which 260,800 LTIP units have vested. For the three months ended June 30, 2025 and 2024, the Company recorded $2,201 and $4,501, respectively, as stock-based compensation expense related to these LTIP Units. For the six months ended June 30, 2025 and 2024, the Company recorded $4,622 and $7,563, respectively, as stock-based compensation expense related to these LTIP Units.</w:t>
      </w:r>
    </w:p>
    <w:p>
      <w:pPr>
        <w:spacing w:after="0" w:line="21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stock compensation. </w:t>
      </w:r>
      <w:r>
        <w:rPr>
          <w:rFonts w:ascii="Times New Roman" w:cs="Times New Roman" w:eastAsia="Times New Roman" w:hAnsi="Times New Roman"/>
          <w:sz w:val="18"/>
          <w:szCs w:val="18"/>
          <w:color w:val="auto"/>
        </w:rPr>
        <w:t>Annually, each non-employee director automatically receives a restricted stock award of our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election or re-election. The awards vest 50% on the grant date and 50% on the last day of the directors' one year term. For the three months ended June 30, 2025 and 2024, the Company recorded $471 and $434, respectively, in stock-based compensation expense related to these awards. For the six months ended June 30, 2025 and 2024, the Company recorded $537 and $571, respectively, in stock-based compensation expense related to these awards.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Depreciation and Amortization</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 includes all categories of depreciation and amortization on a separate line in its Condensed Consolidated Statements of Income and Comprehensive Income. The amounts of depreciation and amortization expense excluded from the following operating expenses in its Condensed Consolidated Statements of Income and Comprehensive Income are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5"/>
                <w:szCs w:val="15"/>
                <w:color w:val="auto"/>
              </w:rPr>
            </w:pPr>
          </w:p>
        </w:tc>
      </w:t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r>
      <w:tr>
        <w:trPr>
          <w:trHeight w:val="37"/>
        </w:trPr>
        <w:tc>
          <w:tcPr>
            <w:tcW w:w="56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6"/>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37"/>
        </w:trPr>
        <w:tc>
          <w:tcPr>
            <w:tcW w:w="566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43"/>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72,028</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71,572</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143,811</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141,247</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30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2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8,573</w:t>
            </w:r>
          </w:p>
        </w:tc>
      </w:tr>
      <w:tr>
        <w:trPr>
          <w:trHeight w:val="237"/>
        </w:trPr>
        <w:tc>
          <w:tcPr>
            <w:tcW w:w="566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78,110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77,191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155,931</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152,419</w:t>
            </w:r>
          </w:p>
        </w:tc>
      </w:tr>
      <w:tr>
        <w:trPr>
          <w:trHeight w:val="27"/>
        </w:trPr>
        <w:tc>
          <w:tcPr>
            <w:tcW w:w="5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5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summary of intangible assets at June 30, 2025 and December 31, 2024: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vMerge w:val="restart"/>
          </w:tcPr>
          <w:p>
            <w:pPr>
              <w:spacing w:after="0"/>
              <w:rPr>
                <w:sz w:val="16"/>
                <w:szCs w:val="16"/>
                <w:color w:val="auto"/>
              </w:rPr>
            </w:pPr>
          </w:p>
        </w:tc>
        <w:tc>
          <w:tcPr>
            <w:tcW w:w="27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260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7"/>
        </w:trPr>
        <w:tc>
          <w:tcPr>
            <w:tcW w:w="422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140" w:type="dxa"/>
            <w:vAlign w:val="bottom"/>
            <w:tcBorders>
              <w:bottom w:val="single" w:sz="8" w:color="auto"/>
            </w:tcBorders>
            <w:vMerge w:val="continue"/>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4220" w:type="dxa"/>
            <w:vAlign w:val="bottom"/>
          </w:tcPr>
          <w:p>
            <w:pPr>
              <w:spacing w:after="0"/>
              <w:rPr>
                <w:sz w:val="13"/>
                <w:szCs w:val="13"/>
                <w:color w:val="auto"/>
              </w:rPr>
            </w:pPr>
          </w:p>
        </w:tc>
        <w:tc>
          <w:tcPr>
            <w:tcW w:w="1560" w:type="dxa"/>
            <w:vAlign w:val="bottom"/>
            <w:gridSpan w:val="3"/>
          </w:tcPr>
          <w:p>
            <w:pPr>
              <w:jc w:val="center"/>
              <w:ind w:right="150"/>
              <w:spacing w:after="0" w:line="158"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2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24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140" w:type="dxa"/>
            <w:vAlign w:val="bottom"/>
          </w:tcPr>
          <w:p>
            <w:pPr>
              <w:jc w:val="right"/>
              <w:ind w:right="175"/>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204"/>
        </w:trPr>
        <w:tc>
          <w:tcPr>
            <w:tcW w:w="4220" w:type="dxa"/>
            <w:vAlign w:val="bottom"/>
          </w:tcPr>
          <w:p>
            <w:pPr>
              <w:spacing w:after="0"/>
              <w:rPr>
                <w:sz w:val="17"/>
                <w:szCs w:val="17"/>
                <w:color w:val="auto"/>
              </w:rPr>
            </w:pPr>
          </w:p>
        </w:tc>
        <w:tc>
          <w:tcPr>
            <w:tcW w:w="1560" w:type="dxa"/>
            <w:vAlign w:val="bottom"/>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37"/>
        </w:trPr>
        <w:tc>
          <w:tcPr>
            <w:tcW w:w="4220" w:type="dxa"/>
            <w:vAlign w:val="bottom"/>
            <w:tcBorders>
              <w:bottom w:val="single" w:sz="8" w:color="CFF0FC"/>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740,462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732,098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665,095</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560" w:type="dxa"/>
            <w:vAlign w:val="bottom"/>
            <w:tcBorders>
              <w:bottom w:val="single" w:sz="8" w:color="CFF0FC"/>
            </w:tcBorders>
            <w:gridSpan w:val="3"/>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3—15</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72,374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71,960</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66,894</w:t>
            </w:r>
          </w:p>
        </w:tc>
        <w:tc>
          <w:tcPr>
            <w:tcW w:w="0" w:type="dxa"/>
            <w:vAlign w:val="bottom"/>
          </w:tcPr>
          <w:p>
            <w:pPr>
              <w:spacing w:after="0"/>
              <w:rPr>
                <w:sz w:val="1"/>
                <w:szCs w:val="1"/>
                <w:color w:val="auto"/>
              </w:rPr>
            </w:pPr>
          </w:p>
        </w:tc>
      </w:tr>
      <w:tr>
        <w:trPr>
          <w:trHeight w:val="24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Site locations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3,046,482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2,060,440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2,982,504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2,002,272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52,926</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42,988</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52,761</w:t>
            </w:r>
          </w:p>
        </w:tc>
        <w:tc>
          <w:tcPr>
            <w:tcW w:w="1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42,461</w:t>
            </w:r>
          </w:p>
        </w:tc>
        <w:tc>
          <w:tcPr>
            <w:tcW w:w="0" w:type="dxa"/>
            <w:vAlign w:val="bottom"/>
          </w:tcPr>
          <w:p>
            <w:pPr>
              <w:spacing w:after="0"/>
              <w:rPr>
                <w:sz w:val="1"/>
                <w:szCs w:val="1"/>
                <w:color w:val="auto"/>
              </w:rPr>
            </w:pPr>
          </w:p>
        </w:tc>
      </w:tr>
      <w:tr>
        <w:trPr>
          <w:trHeight w:val="236"/>
        </w:trPr>
        <w:tc>
          <w:tcPr>
            <w:tcW w:w="4220" w:type="dxa"/>
            <w:vAlign w:val="bottom"/>
          </w:tcPr>
          <w:p>
            <w:pPr>
              <w:spacing w:after="0"/>
              <w:rPr>
                <w:sz w:val="20"/>
                <w:szCs w:val="20"/>
                <w:color w:val="auto"/>
              </w:rPr>
            </w:pPr>
          </w:p>
        </w:tc>
        <w:tc>
          <w:tcPr>
            <w:tcW w:w="142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3,912,244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2,847,267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3,839,323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2,776,722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Unamortizable intangible assets:</w:t>
            </w:r>
          </w:p>
        </w:tc>
        <w:tc>
          <w:tcPr>
            <w:tcW w:w="1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2,288,737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2,288,618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Asset Retirement Obligations</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Company’s asset retirement obligations include the costs associated with the removal of its structures, resurfacing of the land and retirement cost, if applicable, as related to the Company’s outdoor advertising portfolio. The following table reflects information related to our asset retirement obligations: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614,713</w:t>
            </w:r>
          </w:p>
        </w:tc>
        <w:tc>
          <w:tcPr>
            <w:tcW w:w="0" w:type="dxa"/>
            <w:vAlign w:val="bottom"/>
          </w:tcPr>
          <w:p>
            <w:pPr>
              <w:spacing w:after="0"/>
              <w:rPr>
                <w:sz w:val="1"/>
                <w:szCs w:val="1"/>
                <w:color w:val="auto"/>
              </w:rPr>
            </w:pPr>
          </w:p>
        </w:tc>
      </w:tr>
      <w:tr>
        <w:trPr>
          <w:trHeight w:val="243"/>
        </w:trPr>
        <w:tc>
          <w:tcPr>
            <w:tcW w:w="9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to asset retirement obligations</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7"/>
        </w:trPr>
        <w:tc>
          <w:tcPr>
            <w:tcW w:w="9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0" w:type="dxa"/>
            <w:vAlign w:val="bottom"/>
          </w:tcPr>
          <w:p>
            <w:pPr>
              <w:spacing w:after="0"/>
              <w:rPr>
                <w:sz w:val="1"/>
                <w:szCs w:val="1"/>
                <w:color w:val="auto"/>
              </w:rPr>
            </w:pPr>
          </w:p>
        </w:tc>
      </w:tr>
      <w:tr>
        <w:trPr>
          <w:trHeight w:val="243"/>
        </w:trPr>
        <w:tc>
          <w:tcPr>
            <w:tcW w:w="9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Liabilities settled</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0" w:type="dxa"/>
            <w:vAlign w:val="bottom"/>
          </w:tcPr>
          <w:p>
            <w:pPr>
              <w:spacing w:after="0"/>
              <w:rPr>
                <w:sz w:val="1"/>
                <w:szCs w:val="1"/>
                <w:color w:val="auto"/>
              </w:rPr>
            </w:pPr>
          </w:p>
        </w:tc>
      </w:tr>
      <w:tr>
        <w:trPr>
          <w:trHeight w:val="27"/>
        </w:trPr>
        <w:tc>
          <w:tcPr>
            <w:tcW w:w="9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920" w:type="dxa"/>
            <w:vAlign w:val="bottom"/>
            <w:vMerge w:val="continue"/>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615,506</w:t>
            </w:r>
          </w:p>
        </w:tc>
        <w:tc>
          <w:tcPr>
            <w:tcW w:w="0" w:type="dxa"/>
            <w:vAlign w:val="bottom"/>
          </w:tcPr>
          <w:p>
            <w:pPr>
              <w:spacing w:after="0"/>
              <w:rPr>
                <w:sz w:val="1"/>
                <w:szCs w:val="1"/>
                <w:color w:val="auto"/>
              </w:rPr>
            </w:pPr>
          </w:p>
        </w:tc>
      </w:tr>
      <w:tr>
        <w:trPr>
          <w:trHeight w:val="27"/>
        </w:trPr>
        <w:tc>
          <w:tcPr>
            <w:tcW w:w="9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Distribution Restrictions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restricted under both the terms of the indentures relating to Lamar Media’s outstanding notes and by the terms of its senior credit facility. As of June 30, 2025 and December 31, 2024, Lamar Media was permitted under the terms of its outstanding notes to make transfers to Lamar Advertising in the form of cash dividends, loans or advances in amounts up to $4,594,897 and $4,677,837, respectively.</w:t>
      </w:r>
    </w:p>
    <w:p>
      <w:pPr>
        <w:spacing w:after="0" w:line="20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As of June 30, 2025, Lamar Media’s senior credit facility allows it to make transfers to Lamar Advertising in any taxable year up to the amount of Lamar Advertising’s taxable income (without any deduction for dividends paid). In addition, as of June 30, 2025, transfers to Lamar Advertising are permitted under Lamar Media’s senior credit facility and as defined therein up to the available cumulative credit, as long as no default has occurred and is continuing and, after giving effect to such distributions, (i) the total debt ratio is less than 7.0 to 1 and (ii) the secured debt ratio does not exceed 4.5 to 1. As of June 30, 2025 and December 31, 2024, the total debt ratio was less than 7.0 to 1 and Lamar Media’s secured debt ratio was less than 4.5 to 1, and the available cumulative credit was $3,345,377 and $3,428,317,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Share</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calculation of basic earnings per share excludes any dilutive effect of stock options and LTIP units, while diluted earnings per share includes the dilutive effect of stock options and LTIP units. There were no dilutive shares excluded from this calculation resulting from their anti-dilutive effect for the three and six months ended June 30, 2025 or 2024.</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Long-term debt consists of the following at June 30, 2025 and December 31, 2024: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4"/>
                <w:szCs w:val="14"/>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62"/>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204"/>
        </w:trPr>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3"/>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1,029,006</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249,497</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596,775</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544,964</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545,206</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397,240</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37"/>
        </w:trPr>
        <w:tc>
          <w:tcPr>
            <w:tcW w:w="70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3,384,260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3,363,713</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(249,925)</w:t>
            </w:r>
          </w:p>
        </w:tc>
        <w:tc>
          <w:tcPr>
            <w:tcW w:w="0" w:type="dxa"/>
            <w:vAlign w:val="bottom"/>
          </w:tcPr>
          <w:p>
            <w:pPr>
              <w:spacing w:after="0"/>
              <w:rPr>
                <w:sz w:val="1"/>
                <w:szCs w:val="1"/>
                <w:color w:val="auto"/>
              </w:rPr>
            </w:pP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3,133,832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3,113,788</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0"/>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7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74"/>
              <w:spacing w:after="0" w:line="158" w:lineRule="exact"/>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62"/>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4"/>
                <w:szCs w:val="14"/>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204"/>
        </w:trPr>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37"/>
        </w:trPr>
        <w:tc>
          <w:tcPr>
            <w:tcW w:w="70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877,851</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249,389</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596,198</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544,560</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544,741</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396,893</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37"/>
        </w:trPr>
        <w:tc>
          <w:tcPr>
            <w:tcW w:w="70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3,234,301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3,210,864</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(249,806)</w:t>
            </w:r>
          </w:p>
        </w:tc>
        <w:tc>
          <w:tcPr>
            <w:tcW w:w="0" w:type="dxa"/>
            <w:vAlign w:val="bottom"/>
          </w:tcPr>
          <w:p>
            <w:pPr>
              <w:spacing w:after="0"/>
              <w:rPr>
                <w:sz w:val="1"/>
                <w:szCs w:val="1"/>
                <w:color w:val="auto"/>
              </w:rPr>
            </w:pP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2,983,884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2,961,058</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Credit Facility</w:t>
      </w:r>
    </w:p>
    <w:p>
      <w:pPr>
        <w:spacing w:after="0" w:line="25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color w:val="auto"/>
        </w:rPr>
        <w:t>The senior credit facility, as established by the Fourth Amended and Restated Credit Agreement (the “senior credit facility”), consists of (i) a $750,000 senior secured revolving credit facility which will mature on July 31, 2028, subject to certain conditions (see description of Amendment No. 4 below) (the “revolving credit facility”), (ii) a $600,000 senior secured Term B loan facility (the “Term B loans”) which will mature on February 6, 2027,</w:t>
      </w:r>
    </w:p>
    <w:p>
      <w:pPr>
        <w:spacing w:after="0" w:line="1" w:lineRule="exact"/>
        <w:rPr>
          <w:sz w:val="20"/>
          <w:szCs w:val="20"/>
          <w:color w:val="auto"/>
        </w:rPr>
      </w:pPr>
    </w:p>
    <w:p>
      <w:pPr>
        <w:jc w:val="both"/>
        <w:ind w:firstLine="8"/>
        <w:spacing w:after="0" w:line="25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incremental facility (the “Incremental Facility”) pursuant to which Lamar Media may incur additional term loan tranches or increase its revolving credit facility subject to a pro forma secured debt ratio of 4.50 to 1.00, as well as certain other conditions including lender approval. Lamar Media borrowed all $600,000 in Term B loans on February 6, 2020. The entire amount of the Term B loans will be payable at maturity. The net proceeds from the Term B loans, together with borrowings under the revolving portion of the senior credit facility and a portion of the proceeds of the issuance of the 3 3/4% Senior Notes due 2028 and 4% Senior Notes due 2030 (both as described below), were used to repay all outstanding amounts under the Third Amended and Restated Credit Agreement, and all revolving commitments under that facility were terminated.</w:t>
      </w:r>
    </w:p>
    <w:p>
      <w:pPr>
        <w:spacing w:after="0" w:line="21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Term B loans mature on February 6, 2027 with no required amortization payments. The Term B loans bear interest at rates based on the Term Secured Overnight Financing Rate ("Term SOFR") plus a credit spread adjustment of 0.10% (Term SOFR plus such credit spread adjustment, the "Adjusted Term SOFR Rate”) or the Adjusted Base Rate, at Lamar Media’s option. Term B loans bearing interest at a rate based on Term SOFR bear interest at a rate per annum equal to the Adjusted Term SOFR Rate plus 1.50%. Term B loans bearing interest at a rate based on the Adjusted Base Rate bear interest at a rate per annum equal to the Adjusted Base Rate plus 0.50%.</w:t>
      </w:r>
    </w:p>
    <w:p>
      <w:pPr>
        <w:spacing w:after="0" w:line="21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revolving credit facility bears interest at rates based on Term SOFR ("Term SOFR revolving loans”) or the Adjusted Base Rate (“Base Rate revolving loans”), at Lamar Media’s option. Term SOFR revolving loans bear interest at a rate per annum equal to the Adjusted Term SOFR Rate plus 1.50% (or the Adjusted Term SOFR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214"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On July 29, 2022, Lamar Media entered into Amendment No. 2 ("Amendment No. 2") to the Fourth Amended and Restated Credit Agreement with certain of Lamar Media's subsidiaries as guarantors, JPMorgan Chase Bank, N.A. as administrative agent and the lenders party thereto. Amendment No. 2 established the Term A loans as a new class of incremental term loans. The Term A loans were set to mature on February 6, 2025 with no required amortization payments prior to maturity and bore interest at rates based on Term SOFR ("Term SOFR Term A loans") or the Adjusted Base Rate ("Base Rate Term A loans"), at Lamar Media's option. Term SOFR Term A loans bore interest at a rate per annum equal to the Adjusted Term SOFR Rate plus 1.50% (or the Adjusted Term SOFR Rate plus 1.25% at any time the Total Debt Ratio is less than or equal to 3.25 to 1). Base Rate Term A loans bore interest at a rate per annum equal to the Adjusted Base Rate plus 0.50% (or the Adjusted Base Rate plus 0.25% at any time the total debt ratio is less than or equal to 3.25 to 1). The covenants, events of default and other terms of the senior credit facility apply to the Term A loans. Lamar Media borrowed all $350,000 in Term A loans on July 29, 2022. Proceeds from the Term A loans were used to repay outstanding balances on the revolving credit facility and a portion of the outstanding balance on the Accounts Receivable Securitization Program. The Term A loans were subsequently repaid in full on July 31, 2024.</w:t>
      </w:r>
    </w:p>
    <w:p>
      <w:pPr>
        <w:spacing w:after="0" w:line="21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April 26, 2023, Lamar Media entered into Amendment No. 3 ("Amendment No. 3") to the Fourth Amended and Restated Credit Agreement with certain of Lamar Media's subsidiaries as guarantors, JPMorgan Chase Bank N.A. as administrative agent and the lenders party thereto. Amendment No. 3 replaced the London Interbank Offered Rates as administered by the ICE Benchmark Administration with Term SOFR as the successor rate, as set in the Fourth Amended and Restated Credit Agreement. All other material terms and conditions of the Fourth Amended and Restated Credit Agreement remain unchanged by Amendment No.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On July 31, 2023, Lamar Media entered into Amendment No. 4 (the "Amendment No. 4"), to the Fourth Amended and Restated Credit Agreement with certain of Lamar Media's subsidiaries as guarantors, JPMorgan Chase Bank, N.A., as administrative agent and the lenders party thereto. Amendment No. 4 extends the maturity date of Lamar Media's $750,000 revolving credit facility such that the revolving credit facility matures July 31, 2028; provided that, if on the date (a "Credit Facility Springing Maturity Test Date") that is 91 days prior to either the then scheduled maturity date of Lamar Media's Term B loans (which is currently February 6, 2027) or the February 15, 2028 maturity date of Lamar Media's 3 3/4% Notes, the Company and its restricted subsidiaries do not have sufficient liquidity (defined as unrestricted cash and cash equivalents of the Company and its restricted subsidiaries plus unused commitments under the revolving credit facility) to repay in full the aggregate outstanding amount (including all accrued and unpaid interest, premiums and make-whole amounts (if any)) of the Term B loans or the 3 3/4% Notes (as applicable), the revolving credit facility will mature on such Credit Facility Springing Maturity Test Date. On the maturity date of the revolving credit facility, the entire principal amount of revolving loans outstanding under the revolving credit facility, together with all accrued and unpaid interest on such revolving loans, will be due and payable.</w:t>
      </w:r>
    </w:p>
    <w:p>
      <w:pPr>
        <w:spacing w:after="0" w:line="2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Amendment No. 4 also establishes a $75,000 swingline as a sublimit of the revolving credit facility, which allows Lamar Media to borrow revolving loans on a same-day basis, in an aggregate outstanding principal amount of up to $75,000. In addition, Amendment No. 4 amends the provisions of the Fourth Amended and Restated Credit Agreement related to incremental facilities to allow Lamar Media to establish, from time to time, one or more new incremental revolving facilities on the terms, and subject to the conditions, set forth therein.</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As of June 30, 2025, there were $434,000 in borrowings outstanding under the revolving credit facility. Availability under the revolving credit facility is reduced by the amount of any letters of credit outstanding. Lamar Media had $8,746 in letters of credit outstanding as of June 30, 2025 resulting in $307,254 of availability under its revolving credit facility. Revolving credit loans may be requested under the revolving credit facility at any time prior to its maturity.</w:t>
      </w:r>
    </w:p>
    <w:p>
      <w:pPr>
        <w:spacing w:after="0" w:line="207"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terms of Lamar Media’s senior credit facility and the indentures relating to Lamar Media’s outstanding notes restrict, among other things, the ability of Lamar Advertising and Lamar Media to:</w:t>
      </w:r>
    </w:p>
    <w:p>
      <w:pPr>
        <w:spacing w:after="0" w:line="229" w:lineRule="exact"/>
        <w:rPr>
          <w:sz w:val="20"/>
          <w:szCs w:val="20"/>
          <w:color w:val="auto"/>
        </w:rPr>
      </w:pPr>
    </w:p>
    <w:p>
      <w:pPr>
        <w:ind w:left="1140" w:hanging="565"/>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repay debt;</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and</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w:t>
      </w:r>
    </w:p>
    <w:p>
      <w:pPr>
        <w:spacing w:after="0" w:line="29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senior credit facility contains provisions that allow Lamar Media to conduct its affairs in a manner that allows Lamar Advertising to qualify and remain qualified as a REIT, including by allowing Lamar Media to make distributions to Lamar Advertising required for the Company to qualify and remain qualified for taxation as a REIT, subject to certain restrictions.</w:t>
      </w:r>
    </w:p>
    <w:p>
      <w:pPr>
        <w:spacing w:after="0" w:line="20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also restricted under the terms of these agreements. Under Lamar Media’s senior credit facility, the Company must maintain a specified secured debt ratio as long as a revolving credit commitment, revolving loan or letter of credit remains outstanding, and in addition, must satisfy a total debt ratio in order to incur debt, make distributions or make certain investments.</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Advertising and Lamar Media were in compliance with all of the terms of their indentures and the senior credit facility provisions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Program</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December 18, 2018, Lamar Media entered into a $175,000 Receivable Financing Agreement (the “Receivable Financing Agreement”) with its wholly-owned special purpose entities, Lamar QRS Receivables, LLC and Lamar TRS Receivables, LLC (the “Special Purpose Subsidiaries”) (the "Accounts Receivable Securitization Program"). The Accounts Receivable Securitization Program is limited to the availability of eligible accounts receivable collateralizing the borrowings under the agreements governing the Accounts Receivable Securitization Program.</w:t>
      </w:r>
    </w:p>
    <w:p>
      <w:pPr>
        <w:spacing w:after="0" w:line="20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Pursuant to two separate Purchase and Sale Agreements dated December 18, 2018, each of which is among Lamar Media as initial Servicer, certain of Lamar Media’s subsidiaries and a Special Purpose Subsidiary, the subsidiaries sold substantially all of their existing and future accounts receivable balances to the Special Purpose Subsidiaries. The Special Purpose Subsidiaries use the accounts receivable balances to collateralize loans pursuant to the Accounts Receivable Securitization Program. Lamar Media retains the responsibility of servicing the accounts receivable balances pledged as collateral under the Accounts Receivable Securitization Program and provides a performance guaranty.</w:t>
      </w:r>
    </w:p>
    <w:p>
      <w:pPr>
        <w:spacing w:after="0" w:line="21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June 24, 2022, Lamar Media and the Special Purpose Subsidiaries entered into the Sixth Amendment (the "Sixth Amendment") to the Receivables Financing Agreement. The Sixth Amendment increased the Accounts Receivable Securitization Program from $175,000 to $250,000 and extended the maturity date of the Accounts Receivable Securitization Program to July 21, 2025. Additionally, the Sixth Amendment provides for the replacement of LIBOR-based interest rate mechanics with Term SOFR based interest rate mechanics for the Accounts Receivable Securitization Program.</w:t>
      </w:r>
    </w:p>
    <w:p>
      <w:pPr>
        <w:spacing w:after="0" w:line="20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June 30, 2025, there were $250,000 outstanding aggregate borrowings under the Accounts Receivable Securitization Program. Lamar Media had no additional availability for borrowing under the Accounts Receivable Securitization Program as of June 30, 2025. The commitment fees based on the amount of unused commitments under the Accounts Receivable Securitization Program were immaterial during the six months ended June 30, 2025.</w:t>
      </w:r>
    </w:p>
    <w:p>
      <w:pPr>
        <w:spacing w:after="0" w:line="203"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The Accounts Receivable Securitization Program was set to mature on July 21, 2025, but was subsequently extended to October 15, 2027 by the Seventh Amendment to the Receivables Financing Agreement dated October 15, 2024; provided that, if on the date (a “Securitization Springing Maturity Test Date”) that is 91 days prior to the then scheduled maturity date of Lamar Media’s Term Loan B loans (which is currently February 6, 2027), (a) any of the outstanding Term B loans has a scheduled maturity date prior to the date that is 91 days prior to the then scheduled maturity date of Lamar Media’s revolving credit facility (which is currently July 31, 2028) and (b) the Company and its restricted subsidiaries do not have sufficient liquidity (defined as (i) unused commitments under the revolving credit facility plus (ii) unrestricted cash and cash equivalents of the Company and its restricted subsidiaries plus</w:t>
      </w:r>
    </w:p>
    <w:p>
      <w:pPr>
        <w:spacing w:after="0" w:line="5" w:lineRule="exact"/>
        <w:rPr>
          <w:sz w:val="20"/>
          <w:szCs w:val="20"/>
          <w:color w:val="auto"/>
        </w:rPr>
      </w:pPr>
    </w:p>
    <w:p>
      <w:pPr>
        <w:jc w:val="both"/>
        <w:ind w:firstLine="8"/>
        <w:spacing w:after="0" w:line="253" w:lineRule="auto"/>
        <w:tabs>
          <w:tab w:leader="none" w:pos="3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availability under the Accounts Receivable Securitization Program) to repay in full the aggregate outstanding amount (including all accrued and unpaid interest, premiums and make-whole amounts (if any)) of the Term Loan B loans, then the Accounts Receivable Securitization Program will mature on such Securitization Springing Maturity Test Date. Lamar Media may amend the facility to further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214"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Accounts Receivable Securitization Program is accounted for as a collateralized financing activity, rather than a sale of assets, and therefore: (i) accounts receivable balances pledged as collateral are presented as assets and the borrowings are presented as liabilities on our Condensed Consolidated Balance Sheets, (ii) our Condensed Consolidated Statements of Income and Comprehensive Income reflect the associated charges for bad debt expense (a component of general and administrative expenses) related to the pledged accounts receivable and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Senior Notes</w:t>
      </w:r>
    </w:p>
    <w:p>
      <w:pPr>
        <w:spacing w:after="0" w:line="25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$400,000 aggregate principal amount of 4% Senior Notes due 2030 (the “Original 4% Notes”). The institutional private placement on February 6, 2020 resulted in net proceeds to Lamar Media of approximately $395,000.</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August 19, 2020, Lamar Media completed an institutional private placement of an additional $150,000 aggregate principal amount of its 4% Notes (the “Additional 4% Notes”, and together with the Original 4% Notes, the "4% Notes"). Other than with respect to the date of issuance and issue price, the Additional 4% Notes have the same terms as the Original 4% Notes. The institutional private placement on August 19, 2020 resulted in net proceeds to Lamar Media of approximately $146,900.</w:t>
      </w:r>
    </w:p>
    <w:p>
      <w:pPr>
        <w:spacing w:after="0" w:line="20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or after February 15, 2025, Lamar Media may redeem the 4% Notes, in whole or in part, in cash at redemption prices specified in the 4% Notes. In addition, if the Company or Lamar Media undergoes a change of control, Lamar Media may be required to make an offer to purchase each holder’s 4% Notes at a price equal to 101% of the principal amount of the 4% Notes, plus accrued and unpaid interest, up to but not including the repurchase date.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3/4% Senior Notes</w:t>
      </w:r>
    </w:p>
    <w:p>
      <w:pPr>
        <w:spacing w:after="0" w:line="25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$600,000 aggregate principal amount of 3 3/4% Senior Notes due 2028 (the “3 3/4% Notes”). The institutional private placement on February 6, 2020 resulted in net proceeds to Lamar Media of approximately $592,500.</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or after February 15, 2023, Lamar Media may redeem the 3 3/4% Notes, in whole or in part, in cash at redemption prices specified in the 3 3/4% Notes. In addition, if the Company or Lamar Media undergoes a change of control, Lamar Media may be required to make an offer to purchase each holder’s 3 3/4% Notes at a price equal to 101% of the principal amount of the 3 3/4% Notes, plus accrued and unpaid interest, up to but not including the repurchase date.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7/8% Senior Notes</w:t>
      </w:r>
    </w:p>
    <w:p>
      <w:pPr>
        <w:spacing w:after="0" w:line="254"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On May 13, 2020, Lamar Media completed an institutional private placement of $400,000 aggregate principal amount of 4 7/8% Senior Notes due 2029 (the “4 7/8% Notes”). The institutional private placement on May 13, 2020 resulted in net proceeds to Lamar Media of approximately $395,000.</w:t>
      </w:r>
    </w:p>
    <w:p>
      <w:pPr>
        <w:spacing w:after="0" w:line="18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or after January 15, 2024, Lamar Media may redeem the 4 7/8% Notes, in whole or in part, in cash at redemption prices specified in the 4 7/8% Notes. In addition, if the Company or Lamar Media undergoes a change of control, Lamar Media may be required to make an offer to purchase each holder’s 4 7/8% Notes at a price equal to 101% of the principal amount of the 4 7/8% Notes, plus accrued and unpaid interest, up to but not including the repurchase date.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5/8% Senior Notes</w:t>
      </w:r>
    </w:p>
    <w:p>
      <w:pPr>
        <w:spacing w:after="0" w:line="25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January 22, 2021, Lamar Media completed an institutional private placement of $550,000 aggregate principal amount of 3 5/8% Senior Notes due 2031 (the “3 5/8% Notes”). The institutional private placement on January 22, 2021 resulted in net proceeds to Lamar Media of approximately $542,500.</w:t>
      </w:r>
    </w:p>
    <w:p>
      <w:pPr>
        <w:spacing w:after="0" w:line="20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At any time prior to January 15, 2026, Lamar Media may redeem some or all of the 3 5/8% Notes at a price equal to 100% of the aggregate principal amount, plus accrued and unpaid interest thereon and a make-whole premium. On or after January 15, 2026, Lamar Media may redeem the 3 5/8% Notes, in whole or in part, in cash at redemption prices specified in the 3 5/8% Notes. In addition, if the Company or Lamar Media undergoes a change of control, Lamar Media may be required to make an offer to purchase each holder's 3 5/8% Notes at a price equal to 101% of the principal amount of the 3 5/8% Notes, plus accrued and unpaid interest, up to but not including the repurchase 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Exchange Offers</w:t>
      </w:r>
    </w:p>
    <w:p>
      <w:pPr>
        <w:spacing w:after="0" w:line="25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October 2020, the Company completed a subsequent exchange offer with respect to each of the 4% Notes, 3 3/4% Notes, and 4 7/8% Notes, in each case, for substantially identical notes registered under the Securities Act of 1933, as amended. In September 2021, the Company completed a subsequent exchange offer with respect to the 3 5/8% Notes for substantially identical notes registered under the Securities Act of 1933, as amended.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Repurchase Program</w:t>
      </w:r>
    </w:p>
    <w:p>
      <w:pPr>
        <w:spacing w:after="0" w:line="25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Company’s Board of Directors has authorized Lamar Media to repurchase up to $250,000 in outstanding senior or senior subordinated notes and other indebtedness outstanding from time to time under its Fourth Amended and Restated Credit Agreement. On September 24, 2024, the Board of Directors authorized the extension of the repurchase program through March 31, 2026. There were no repurchases under the program as of June 30,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of Financial Instruments</w:t>
      </w:r>
    </w:p>
    <w:p>
      <w:pPr>
        <w:spacing w:after="0" w:line="25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At June 30, 2025 and December 31, 2024,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 contracts are reported at fair values. The estimated fair value of the Company’s long-term debt (including current maturities) was $3,290,255 which does not exceed the carrying amount of $3,384,260 as of June 30, 2025. The majority of the fair value is determined using observed prices of publicly traded debt (level 1 in the fair value hierarchy) and the remaining is valued based on quoted prices for similar debt (level 2 in the fair value hierarchy).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Investments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12, 2021, Lamar invested $30,000 to acquire a 20% minority interest in Vistar Media, Inc. ("Vistar"), a leading global provider of programmatic technology for the digital out-of-home sector. On February 3, 2025, T-Mobile USA, Inc. acquired 100% of Vistar (the "Sale"). In connection with the closing of the Sale, the Company received $115,112 in cash consideration for the sale of its 20% equity interest in Vistar. Up to an additional $15,086 of consideration for the Sale may be received by the Company in the future, upon release of the remaining purchase price for the Sale from escrow in connection with satisfaction of certain post-closing conditions. During the six months ended June 30, 2025, the Company recognized a gain of $67,833 related to the transaction. An income tax expense of $13,191 was recorded during the six months ended June 30, 2025 as a result of the Sale, of which $21,172 was related to current income tax expense offset by a deferred tax benefit of $7,980.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New Accounting Pronouncements</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companies to disclose disaggregated information related to the effective tax rate reconciliation and income taxes paid. This guidance is effective for public entities as of December 15, 2024. The Company does not anticipate the adoption of this guidance to have a material impact on the Company's consolidated financial statements.</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disclosures about specific types of expenses included in expense captions presented on the face of the Consolidated Statements of Income and Comprehensive Income. This guidance is effective for public entities for fiscal years beginning after December 31, 2026. The Company is currently reviewing this guidance and its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Dividends/Distributions</w:t>
      </w:r>
    </w:p>
    <w:p>
      <w:pPr>
        <w:spacing w:after="0" w:line="256"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During the three months ended June 30, 2025 and 2024, the Company declared and paid cash distributions in an aggregate amount of $157,065 or $1.55 per share and $133,116 or $1.30 per share, respectively. During the six months ended June 30, 2025 and 2024, the Company declared and paid cash distributions in an aggregate amount of $316,132 or $3.10 per share and $266,144 or $2.60 per share, respectively.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general economic conditions on the Company’s operations and other factors that the Board of Directors may deem relevant. During the three and six months ended June 30, 2025 and 2024, the Company paid cash dividend distributions to holders of its Series AA Preferred Stock in an aggregate amount of $91 or $15.95 per share and $182 or $31.90 per share, respectively, for each period.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Information About Geographic Areas</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Revenues from external customers attributable to foreign countries totaled $17,219 and $16,773 for the six months ended June 30, 2025 and 2024, respectively. Net carrying value of long-lived assets located in foreign countries totaled $14,437 and $13,972 as of June 30, 2025 and December 31, 2024, respectively. All other revenues from external customers and long-lived assets relate to domestic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Stockholders' Equity</w:t>
      </w:r>
    </w:p>
    <w:p>
      <w:pPr>
        <w:spacing w:after="0" w:line="254"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Agreement. </w:t>
      </w:r>
      <w:r>
        <w:rPr>
          <w:rFonts w:ascii="Times New Roman" w:cs="Times New Roman" w:eastAsia="Times New Roman" w:hAnsi="Times New Roman"/>
          <w:sz w:val="18"/>
          <w:szCs w:val="18"/>
          <w:color w:val="auto"/>
        </w:rPr>
        <w:t>On July 24, 2024, the Company entered into an equity distribution agreement, or At-the-Market Offering agreement, (the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that expired according to its terms on June 21, 2024. Under the terms of the 2024 Sales Agreement, the Company may, from time to time, issue and sell shares of its Class A common stock, with an aggregate offering price of up to $400,000, through the Sales Agents as either agents or principals.</w:t>
      </w:r>
    </w:p>
    <w:p>
      <w:pPr>
        <w:spacing w:after="0" w:line="21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directly through a market maker other than on an exchange. The Company has no obligation to sell any of the Class A Common stock under the 2021 Sales Agreement and may at any time suspend solicitations and offers under the 2024 Sales Agreement.</w:t>
      </w:r>
    </w:p>
    <w:p>
      <w:pPr>
        <w:spacing w:after="0" w:line="210"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As of June 30, 2025, no shares of our Class A common stock were sold under the 2024 Sales Agreement or were sold under the prior Sales Agreement.</w:t>
      </w:r>
    </w:p>
    <w:p>
      <w:pPr>
        <w:spacing w:after="0" w:line="18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Shelf Registration. </w:t>
      </w:r>
      <w:r>
        <w:rPr>
          <w:rFonts w:ascii="Times New Roman" w:cs="Times New Roman" w:eastAsia="Times New Roman" w:hAnsi="Times New Roman"/>
          <w:sz w:val="18"/>
          <w:szCs w:val="18"/>
          <w:color w:val="auto"/>
        </w:rPr>
        <w:t>On July 24, 2024, the Company filed an automatically effective shelf registration statement that allows Lamar Advertising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and sell an indeterminate amount of additional shares of its Class A common stock. The shelf registration statement replaced a prior shelf registration statement which expired. During the six months ended June 30, 2025 and the year ended December 31, 2024, the Company did not issue any shares under its shelf registration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Repurchase Program. </w:t>
      </w:r>
      <w:r>
        <w:rPr>
          <w:rFonts w:ascii="Times New Roman" w:cs="Times New Roman" w:eastAsia="Times New Roman" w:hAnsi="Times New Roman"/>
          <w:sz w:val="18"/>
          <w:szCs w:val="18"/>
          <w:color w:val="auto"/>
        </w:rPr>
        <w:t>Prior to May 15, 2025, the Company’s Board of Directors had authorized the repurchase of up to $250,000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Class A common stock. On September 24, 2024, the Board of Directors authorized the extension of the repurchase program through March 31, 2026. On May 15, 2025, the Company's Board of Directors approved the increase of the amount authorized under the Stock Repurchase Program by $150,000, bringing the total amount authorized under the Program to $400,000. There were no repurchases under the program as of December 31, 2024. During the six months ended June 30, 2025, the Company repurchased 1,388,091 shares of the Company's Class A common stock outstanding for a total purchase price of $150,000. The Company currently has $250,000 remaining under its current share repurchase authorization.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Reporting</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 xml:space="preserve">The Company revised its segment information to reflect the adoption of ASU 2023-07 and certain changes resulting from our periodic review of factors relevant to how the chief operating decision maker (CODM) assesses performance and allocates resources in accordance with FASB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As described in Note 1, we currently manage our operations through three operating segments - billboard, logo, and transit advertising.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Logo and transit advertising do not meet the criteria to be reportable segments, and accordingly, are included in Other.</w:t>
      </w:r>
    </w:p>
    <w:p>
      <w:pPr>
        <w:spacing w:after="0" w:line="207"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We define the term CODM to be our executive management group, which consists of our Executive Chairman, President and Chief Executive Officer, and Chief Financial Officer. Net revenues, advertising expenses and segmented adjusted EBITDA are used to monitor expected versus actual results. Total advertising expenses is the expense category regularly provided to the CODM. There are no other expenses regularly provided to the CODM that are used to manage the segment's operations. Total advertising expenses is defined as direct advertising expenses and general and administrative expenses excluding stock-based compensation expense and capitalized contract fulfillment costs. Segment Adjusted EBITDA is the profitability metric reported to the Company's CODM for purposes of assessing the performance of each operating segment as well as to make decisions related to invested capital, personnel, operational improvement or training, or to allocate other company resources. We define adjusted EBITDA as net income before income tax (expense) benefit, interest (expense) income, equity in earnings (loss) of investee, (loss) gain on extinguishment of debt and investments, stock-based compensation, depreciation and amortization, (loss) gain on disposition of assets and investments, transaction expenses and capitalized contract fulfillment costs, net. Segment information for total assets is not presented as this information is not used by the Company’s CODM in measuring segment performance or allocating resources between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our financial performance by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5"/>
                <w:szCs w:val="15"/>
                <w:color w:val="auto"/>
              </w:rPr>
            </w:pPr>
          </w:p>
        </w:tc>
      </w:tr>
      <w:tr>
        <w:trPr>
          <w:trHeight w:val="190"/>
        </w:trPr>
        <w:tc>
          <w:tcPr>
            <w:tcW w:w="24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r>
      <w:tr>
        <w:trPr>
          <w:trHeight w:val="37"/>
        </w:trPr>
        <w:tc>
          <w:tcPr>
            <w:tcW w:w="244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6"/>
        </w:trPr>
        <w:tc>
          <w:tcPr>
            <w:tcW w:w="24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37"/>
        </w:trPr>
        <w:tc>
          <w:tcPr>
            <w:tcW w:w="2440" w:type="dxa"/>
            <w:vAlign w:val="bottom"/>
            <w:tcBorders>
              <w:bottom w:val="single" w:sz="8" w:color="CCEEFF"/>
            </w:tcBorders>
          </w:tcPr>
          <w:p>
            <w:pPr>
              <w:spacing w:after="0"/>
              <w:rPr>
                <w:sz w:val="3"/>
                <w:szCs w:val="3"/>
                <w:color w:val="auto"/>
              </w:rPr>
            </w:pPr>
          </w:p>
        </w:tc>
        <w:tc>
          <w:tcPr>
            <w:tcW w:w="31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3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Billboard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512,317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502,144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957,214</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941,529</w:t>
            </w:r>
          </w:p>
        </w:tc>
      </w:tr>
      <w:tr>
        <w:trPr>
          <w:trHeight w:val="27"/>
        </w:trPr>
        <w:tc>
          <w:tcPr>
            <w:tcW w:w="24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127,527</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121,872</w:t>
            </w:r>
          </w:p>
        </w:tc>
      </w:tr>
      <w:tr>
        <w:trPr>
          <w:trHeight w:val="237"/>
        </w:trPr>
        <w:tc>
          <w:tcPr>
            <w:tcW w:w="5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net revenues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579,311</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565,251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1,084,741</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1,063,401</w:t>
            </w:r>
          </w:p>
        </w:tc>
      </w:tr>
      <w:tr>
        <w:trPr>
          <w:trHeight w:val="27"/>
        </w:trPr>
        <w:tc>
          <w:tcPr>
            <w:tcW w:w="24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7"/>
        </w:trPr>
        <w:tc>
          <w:tcPr>
            <w:tcW w:w="2440" w:type="dxa"/>
            <w:vAlign w:val="bottom"/>
            <w:shd w:val="clear" w:color="auto" w:fill="CCEEFF"/>
          </w:tcPr>
          <w:p>
            <w:pPr>
              <w:spacing w:after="0"/>
              <w:rPr>
                <w:sz w:val="22"/>
                <w:szCs w:val="22"/>
                <w:color w:val="auto"/>
              </w:rPr>
            </w:pPr>
          </w:p>
        </w:tc>
        <w:tc>
          <w:tcPr>
            <w:tcW w:w="3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Advertising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24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Billboard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438,823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428,961</w:t>
            </w:r>
          </w:p>
        </w:tc>
      </w:tr>
      <w:tr>
        <w:trPr>
          <w:trHeight w:val="243"/>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103,835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97,752</w:t>
            </w:r>
          </w:p>
        </w:tc>
      </w:tr>
      <w:tr>
        <w:trPr>
          <w:trHeight w:val="27"/>
        </w:trPr>
        <w:tc>
          <w:tcPr>
            <w:tcW w:w="244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5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advertising expenses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542,658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526,713</w:t>
            </w:r>
          </w:p>
        </w:tc>
      </w:tr>
      <w:tr>
        <w:trPr>
          <w:trHeight w:val="257"/>
        </w:trPr>
        <w:tc>
          <w:tcPr>
            <w:tcW w:w="24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Segmented 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290,425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283,086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518,391</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512,568</w:t>
            </w:r>
          </w:p>
        </w:tc>
      </w:tr>
      <w:tr>
        <w:trPr>
          <w:trHeight w:val="27"/>
        </w:trPr>
        <w:tc>
          <w:tcPr>
            <w:tcW w:w="24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24,120</w:t>
            </w:r>
          </w:p>
        </w:tc>
      </w:tr>
      <w:tr>
        <w:trPr>
          <w:trHeight w:val="270"/>
        </w:trPr>
        <w:tc>
          <w:tcPr>
            <w:tcW w:w="56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Corporate expenses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(27,093)</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(53,479)</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(53,212)</w:t>
            </w:r>
          </w:p>
        </w:tc>
      </w:tr>
      <w:tr>
        <w:trPr>
          <w:trHeight w:val="289"/>
        </w:trPr>
        <w:tc>
          <w:tcPr>
            <w:tcW w:w="5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278,383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271,554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488,604</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483,476</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50"/>
        </w:trPr>
        <w:tc>
          <w:tcPr>
            <w:tcW w:w="2440" w:type="dxa"/>
            <w:vAlign w:val="bottom"/>
            <w:tcBorders>
              <w:bottom w:val="single" w:sz="8" w:color="auto"/>
            </w:tcBorders>
          </w:tcPr>
          <w:p>
            <w:pPr>
              <w:spacing w:after="0"/>
              <w:rPr>
                <w:sz w:val="13"/>
                <w:szCs w:val="13"/>
                <w:color w:val="auto"/>
              </w:rPr>
            </w:pPr>
          </w:p>
        </w:tc>
        <w:tc>
          <w:tcPr>
            <w:tcW w:w="3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r>
    </w:tbl>
    <w:p>
      <w:pPr>
        <w:spacing w:after="0" w:line="67" w:lineRule="exact"/>
        <w:rPr>
          <w:sz w:val="20"/>
          <w:szCs w:val="20"/>
          <w:color w:val="auto"/>
        </w:rPr>
      </w:pPr>
    </w:p>
    <w:p>
      <w:pPr>
        <w:ind w:left="340" w:hanging="332"/>
        <w:spacing w:after="0" w:line="298" w:lineRule="auto"/>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Reconciliation of adjusted EBITDA to income before income tax expense: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5"/>
                <w:szCs w:val="15"/>
                <w:color w:val="auto"/>
              </w:rPr>
            </w:pPr>
          </w:p>
        </w:tc>
      </w:t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r>
      <w:tr>
        <w:trPr>
          <w:trHeight w:val="37"/>
        </w:trPr>
        <w:tc>
          <w:tcPr>
            <w:tcW w:w="56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6"/>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37"/>
        </w:trPr>
        <w:tc>
          <w:tcPr>
            <w:tcW w:w="56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44"/>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278,383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271,554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488,604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483,476</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(25,616)</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(155,931)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(152,419)</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earnings of investee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(40,103)</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(43,765)</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(87,785)</w:t>
            </w:r>
          </w:p>
        </w:tc>
      </w:tr>
      <w:tr>
        <w:trPr>
          <w:trHeight w:val="237"/>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157,404</w:t>
            </w: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140,466</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311,177</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220,487</w:t>
            </w:r>
          </w:p>
        </w:tc>
      </w:tr>
      <w:tr>
        <w:trPr>
          <w:trHeight w:val="27"/>
        </w:trPr>
        <w:tc>
          <w:tcPr>
            <w:tcW w:w="5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5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July 2, 2025, Lamar Advertising Limited Partnership ("Lamar LP"), the subsidiary operating partner of Lamar Advertising Company (the "Company") issued a total of 1,187,500 Common Units of Lamar LP (the "Common Units"). The Common Units were issued to the owners of Verde Outdoor as the consideration in connection with an acquisition, whereby the assets of Verde Outdoor were contributed to Lamar LP. The Verde Outdoor assets include more than 1,500 billboard faces across ten states.</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Pursuant to the terms of the Limited Partnership Agreement of Lamar LP, the Common Units are redeemable by the holder after a holding period, which is generally twelve months, for a cash amount per Common Unit equal to the market value of an equivalent number of shares of common stock of the Company. At the Company’s option, in lieu of cash, the redemption obligation may be satisfied by issuing shares of Class A common stock of the Company in exchange for Common Units tendered for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200" w:type="dxa"/>
            <w:vAlign w:val="bottom"/>
          </w:tcPr>
          <w:p>
            <w:pPr>
              <w:spacing w:after="0"/>
              <w:rPr>
                <w:sz w:val="12"/>
                <w:szCs w:val="12"/>
                <w:color w:val="auto"/>
              </w:rPr>
            </w:pPr>
          </w:p>
        </w:tc>
        <w:tc>
          <w:tcPr>
            <w:tcW w:w="1120" w:type="dxa"/>
            <w:vAlign w:val="bottom"/>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6"/>
        </w:trPr>
        <w:tc>
          <w:tcPr>
            <w:tcW w:w="8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8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8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55,226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48,961</w:t>
            </w: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Receivables, net of allowance for doubtful accounts of $11,970 and $12,404 in 2025 and 2024, respectively</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345,869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334,798</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55,943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41,009</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457,038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424,768</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4,638,502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4,574,894</w:t>
            </w:r>
          </w:p>
        </w:tc>
        <w:tc>
          <w:tcPr>
            <w:tcW w:w="0" w:type="dxa"/>
            <w:vAlign w:val="bottom"/>
          </w:tcPr>
          <w:p>
            <w:pPr>
              <w:spacing w:after="0"/>
              <w:rPr>
                <w:sz w:val="1"/>
                <w:szCs w:val="1"/>
                <w:color w:val="auto"/>
              </w:rPr>
            </w:pPr>
          </w:p>
        </w:tc>
      </w:tr>
      <w:tr>
        <w:trPr>
          <w:trHeight w:val="236"/>
        </w:trPr>
        <w:tc>
          <w:tcPr>
            <w:tcW w:w="8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(3,031,863)</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(2,974,085)</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1,606,639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1,600,809</w:t>
            </w:r>
          </w:p>
        </w:tc>
        <w:tc>
          <w:tcPr>
            <w:tcW w:w="0" w:type="dxa"/>
            <w:vAlign w:val="bottom"/>
          </w:tcPr>
          <w:p>
            <w:pPr>
              <w:spacing w:after="0"/>
              <w:rPr>
                <w:sz w:val="1"/>
                <w:szCs w:val="1"/>
                <w:color w:val="auto"/>
              </w:rPr>
            </w:pPr>
          </w:p>
        </w:tc>
      </w:tr>
      <w:tr>
        <w:trPr>
          <w:trHeight w:val="22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1,446,449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1,355,231</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right of use assets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8,331</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2,025,049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2,024,931</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1,064,509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1,062,133</w:t>
            </w:r>
          </w:p>
        </w:tc>
        <w:tc>
          <w:tcPr>
            <w:tcW w:w="0" w:type="dxa"/>
            <w:vAlign w:val="bottom"/>
          </w:tcPr>
          <w:p>
            <w:pPr>
              <w:spacing w:after="0"/>
              <w:rPr>
                <w:sz w:val="1"/>
                <w:szCs w:val="1"/>
                <w:color w:val="auto"/>
              </w:rPr>
            </w:pPr>
          </w:p>
        </w:tc>
      </w:tr>
      <w:tr>
        <w:trPr>
          <w:trHeight w:val="23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50,635</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93,604</w:t>
            </w:r>
          </w:p>
        </w:tc>
        <w:tc>
          <w:tcPr>
            <w:tcW w:w="0" w:type="dxa"/>
            <w:vAlign w:val="bottom"/>
          </w:tcPr>
          <w:p>
            <w:pPr>
              <w:spacing w:after="0"/>
              <w:rPr>
                <w:sz w:val="1"/>
                <w:szCs w:val="1"/>
                <w:color w:val="auto"/>
              </w:rPr>
            </w:pPr>
          </w:p>
        </w:tc>
      </w:tr>
      <w:tr>
        <w:trPr>
          <w:trHeight w:val="262"/>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6,657,224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6,569,807</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4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4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Trade accounts payable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21,586</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maturities of long-term debt, net of deferred financing costs of $503 and $611 in 2025 and 2024, respectively</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249,925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249,806</w:t>
            </w: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218,108</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financing lease liabilities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123,282</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income</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189,126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153,700</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771,557</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767,813</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deferred financing costs of $20,044 and $22,826 in 2025 and 2024, respectively</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3,113,788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2,961,058</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1,190,639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1,114,407</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liabilities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13,283</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8,006</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615,506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614,713</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51,098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48,588</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5,755,980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5,527,868</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Common stock, par value $0.01, 3,000 shares authorized, 100 shares issued and outstanding at 2025 and 2024</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3,268,125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3,229,799</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comprehensive loss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w:t>
            </w: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(2,366,438)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(2,185,755)</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Non-controlling interest</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901,244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1,041,939</w:t>
            </w:r>
          </w:p>
        </w:tc>
        <w:tc>
          <w:tcPr>
            <w:tcW w:w="0" w:type="dxa"/>
            <w:vAlign w:val="bottom"/>
          </w:tcPr>
          <w:p>
            <w:pPr>
              <w:spacing w:after="0"/>
              <w:rPr>
                <w:sz w:val="1"/>
                <w:szCs w:val="1"/>
                <w:color w:val="auto"/>
              </w:rPr>
            </w:pPr>
          </w:p>
        </w:tc>
      </w:tr>
      <w:tr>
        <w:trPr>
          <w:trHeight w:val="261"/>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6,657,224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6,569,807</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5"/>
                <w:szCs w:val="15"/>
                <w:color w:val="auto"/>
              </w:rPr>
            </w:pPr>
          </w:p>
        </w:tc>
      </w:t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r>
      <w:tr>
        <w:trPr>
          <w:trHeight w:val="37"/>
        </w:trPr>
        <w:tc>
          <w:tcPr>
            <w:tcW w:w="56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6"/>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37"/>
        </w:trPr>
        <w:tc>
          <w:tcPr>
            <w:tcW w:w="56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3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579,311</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565,251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1,084,741</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1,063,401</w:t>
            </w: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 advertising expenses (exclusive of depreciation and amortization)</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366,773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358,910</w:t>
            </w: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expenses (exclusive of depreciation and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41"/>
        </w:trPr>
        <w:tc>
          <w:tcPr>
            <w:tcW w:w="56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184,307</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177,502</w:t>
            </w:r>
          </w:p>
        </w:tc>
      </w:tr>
      <w:tr>
        <w:trPr>
          <w:trHeight w:val="243"/>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expenses (exclusive of depreciation and amortization)</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68,436</w:t>
            </w: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155,931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152,419</w:t>
            </w:r>
          </w:p>
        </w:tc>
      </w:tr>
      <w:tr>
        <w:trPr>
          <w:trHeight w:val="243"/>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w:t>
            </w: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3"/>
        </w:trPr>
        <w:tc>
          <w:tcPr>
            <w:tcW w:w="56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381,480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695,568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754,255</w:t>
            </w:r>
          </w:p>
        </w:tc>
      </w:tr>
      <w:tr>
        <w:trPr>
          <w:trHeight w:val="237"/>
        </w:trPr>
        <w:tc>
          <w:tcPr>
            <w:tcW w:w="5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197,831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184,408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389,173</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309,146</w:t>
            </w: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79,032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88,824</w:t>
            </w:r>
          </w:p>
        </w:tc>
      </w:tr>
      <w:tr>
        <w:trPr>
          <w:trHeight w:val="243"/>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in loss (earnings) of investee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3"/>
        </w:trPr>
        <w:tc>
          <w:tcPr>
            <w:tcW w:w="56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77,737</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88,340</w:t>
            </w:r>
          </w:p>
        </w:tc>
      </w:tr>
      <w:tr>
        <w:trPr>
          <w:trHeight w:val="237"/>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157,554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140,647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311,436</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220,806</w:t>
            </w: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r>
      <w:tr>
        <w:trPr>
          <w:trHeight w:val="237"/>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155,166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137,775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294,504</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216,412</w:t>
            </w: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37"/>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154,505</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137,547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293,369</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215,909</w:t>
            </w:r>
          </w:p>
        </w:tc>
      </w:tr>
      <w:tr>
        <w:trPr>
          <w:trHeight w:val="27"/>
        </w:trPr>
        <w:tc>
          <w:tcPr>
            <w:tcW w:w="5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7"/>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155,166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137,775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294,504</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216,412</w:t>
            </w: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295,200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215,589</w:t>
            </w:r>
          </w:p>
        </w:tc>
      </w:tr>
      <w:tr>
        <w:trPr>
          <w:trHeight w:val="243"/>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8"/>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controlling interest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155,522</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137,116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294,065</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215,086</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60" w:type="dxa"/>
            <w:vAlign w:val="bottom"/>
          </w:tcPr>
          <w:p>
            <w:pPr>
              <w:spacing w:after="0"/>
              <w:rPr>
                <w:sz w:val="15"/>
                <w:szCs w:val="15"/>
                <w:color w:val="auto"/>
              </w:rPr>
            </w:pPr>
          </w:p>
        </w:tc>
        <w:tc>
          <w:tcPr>
            <w:tcW w:w="1000" w:type="dxa"/>
            <w:vAlign w:val="bottom"/>
            <w:vMerge w:val="restart"/>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860" w:type="dxa"/>
            <w:vAlign w:val="bottom"/>
          </w:tcPr>
          <w:p>
            <w:pPr>
              <w:spacing w:after="0"/>
              <w:rPr>
                <w:sz w:val="17"/>
                <w:szCs w:val="17"/>
                <w:color w:val="auto"/>
              </w:rPr>
            </w:pPr>
          </w:p>
        </w:tc>
        <w:tc>
          <w:tcPr>
            <w:tcW w:w="1000" w:type="dxa"/>
            <w:vAlign w:val="bottom"/>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00" w:type="dxa"/>
            <w:vAlign w:val="bottom"/>
          </w:tcPr>
          <w:p>
            <w:pPr>
              <w:spacing w:after="0"/>
              <w:rPr>
                <w:sz w:val="17"/>
                <w:szCs w:val="17"/>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000" w:type="dxa"/>
            <w:vAlign w:val="bottom"/>
            <w:tcBorders>
              <w:bottom w:val="single" w:sz="8" w:color="CCEEFF"/>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3,229,799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(2,185,755)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1,041,939</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30,721</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Reallocation of capital</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139,338</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(185,986)</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1000" w:type="dxa"/>
            <w:vAlign w:val="bottom"/>
            <w:tcBorders>
              <w:bottom w:val="single" w:sz="8" w:color="CCEEFF"/>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3,259,694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(2,232,324)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1,025,691</w:t>
            </w:r>
          </w:p>
        </w:tc>
        <w:tc>
          <w:tcPr>
            <w:tcW w:w="0" w:type="dxa"/>
            <w:vAlign w:val="bottom"/>
          </w:tcPr>
          <w:p>
            <w:pPr>
              <w:spacing w:after="0"/>
              <w:rPr>
                <w:sz w:val="1"/>
                <w:szCs w:val="1"/>
                <w:color w:val="auto"/>
              </w:rPr>
            </w:pPr>
          </w:p>
        </w:tc>
      </w:tr>
      <w:tr>
        <w:trPr>
          <w:trHeight w:val="237"/>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155,166</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(289,061)</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2025</w:t>
            </w:r>
          </w:p>
        </w:tc>
        <w:tc>
          <w:tcPr>
            <w:tcW w:w="1000" w:type="dxa"/>
            <w:vAlign w:val="bottom"/>
            <w:tcBorders>
              <w:top w:val="single" w:sz="8" w:color="auto"/>
            </w:tcBorders>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3,268,125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(2,366,438)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901,244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5"/>
        </w:trPr>
        <w:tc>
          <w:tcPr>
            <w:tcW w:w="2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000" w:type="dxa"/>
            <w:vAlign w:val="bottom"/>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860" w:type="dxa"/>
            <w:vAlign w:val="bottom"/>
          </w:tcPr>
          <w:p>
            <w:pPr>
              <w:spacing w:after="0"/>
              <w:rPr>
                <w:sz w:val="17"/>
                <w:szCs w:val="17"/>
                <w:color w:val="auto"/>
              </w:rPr>
            </w:pPr>
          </w:p>
        </w:tc>
        <w:tc>
          <w:tcPr>
            <w:tcW w:w="1000" w:type="dxa"/>
            <w:vAlign w:val="bottom"/>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00" w:type="dxa"/>
            <w:vAlign w:val="bottom"/>
          </w:tcPr>
          <w:p>
            <w:pPr>
              <w:spacing w:after="0"/>
              <w:rPr>
                <w:sz w:val="17"/>
                <w:szCs w:val="17"/>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86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000" w:type="dxa"/>
            <w:vAlign w:val="bottom"/>
            <w:tcBorders>
              <w:bottom w:val="single" w:sz="8" w:color="CCEEFF"/>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3,173,789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(1,963,998)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1,209,777</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Reallocation of capital</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(138,848)</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1000" w:type="dxa"/>
            <w:vAlign w:val="bottom"/>
            <w:tcBorders>
              <w:bottom w:val="single" w:sz="8" w:color="CCEEFF"/>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3,200,451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(2,024,005)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1,176,854</w:t>
            </w:r>
          </w:p>
        </w:tc>
        <w:tc>
          <w:tcPr>
            <w:tcW w:w="0" w:type="dxa"/>
            <w:vAlign w:val="bottom"/>
          </w:tcPr>
          <w:p>
            <w:pPr>
              <w:spacing w:after="0"/>
              <w:rPr>
                <w:sz w:val="1"/>
                <w:szCs w:val="1"/>
                <w:color w:val="auto"/>
              </w:rPr>
            </w:pPr>
          </w:p>
        </w:tc>
      </w:tr>
      <w:tr>
        <w:trPr>
          <w:trHeight w:val="237"/>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137,775</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(133,334)</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1000" w:type="dxa"/>
            <w:vAlign w:val="bottom"/>
            <w:tcBorders>
              <w:top w:val="single" w:sz="8" w:color="auto"/>
            </w:tcBorders>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3,211,484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(2,019,575)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1,191,897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1"/>
          <w:szCs w:val="11"/>
          <w:b w:val="1"/>
          <w:bCs w:val="1"/>
          <w:color w:val="auto"/>
        </w:rPr>
        <w:t>Six Months Ended</w:t>
      </w:r>
    </w:p>
    <w:p>
      <w:pPr>
        <w:spacing w:after="0" w:line="1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1"/>
          <w:szCs w:val="11"/>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19685</wp:posOffset>
            </wp:positionV>
            <wp:extent cx="17487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69"/>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89"/>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6"/>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294,504</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216,412</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155,931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152,419</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Non-cash compensation</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25,616</w:t>
            </w: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Amortization included in interest expense</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3,271</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Gain on disposition of assets and investments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(73,961)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w:t>
            </w: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Equity in (earnings) loss of investee</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tax benefit</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193"/>
        </w:trPr>
        <w:tc>
          <w:tcPr>
            <w:tcW w:w="8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Increase in:</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Receivables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(19,034)</w:t>
            </w:r>
          </w:p>
        </w:tc>
      </w:tr>
      <w:tr>
        <w:trPr>
          <w:trHeight w:val="193"/>
        </w:trPr>
        <w:tc>
          <w:tcPr>
            <w:tcW w:w="8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Prepaid expenses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(6,665)</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(10,682)</w:t>
            </w:r>
          </w:p>
        </w:tc>
      </w:tr>
      <w:tr>
        <w:trPr>
          <w:trHeight w:val="193"/>
        </w:trPr>
        <w:tc>
          <w:tcPr>
            <w:tcW w:w="8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Increase (decrease) in:</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Trade accounts payable</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w:t>
            </w:r>
          </w:p>
        </w:tc>
      </w:tr>
      <w:tr>
        <w:trPr>
          <w:trHeight w:val="193"/>
        </w:trPr>
        <w:tc>
          <w:tcPr>
            <w:tcW w:w="8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Accrued expenses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(6,420)</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(28,272)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(25,945)</w:t>
            </w:r>
          </w:p>
        </w:tc>
      </w:tr>
      <w:tr>
        <w:trPr>
          <w:trHeight w:val="193"/>
        </w:trPr>
        <w:tc>
          <w:tcPr>
            <w:tcW w:w="8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8,793</w:t>
            </w: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3"/>
        </w:trPr>
        <w:tc>
          <w:tcPr>
            <w:tcW w:w="84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326,532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339,515</w:t>
            </w:r>
          </w:p>
        </w:tc>
      </w:tr>
      <w:tr>
        <w:trPr>
          <w:trHeight w:val="17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Acquisitions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(87,080)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(28,192)</w:t>
            </w: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 expenditures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(68,088)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(52,130)</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disposition of assets and investments</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121,392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3,661</w:t>
            </w:r>
          </w:p>
        </w:tc>
      </w:tr>
      <w:tr>
        <w:trPr>
          <w:trHeight w:val="186"/>
        </w:trPr>
        <w:tc>
          <w:tcPr>
            <w:tcW w:w="84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(33,776)</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(76,661)</w:t>
            </w: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Principal payments on financing leases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Payments on revolving credit facility</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(213,000)</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received from revolving credit facility</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442,000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218,000</w:t>
            </w: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Payments on accounts receivable securitization program</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(86,200)</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received from accounts receivable securitization program</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29,400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86,200</w:t>
            </w: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Debt issuance costs</w:t>
            </w:r>
          </w:p>
        </w:tc>
        <w:tc>
          <w:tcPr>
            <w:tcW w:w="3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Contributions from parent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39,152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38,713</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Dividend to parent</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(474,052)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(271,486)</w:t>
            </w:r>
          </w:p>
        </w:tc>
      </w:tr>
      <w:tr>
        <w:trPr>
          <w:trHeight w:val="186"/>
        </w:trPr>
        <w:tc>
          <w:tcPr>
            <w:tcW w:w="84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(286,769)</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(229,355)</w:t>
            </w: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in cash and cash equivalents</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r>
      <w:tr>
        <w:trPr>
          <w:trHeight w:val="186"/>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6,265</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33,327</w:t>
            </w: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48,961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44,105</w:t>
            </w:r>
          </w:p>
        </w:tc>
      </w:tr>
      <w:tr>
        <w:trPr>
          <w:trHeight w:val="186"/>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55,226</w:t>
            </w:r>
          </w:p>
        </w:tc>
        <w:tc>
          <w:tcPr>
            <w:tcW w:w="120" w:type="dxa"/>
            <w:vAlign w:val="bottom"/>
          </w:tcPr>
          <w:p>
            <w:pPr>
              <w:spacing w:after="0"/>
              <w:rPr>
                <w:sz w:val="16"/>
                <w:szCs w:val="16"/>
                <w:color w:val="auto"/>
              </w:rPr>
            </w:pPr>
          </w:p>
        </w:tc>
        <w:tc>
          <w:tcPr>
            <w:tcW w:w="3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77,432</w:t>
            </w:r>
          </w:p>
        </w:tc>
      </w:tr>
      <w:tr>
        <w:trPr>
          <w:trHeight w:val="37"/>
        </w:trPr>
        <w:tc>
          <w:tcPr>
            <w:tcW w:w="8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6"/>
        </w:trPr>
        <w:tc>
          <w:tcPr>
            <w:tcW w:w="84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76,035</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85,653</w:t>
            </w:r>
          </w:p>
        </w:tc>
      </w:tr>
      <w:tr>
        <w:trPr>
          <w:trHeight w:val="37"/>
        </w:trPr>
        <w:tc>
          <w:tcPr>
            <w:tcW w:w="8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foreign, state and federal income taxes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Significant Accounting Policies</w:t>
      </w:r>
    </w:p>
    <w:p>
      <w:pPr>
        <w:spacing w:after="0" w:line="25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Lamar Media’s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Lamar Media’s consolidated financial statements and the notes thereto included in the 2024 Combined Form 10-K.</w:t>
      </w:r>
    </w:p>
    <w:p>
      <w:pPr>
        <w:spacing w:after="0" w:line="21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Certain notes are not provided for the accompanying condensed consolidated financial statements as the information in notes 1, 2, 3, 4, 5, 6, 7, 8, 10, 11, 12, 13, 15, 16 and 18 to the condensed consolidated financial statements of Lamar Advertising included elsewhere in this report is substantially equivalent to that required for the condensed consolidated financial statements of Lamar Media. Earnings per share data is not provided for Lamar Media, as it is a wholly owned subsidiary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Summarized Financial Information of Subsidiaries</w:t>
      </w:r>
    </w:p>
    <w:p>
      <w:pPr>
        <w:spacing w:after="0" w:line="256"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Summarized financial information for Lamar Media, subsidiary guarantors and non-guarantor subsidiaries is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summarized financial information. The following summarized financial information should be read in conjunction with the accompanying consolidated financial statements and notes. Separate financial statements of Lamar Media’s subsidiary guarantors are not included because the guarantors are each a consolidated subsidiary of Lamar Media, Lamar Media’s consolidated financial statements have been filed, and the guaranteed securities are debt securities with Lamar Media as the issuer. The accounts for all companies reflected herein are presented using the equity method of accounting for investments in subsidiaries.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Summarized Balance Sheet as of June 30, 2025</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Lamar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5"/>
                <w:szCs w:val="15"/>
                <w:color w:val="auto"/>
              </w:rPr>
            </w:pPr>
          </w:p>
        </w:tc>
        <w:tc>
          <w:tcPr>
            <w:tcW w:w="12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Media Corp.</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124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5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42,680</w:t>
            </w: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CFF0FC"/>
              <w:right w:val="single" w:sz="8" w:color="CCEEFF"/>
            </w:tcBorders>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69,016</w:t>
            </w: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FF0FC"/>
              <w:right w:val="single" w:sz="8" w:color="CCEEFF"/>
            </w:tcBorders>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345,342</w:t>
            </w: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457,038</w:t>
            </w:r>
          </w:p>
        </w:tc>
        <w:tc>
          <w:tcPr>
            <w:tcW w:w="60" w:type="dxa"/>
            <w:vAlign w:val="bottom"/>
            <w:tcBorders>
              <w:top w:val="single" w:sz="8" w:color="auto"/>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4,302,337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6,432,399</w:t>
            </w:r>
          </w:p>
        </w:tc>
        <w:tc>
          <w:tcPr>
            <w:tcW w:w="180" w:type="dxa"/>
            <w:vAlign w:val="bottom"/>
          </w:tcPr>
          <w:p>
            <w:pPr>
              <w:spacing w:after="0"/>
              <w:rPr>
                <w:sz w:val="21"/>
                <w:szCs w:val="21"/>
                <w:color w:val="auto"/>
              </w:rPr>
            </w:pPr>
          </w:p>
        </w:tc>
        <w:tc>
          <w:tcPr>
            <w:tcW w:w="12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297,130</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(4,831,680)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6,200,186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54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39,481</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456,418</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275,658</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771,557</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3,406,107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1,808,827</w:t>
            </w:r>
          </w:p>
        </w:tc>
        <w:tc>
          <w:tcPr>
            <w:tcW w:w="180" w:type="dxa"/>
            <w:vAlign w:val="bottom"/>
          </w:tcPr>
          <w:p>
            <w:pPr>
              <w:spacing w:after="0"/>
              <w:rPr>
                <w:sz w:val="21"/>
                <w:szCs w:val="21"/>
                <w:color w:val="auto"/>
              </w:rPr>
            </w:pPr>
          </w:p>
        </w:tc>
        <w:tc>
          <w:tcPr>
            <w:tcW w:w="12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399,803</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4,984,423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54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2,388</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(573)</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53"/>
        </w:trPr>
        <w:tc>
          <w:tcPr>
            <w:tcW w:w="2700" w:type="dxa"/>
            <w:vAlign w:val="bottom"/>
          </w:tcPr>
          <w:p>
            <w:pPr>
              <w:spacing w:after="0"/>
              <w:rPr>
                <w:sz w:val="24"/>
                <w:szCs w:val="24"/>
                <w:color w:val="auto"/>
              </w:rPr>
            </w:pPr>
          </w:p>
        </w:tc>
        <w:tc>
          <w:tcPr>
            <w:tcW w:w="5780" w:type="dxa"/>
            <w:vAlign w:val="bottom"/>
            <w:gridSpan w:val="8"/>
          </w:tcPr>
          <w:p>
            <w:pPr>
              <w:jc w:val="right"/>
              <w:ind w:right="777"/>
              <w:spacing w:after="0"/>
              <w:rPr>
                <w:sz w:val="20"/>
                <w:szCs w:val="20"/>
                <w:color w:val="auto"/>
              </w:rPr>
            </w:pPr>
            <w:r>
              <w:rPr>
                <w:rFonts w:ascii="Times New Roman" w:cs="Times New Roman" w:eastAsia="Times New Roman" w:hAnsi="Times New Roman"/>
                <w:sz w:val="18"/>
                <w:szCs w:val="18"/>
                <w:b w:val="1"/>
                <w:bCs w:val="1"/>
                <w:color w:val="auto"/>
              </w:rPr>
              <w:t>Summarized Balance Sheet as of December 31, 2024</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4"/>
                <w:szCs w:val="14"/>
                <w:color w:val="auto"/>
              </w:rPr>
            </w:pPr>
          </w:p>
        </w:tc>
        <w:tc>
          <w:tcPr>
            <w:tcW w:w="124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Corp.</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124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168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540" w:type="dxa"/>
            <w:vAlign w:val="bottom"/>
            <w:tcBorders>
              <w:top w:val="single" w:sz="8" w:color="CCEEFF"/>
              <w:bottom w:val="single" w:sz="8" w:color="CCEEFF"/>
              <w:right w:val="single" w:sz="8" w:color="CFF0FC"/>
            </w:tcBorders>
            <w:shd w:val="clear" w:color="auto" w:fill="CCEEFF"/>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CFF0FC"/>
              <w:right w:val="single" w:sz="8" w:color="CCEEFF"/>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38,950</w:t>
            </w:r>
          </w:p>
        </w:tc>
        <w:tc>
          <w:tcPr>
            <w:tcW w:w="120" w:type="dxa"/>
            <w:vAlign w:val="bottom"/>
            <w:tcBorders>
              <w:top w:val="single" w:sz="8" w:color="CCEEFF"/>
              <w:bottom w:val="single" w:sz="8" w:color="CCEEFF"/>
              <w:right w:val="single" w:sz="8" w:color="CFF0FC"/>
            </w:tcBorders>
            <w:shd w:val="clear" w:color="auto" w:fill="CCEEFF"/>
          </w:tcPr>
          <w:p>
            <w:pPr>
              <w:spacing w:after="0"/>
              <w:rPr>
                <w:sz w:val="21"/>
                <w:szCs w:val="21"/>
                <w:color w:val="auto"/>
              </w:rPr>
            </w:pPr>
          </w:p>
        </w:tc>
        <w:tc>
          <w:tcPr>
            <w:tcW w:w="160" w:type="dxa"/>
            <w:vAlign w:val="bottom"/>
            <w:tcBorders>
              <w:top w:val="single" w:sz="8" w:color="auto"/>
              <w:bottom w:val="single" w:sz="8" w:color="CFF0FC"/>
            </w:tcBorders>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CFF0FC"/>
              <w:right w:val="single" w:sz="8" w:color="CCEEFF"/>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52,617</w:t>
            </w:r>
          </w:p>
        </w:tc>
        <w:tc>
          <w:tcPr>
            <w:tcW w:w="18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CFF0FC"/>
              <w:right w:val="single" w:sz="8" w:color="CCEEFF"/>
            </w:tcBorders>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333,201</w:t>
            </w:r>
          </w:p>
        </w:tc>
        <w:tc>
          <w:tcPr>
            <w:tcW w:w="18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CFF0FC"/>
              <w:right w:val="single" w:sz="8" w:color="CCEEFF"/>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right w:val="single" w:sz="8" w:color="CFF0FC"/>
            </w:tcBorders>
            <w:shd w:val="clear" w:color="auto" w:fill="CCEEFF"/>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424,768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4,302,475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6,368,402</w:t>
            </w:r>
          </w:p>
        </w:tc>
        <w:tc>
          <w:tcPr>
            <w:tcW w:w="180" w:type="dxa"/>
            <w:vAlign w:val="bottom"/>
          </w:tcPr>
          <w:p>
            <w:pPr>
              <w:spacing w:after="0"/>
              <w:rPr>
                <w:sz w:val="21"/>
                <w:szCs w:val="21"/>
                <w:color w:val="auto"/>
              </w:rPr>
            </w:pP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297,831</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(4,823,669)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6,145,039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54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50,707</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444,841</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272,265</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3,249,628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1,738,404</w:t>
            </w:r>
          </w:p>
        </w:tc>
        <w:tc>
          <w:tcPr>
            <w:tcW w:w="180" w:type="dxa"/>
            <w:vAlign w:val="bottom"/>
          </w:tcPr>
          <w:p>
            <w:pPr>
              <w:spacing w:after="0"/>
              <w:rPr>
                <w:sz w:val="21"/>
                <w:szCs w:val="21"/>
                <w:color w:val="auto"/>
              </w:rPr>
            </w:pP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384,695</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(612,672)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4,760,055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5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1,770</w:t>
            </w:r>
          </w:p>
        </w:tc>
        <w:tc>
          <w:tcPr>
            <w:tcW w:w="18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(921)</w:t>
            </w:r>
          </w:p>
        </w:tc>
        <w:tc>
          <w:tcPr>
            <w:tcW w:w="180" w:type="dxa"/>
            <w:vAlign w:val="bottom"/>
            <w:shd w:val="clear" w:color="auto" w:fill="CCEEFF"/>
          </w:tcPr>
          <w:p>
            <w:pPr>
              <w:spacing w:after="0"/>
              <w:rPr>
                <w:sz w:val="21"/>
                <w:szCs w:val="21"/>
                <w:color w:val="auto"/>
              </w:rPr>
            </w:pPr>
          </w:p>
        </w:tc>
        <w:tc>
          <w:tcPr>
            <w:tcW w:w="114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shd w:val="clear" w:color="auto" w:fill="CCEEFF"/>
          </w:tcPr>
          <w:p>
            <w:pPr>
              <w:spacing w:after="0"/>
              <w:rPr>
                <w:sz w:val="2"/>
                <w:szCs w:val="2"/>
                <w:color w:val="auto"/>
              </w:rPr>
            </w:pPr>
          </w:p>
        </w:tc>
        <w:tc>
          <w:tcPr>
            <w:tcW w:w="15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Summarized Statements of Income and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2025</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Lamar Media</w:t>
            </w:r>
          </w:p>
        </w:tc>
      </w:tr>
      <w:tr>
        <w:trPr>
          <w:trHeight w:val="190"/>
        </w:trPr>
        <w:tc>
          <w:tcPr>
            <w:tcW w:w="3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Lamar Media Corp.</w:t>
            </w: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6"/>
                <w:szCs w:val="16"/>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388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579,311</w:t>
            </w: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381,480</w:t>
            </w: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197,831</w:t>
            </w: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155,166</w:t>
            </w: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154,505</w:t>
            </w:r>
          </w:p>
        </w:tc>
      </w:tr>
      <w:tr>
        <w:trPr>
          <w:trHeight w:val="531"/>
        </w:trPr>
        <w:tc>
          <w:tcPr>
            <w:tcW w:w="8480" w:type="dxa"/>
            <w:vAlign w:val="bottom"/>
            <w:gridSpan w:val="11"/>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rPr>
              <w:t>Summarized Statements of Income and Comprehensive Income</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8"/>
        </w:trPr>
        <w:tc>
          <w:tcPr>
            <w:tcW w:w="3880" w:type="dxa"/>
            <w:vAlign w:val="bottom"/>
          </w:tcPr>
          <w:p>
            <w:pPr>
              <w:spacing w:after="0"/>
              <w:rPr>
                <w:sz w:val="20"/>
                <w:szCs w:val="20"/>
                <w:color w:val="auto"/>
              </w:rPr>
            </w:pPr>
          </w:p>
        </w:tc>
        <w:tc>
          <w:tcPr>
            <w:tcW w:w="4600" w:type="dxa"/>
            <w:vAlign w:val="bottom"/>
            <w:gridSpan w:val="10"/>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June 30, 2024</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4"/>
        </w:trPr>
        <w:tc>
          <w:tcPr>
            <w:tcW w:w="3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Lamar Media</w:t>
            </w:r>
          </w:p>
        </w:tc>
      </w:tr>
      <w:tr>
        <w:trPr>
          <w:trHeight w:val="204"/>
        </w:trPr>
        <w:tc>
          <w:tcPr>
            <w:tcW w:w="3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Lamar Media Corp.</w:t>
            </w:r>
          </w:p>
        </w:tc>
        <w:tc>
          <w:tcPr>
            <w:tcW w:w="1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7"/>
                <w:szCs w:val="17"/>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388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565,251</w:t>
            </w: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380,843</w:t>
            </w: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184,408</w:t>
            </w: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137,775</w:t>
            </w: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3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(178,032)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137,547</w:t>
            </w:r>
          </w:p>
        </w:tc>
      </w:tr>
      <w:tr>
        <w:trPr>
          <w:trHeight w:val="27"/>
        </w:trPr>
        <w:tc>
          <w:tcPr>
            <w:tcW w:w="38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Summarized Statements of Income and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2025</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200" w:type="dxa"/>
            <w:vAlign w:val="bottom"/>
          </w:tcPr>
          <w:p>
            <w:pPr>
              <w:spacing w:after="0"/>
              <w:rPr>
                <w:sz w:val="15"/>
                <w:szCs w:val="15"/>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7"/>
                <w:szCs w:val="17"/>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39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1,084,741</w:t>
            </w: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695,568</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389,173</w:t>
            </w: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294,504</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293,369</w:t>
            </w:r>
          </w:p>
        </w:tc>
        <w:tc>
          <w:tcPr>
            <w:tcW w:w="0" w:type="dxa"/>
            <w:vAlign w:val="bottom"/>
          </w:tcPr>
          <w:p>
            <w:pPr>
              <w:spacing w:after="0"/>
              <w:rPr>
                <w:sz w:val="1"/>
                <w:szCs w:val="1"/>
                <w:color w:val="auto"/>
              </w:rPr>
            </w:pPr>
          </w:p>
        </w:tc>
      </w:tr>
      <w:tr>
        <w:trPr>
          <w:trHeight w:val="531"/>
        </w:trPr>
        <w:tc>
          <w:tcPr>
            <w:tcW w:w="8480" w:type="dxa"/>
            <w:vAlign w:val="bottom"/>
            <w:gridSpan w:val="11"/>
          </w:tcPr>
          <w:p>
            <w:pPr>
              <w:ind w:left="3180"/>
              <w:spacing w:after="0"/>
              <w:rPr>
                <w:sz w:val="20"/>
                <w:szCs w:val="20"/>
                <w:color w:val="auto"/>
              </w:rPr>
            </w:pPr>
            <w:r>
              <w:rPr>
                <w:rFonts w:ascii="Times New Roman" w:cs="Times New Roman" w:eastAsia="Times New Roman" w:hAnsi="Times New Roman"/>
                <w:sz w:val="18"/>
                <w:szCs w:val="18"/>
                <w:b w:val="1"/>
                <w:bCs w:val="1"/>
                <w:color w:val="auto"/>
              </w:rPr>
              <w:t>Summarized Statements of Income and Comprehensive Income</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920" w:type="dxa"/>
            <w:vAlign w:val="bottom"/>
          </w:tcPr>
          <w:p>
            <w:pPr>
              <w:spacing w:after="0"/>
              <w:rPr>
                <w:sz w:val="20"/>
                <w:szCs w:val="20"/>
                <w:color w:val="auto"/>
              </w:rPr>
            </w:pPr>
          </w:p>
        </w:tc>
        <w:tc>
          <w:tcPr>
            <w:tcW w:w="3340" w:type="dxa"/>
            <w:vAlign w:val="bottom"/>
            <w:gridSpan w:val="8"/>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3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204"/>
        </w:trPr>
        <w:tc>
          <w:tcPr>
            <w:tcW w:w="3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7"/>
                <w:szCs w:val="17"/>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37"/>
        </w:trPr>
        <w:tc>
          <w:tcPr>
            <w:tcW w:w="392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1,063,401</w:t>
            </w: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754,255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309,146</w:t>
            </w: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216,412</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215,909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(296,898)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215,909</w:t>
            </w:r>
          </w:p>
        </w:tc>
        <w:tc>
          <w:tcPr>
            <w:tcW w:w="0" w:type="dxa"/>
            <w:vAlign w:val="bottom"/>
          </w:tcPr>
          <w:p>
            <w:pPr>
              <w:spacing w:after="0"/>
              <w:rPr>
                <w:sz w:val="1"/>
                <w:szCs w:val="1"/>
                <w:color w:val="auto"/>
              </w:rPr>
            </w:pPr>
          </w:p>
        </w:tc>
      </w:tr>
      <w:tr>
        <w:trPr>
          <w:trHeight w:val="27"/>
        </w:trPr>
        <w:tc>
          <w:tcPr>
            <w:tcW w:w="39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Reporting</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financial performance by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5"/>
                <w:szCs w:val="15"/>
                <w:color w:val="auto"/>
              </w:rPr>
            </w:pPr>
          </w:p>
        </w:tc>
      </w:tr>
      <w:tr>
        <w:trPr>
          <w:trHeight w:val="190"/>
        </w:trPr>
        <w:tc>
          <w:tcPr>
            <w:tcW w:w="24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r>
      <w:tr>
        <w:trPr>
          <w:trHeight w:val="37"/>
        </w:trPr>
        <w:tc>
          <w:tcPr>
            <w:tcW w:w="244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6"/>
        </w:trPr>
        <w:tc>
          <w:tcPr>
            <w:tcW w:w="24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37"/>
        </w:trPr>
        <w:tc>
          <w:tcPr>
            <w:tcW w:w="2440" w:type="dxa"/>
            <w:vAlign w:val="bottom"/>
            <w:tcBorders>
              <w:bottom w:val="single" w:sz="8" w:color="CCEEFF"/>
            </w:tcBorders>
          </w:tcPr>
          <w:p>
            <w:pPr>
              <w:spacing w:after="0"/>
              <w:rPr>
                <w:sz w:val="3"/>
                <w:szCs w:val="3"/>
                <w:color w:val="auto"/>
              </w:rPr>
            </w:pPr>
          </w:p>
        </w:tc>
        <w:tc>
          <w:tcPr>
            <w:tcW w:w="31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3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Billboard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512,317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502,144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957,214</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941,529</w:t>
            </w:r>
          </w:p>
        </w:tc>
      </w:tr>
      <w:tr>
        <w:trPr>
          <w:trHeight w:val="27"/>
        </w:trPr>
        <w:tc>
          <w:tcPr>
            <w:tcW w:w="24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127,527</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121,872</w:t>
            </w:r>
          </w:p>
        </w:tc>
      </w:tr>
      <w:tr>
        <w:trPr>
          <w:trHeight w:val="237"/>
        </w:trPr>
        <w:tc>
          <w:tcPr>
            <w:tcW w:w="5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net revenues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579,311</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565,251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1,084,741</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1,063,401</w:t>
            </w:r>
          </w:p>
        </w:tc>
      </w:tr>
      <w:tr>
        <w:trPr>
          <w:trHeight w:val="27"/>
        </w:trPr>
        <w:tc>
          <w:tcPr>
            <w:tcW w:w="24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7"/>
        </w:trPr>
        <w:tc>
          <w:tcPr>
            <w:tcW w:w="2440" w:type="dxa"/>
            <w:vAlign w:val="bottom"/>
            <w:shd w:val="clear" w:color="auto" w:fill="CCEEFF"/>
          </w:tcPr>
          <w:p>
            <w:pPr>
              <w:spacing w:after="0"/>
              <w:rPr>
                <w:sz w:val="22"/>
                <w:szCs w:val="22"/>
                <w:color w:val="auto"/>
              </w:rPr>
            </w:pPr>
          </w:p>
        </w:tc>
        <w:tc>
          <w:tcPr>
            <w:tcW w:w="3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Advertising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24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Billboard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438,823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428,961</w:t>
            </w:r>
          </w:p>
        </w:tc>
      </w:tr>
      <w:tr>
        <w:trPr>
          <w:trHeight w:val="243"/>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103,835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97,752</w:t>
            </w:r>
          </w:p>
        </w:tc>
      </w:tr>
      <w:tr>
        <w:trPr>
          <w:trHeight w:val="27"/>
        </w:trPr>
        <w:tc>
          <w:tcPr>
            <w:tcW w:w="244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5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advertising expenses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542,658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526,713</w:t>
            </w:r>
          </w:p>
        </w:tc>
      </w:tr>
      <w:tr>
        <w:trPr>
          <w:trHeight w:val="257"/>
        </w:trPr>
        <w:tc>
          <w:tcPr>
            <w:tcW w:w="24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Segmented 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290,425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283,086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518,391</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512,568</w:t>
            </w:r>
          </w:p>
        </w:tc>
      </w:tr>
      <w:tr>
        <w:trPr>
          <w:trHeight w:val="27"/>
        </w:trPr>
        <w:tc>
          <w:tcPr>
            <w:tcW w:w="24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24,120</w:t>
            </w:r>
          </w:p>
        </w:tc>
      </w:tr>
      <w:tr>
        <w:trPr>
          <w:trHeight w:val="270"/>
        </w:trPr>
        <w:tc>
          <w:tcPr>
            <w:tcW w:w="56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Corporate expenses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(26,943)</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(25,727)</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(53,220)</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(52,893)</w:t>
            </w:r>
          </w:p>
        </w:tc>
      </w:tr>
      <w:tr>
        <w:trPr>
          <w:trHeight w:val="288"/>
        </w:trPr>
        <w:tc>
          <w:tcPr>
            <w:tcW w:w="5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278,533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271,735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488,863</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483,795</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50"/>
        </w:trPr>
        <w:tc>
          <w:tcPr>
            <w:tcW w:w="2440" w:type="dxa"/>
            <w:vAlign w:val="bottom"/>
            <w:tcBorders>
              <w:bottom w:val="single" w:sz="8" w:color="auto"/>
            </w:tcBorders>
          </w:tcPr>
          <w:p>
            <w:pPr>
              <w:spacing w:after="0"/>
              <w:rPr>
                <w:sz w:val="13"/>
                <w:szCs w:val="13"/>
                <w:color w:val="auto"/>
              </w:rPr>
            </w:pPr>
          </w:p>
        </w:tc>
        <w:tc>
          <w:tcPr>
            <w:tcW w:w="3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r>
    </w:tbl>
    <w:p>
      <w:pPr>
        <w:spacing w:after="0" w:line="67" w:lineRule="exact"/>
        <w:rPr>
          <w:sz w:val="20"/>
          <w:szCs w:val="20"/>
          <w:color w:val="auto"/>
        </w:rPr>
      </w:pPr>
    </w:p>
    <w:p>
      <w:pPr>
        <w:ind w:left="340" w:hanging="332"/>
        <w:spacing w:after="0" w:line="298"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Reconciliation of adjusted EBITDA to income before income tax expense: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5"/>
                <w:szCs w:val="15"/>
                <w:color w:val="auto"/>
              </w:rPr>
            </w:pPr>
          </w:p>
        </w:tc>
      </w:t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r>
      <w:tr>
        <w:trPr>
          <w:trHeight w:val="37"/>
        </w:trPr>
        <w:tc>
          <w:tcPr>
            <w:tcW w:w="56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6"/>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37"/>
        </w:trPr>
        <w:tc>
          <w:tcPr>
            <w:tcW w:w="56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4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278,533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271,735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488,863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483,795</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(25,616)</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(155,931)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(152,419)</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earnings of investee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(40,103)</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(43,765)</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(87,785)</w:t>
            </w:r>
          </w:p>
        </w:tc>
      </w:tr>
      <w:tr>
        <w:trPr>
          <w:trHeight w:val="23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157,554</w:t>
            </w: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140,647</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311,436</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220,806</w:t>
            </w:r>
          </w:p>
        </w:tc>
      </w:tr>
      <w:tr>
        <w:trPr>
          <w:trHeight w:val="27"/>
        </w:trPr>
        <w:tc>
          <w:tcPr>
            <w:tcW w:w="5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5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Actual results could differ materially from those anticipated by the forward-looking statements due to risks and uncertainties described in the section of this combined report on Form 10-Q entitled “Note Regarding Forward-Looking Statements” and in Item 1A to the 2024 Combined Form 10-K filed on February 20, 2025, and such risk factors as further updated or supplemented, from time to time, in our combined Quarterly Reports on Form 10-Q and Current Reports on Form 8-K. You should carefully consider each of these risks and uncertainties in evaluating the Company’s and Lamar Media’s financial condition and results of operations. Investors are cautioned not to place undue reliance on the forward-looking statements contained in this document. These statements speak only as of the date of this document, and the Company undertakes no obligation to update or revise the statements, except as may be required by law.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the Company for the three and six months ended June 30, 2025 and 2024. This discussion should be read in conjunction with the condensed consolidated financial statements of the Company and the related notes thereto.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Company’s net revenues are derived primarily from the rental of advertising space on outdoor advertising displays owned and operated by the Company. We manage our business through three operating segments – billboard, logo and transit advertising. Revenue growth is based on many factors that include the Company’s ability to increase occupancy of its existing advertising displays; raise advertising rates; and acquire new advertising displays and its operating results are therefore affected by general economic conditions, as well as trends in the advertising industry. Advertising spending is particularly sensitive to changes in general economic conditions, which affect the rates the Company is able to charge for advertising on its displays and its ability to maximize advertising sales or occupancy on its displays.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capital expenditures</w:t>
      </w:r>
    </w:p>
    <w:p>
      <w:pPr>
        <w:spacing w:after="0" w:line="25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the senior credit facility and the Accounts Receivable Securitization Program or the issuance of debt or equity securities. See “Liquidity and Capital Resources- Sources of Cash,” for more information.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 xml:space="preserve">During the six months ended June 30, 2025, the Company completed multiple acquisitions for a total cash purchase price of approximately $87.1 million. See </w:t>
      </w:r>
      <w:r>
        <w:rPr>
          <w:rFonts w:ascii="Times New Roman" w:cs="Times New Roman" w:eastAsia="Times New Roman" w:hAnsi="Times New Roman"/>
          <w:sz w:val="18"/>
          <w:szCs w:val="18"/>
          <w:i w:val="1"/>
          <w:iCs w:val="1"/>
          <w:color w:val="auto"/>
        </w:rPr>
        <w:t>Uses of Cash – Acquisitions</w:t>
      </w:r>
      <w:r>
        <w:rPr>
          <w:rFonts w:ascii="Times New Roman" w:cs="Times New Roman" w:eastAsia="Times New Roman" w:hAnsi="Times New Roman"/>
          <w:sz w:val="18"/>
          <w:szCs w:val="18"/>
          <w:color w:val="auto"/>
        </w:rPr>
        <w:t xml:space="preserve"> for more information. On July 2, 2025, Lamar Advertising Limited Partnership ("Lamar LP"), the subsidiary operating partner of the Company, issued 1,187,500 Common Units of Lamar LP (the "Common Units"). The Common Units were issued to the owners of Verde Outdoor as the consideration in connection with an acquisition, whereby the assets of Verde Outdoor were contributed to Lamar LP. The Verde Outdoor assets include more than 1,500 billboard faces across ten states.The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three and six months ended June 30, 2025 and 2024:</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5"/>
                <w:szCs w:val="15"/>
                <w:color w:val="auto"/>
              </w:rPr>
            </w:pPr>
          </w:p>
        </w:tc>
      </w:t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r>
      <w:tr>
        <w:trPr>
          <w:trHeight w:val="37"/>
        </w:trPr>
        <w:tc>
          <w:tcPr>
            <w:tcW w:w="56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6"/>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37"/>
        </w:trPr>
        <w:tc>
          <w:tcPr>
            <w:tcW w:w="566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3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spacing w:after="0"/>
              <w:rPr>
                <w:sz w:val="20"/>
                <w:szCs w:val="20"/>
                <w:color w:val="auto"/>
              </w:rPr>
            </w:pPr>
          </w:p>
        </w:tc>
      </w:tr>
      <w:tr>
        <w:trPr>
          <w:trHeight w:val="243"/>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Billboard — traditional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14,933</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11,013</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Billboard — digital</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22,242</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38,318</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24,608</w:t>
            </w:r>
          </w:p>
        </w:tc>
      </w:tr>
      <w:tr>
        <w:trPr>
          <w:trHeight w:val="243"/>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Logos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Transit</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43"/>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Land and buildings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6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equipment</w:t>
            </w:r>
          </w:p>
        </w:tc>
        <w:tc>
          <w:tcPr>
            <w:tcW w:w="30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12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7,308</w:t>
            </w:r>
          </w:p>
        </w:tc>
      </w:tr>
      <w:tr>
        <w:trPr>
          <w:trHeight w:val="237"/>
        </w:trPr>
        <w:tc>
          <w:tcPr>
            <w:tcW w:w="5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68,088</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52,130</w:t>
            </w:r>
          </w:p>
        </w:tc>
      </w:tr>
      <w:tr>
        <w:trPr>
          <w:trHeight w:val="27"/>
        </w:trPr>
        <w:tc>
          <w:tcPr>
            <w:tcW w:w="5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
        </w:trPr>
        <w:tc>
          <w:tcPr>
            <w:tcW w:w="5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20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before income tax expense (benefit), interest expense (income), equity in (earnings) loss of investee, loss (gain) on extinguishment of debt and investments, stock-based compensation, depreciation and amortization, loss (gain) on disposition of assets and investments, transaction expenses and capitalized contract fulfillment costs, net. Our management uses this measure internally to evaluate the performance of our business as a whole and our individual business segments.</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FFO is defined as net income before (gain) loss from the sale or disposal of real estate assets and investments, net of tax, and real estate related depreciation and amortization and including adjustments to eliminate unconsolidated affiliates and non-controlling interest.</w:t>
      </w:r>
    </w:p>
    <w:p>
      <w:pPr>
        <w:spacing w:after="0" w:line="18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define AFFO as FFO before (i) straight-line income and expense; (ii) capitalized contract fulfillment costs, net; (iii) stock-based compensation expense; (iv) non-cash portion of tax expense (benefit); (v) non-real estate related depreciation and amortization; (vi) amortization of deferred financing costs; (vii) loss on extinguishment of debt; (viii) transaction expenses; (ix) non-recurring infrequent or unusual losses (gains); (x) less maintenance capital expenditures; and (xi) an adjustment for unconsolidated affiliates and non-controlling interest.</w:t>
      </w:r>
    </w:p>
    <w:p>
      <w:pPr>
        <w:spacing w:after="0" w:line="20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Acquisition-adjusted net revenue adjusts our net revenue for the prior period by adding to it the net revenue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 In addition, we adjust the prior period to subtract revenue generated by the assets that have been divested since the prior period and, therefore, no revenue derived from those assets is reflected in the current period.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Adjusted EBITDA, FFO, AFFO and acquisition-adjusted net revenue are not intended to replace net income or any other performance measures determined in accordance with GAAP. Neither FFO nor AFFO represents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 are presented as we believe each is a useful indicator of our current operating performance. We believe that these metrics are useful to an investor in evaluating our operating performance because (1) each is a key measure used by our management team for purposes of decision-making and for evaluating our core operating results; (2) adjusted EBITDA is widely used in the industry to measure operating performance as depreciation and amortization may vary significantly among companies depending upon accounting methods and useful lives, particularly where acquisitions and non-operating factors are involved;</w:t>
      </w:r>
    </w:p>
    <w:p>
      <w:pPr>
        <w:spacing w:after="0" w:line="1" w:lineRule="exact"/>
        <w:rPr>
          <w:sz w:val="20"/>
          <w:szCs w:val="20"/>
          <w:color w:val="auto"/>
        </w:rPr>
      </w:pPr>
    </w:p>
    <w:p>
      <w:pPr>
        <w:jc w:val="both"/>
        <w:ind w:firstLine="8"/>
        <w:spacing w:after="0" w:line="253" w:lineRule="auto"/>
        <w:tabs>
          <w:tab w:leader="none" w:pos="2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acquisition-adjusted net revenue is a supplement to net revenue to enable investors to compare period-over-period results on a more consistent basis without the effects of acquisitions and divestitures, which reflects our core performance and organic growth (if any) during the period in which the assets were owned and managed by us; (4) adjusted EBITDA, FFO and AFFO each provide investors with a meaningful measure for evaluating our period-to-period operating performance by eliminating items that are not operational in nature; and (5) each provides investors with a measure for comparing our results of operations to those of other companies.</w:t>
      </w:r>
    </w:p>
    <w:p>
      <w:pPr>
        <w:spacing w:after="0" w:line="21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measurement of adjusted EBITDA, FFO, AFFO and acquisition-adjusted net revenue may not, however, be fully comparable to similarly titled measures used by other companies. Reconciliations of adjusted EBITDA, FFO, AFFO and acquisition-adjusted net revenue to net income, the most directly comparable GAAP measure, have been included 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to six months ended June 30, 2024</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increased $21.3 million or 2.0% to $1.08 billion for the six months ended June 30, 2025 from $1.06 billion for the same period in 2024. This increase was primarily attributable to an increase in billboard net revenues of $15.7 million, an increase in transit net revenues of $3.0 million, and an increase in logo net revenues of $2.6 million over the same period in 2024.</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2025, there was a $16.3 million increase in net revenues as compared to acquisition-adjusted net revenues for the six months ended June 30, 2024, which represents an increase of 1.5%. See "Reconciliations" below. The $16.3 million increase in revenue is primarily due to an increase of $13.6 million in billboard net revenues, an increase of $1.8 million in logo net revenues, and an increase in transit net revenues of $0.9 million over the same period in 2024.</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and investments, increased $8.7 million, or 1.4%, to $613.9 million for the six months ended June 30, 2025 from $605.2 million for the same period in 2024. The $8.7 million increase over the prior year is comprised of a $16.6 million increase in total direct, general and administrative and corporate expenses (excluding stock-based compensation) primarily related to the operations of our outdoor advertising assets, offset by a $7.9 million decrease in stock-based compensation.</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$3.5 million to $155.9 million for the six months ended June 30, 2025 as compared to $152.4 million for the same period in 2024, primarily related to acquisitions and capital expenditures completed in the last twelve months.</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the Company recognized a gain on disposition of assets and investments of $74.0 million primarily resulting from the sale of Lamar's equity interest in Vistar Media, Inc., as well as transactions related to the sale of real estate and billboard locations and displays.</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$80.1 million to $388.9 million for the six months ended June 30, 2025 as compared to $308.8 million for the same period in 2024.</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Interest expense decreased $9.8 million for the six months ended June 30, 2025 to $79.0 million as compared to $88.8 million for the six months ended June 30, 2024. The decrease was primarily due to the repayment of the Term A loans outstanding under the senior credit facility in July of 2024 as well as a decrease in interest rates on the senior credit facility and Accounts Receivable Securitization Program.</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5" w:name="page36"/>
    <w:bookmarkEnd w:id="35"/>
    <w:p>
      <w:pPr>
        <w:ind w:left="580"/>
        <w:spacing w:after="0"/>
        <w:rPr>
          <w:sz w:val="20"/>
          <w:szCs w:val="20"/>
          <w:color w:val="auto"/>
        </w:rPr>
      </w:pPr>
      <w:r>
        <w:rPr>
          <w:rFonts w:ascii="Times New Roman" w:cs="Times New Roman" w:eastAsia="Times New Roman" w:hAnsi="Times New Roman"/>
          <w:sz w:val="18"/>
          <w:szCs w:val="18"/>
          <w:color w:val="auto"/>
        </w:rPr>
        <w:t>Equity in (earnings) loss of investee was $(0.2) million and $0.6 million for the six months ended June 30, 2025 and 2024, respectively.</w:t>
      </w:r>
    </w:p>
    <w:p>
      <w:pPr>
        <w:spacing w:after="0" w:line="25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as well as the decrease in interest expense, resulted in a $90.7 million increase in income before income tax expense. The effective tax rate for the six months ended June 30, 2025 was 5.4%, which differs from the federal statutory rate primarily due to our qualification for taxation as a REIT and adjustments for foreign items.</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the Company recognized net income for the six months ended June 30, 2025 of $294.2 million, as compared to net income of $216.1 million for the same period in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2023 have contributed to our net revenue results for the periods presented, we provide 2024 acquisition-adjusted net revenue, which adjusts our 2024 net revenue for the six months ended June 30, 2024 by adding to or subtracting from it the net revenue generated by the acquired or divested assets prior to our acquisition or divestiture of these assets for the same time frame that those assets were owned in the six months ended June 30, 2025.</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Reconciliations of 2024 reported net revenues to 2024 acquisition-adjusted net revenues for the six months ended June 30, as well as a comparison of 2024 acquisition-adjusted net revenues to 2025 reported net revenues for the six months ended June 30, are provided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30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1,084,741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1,063,401</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revenues</w:t>
            </w: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1,084,741</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1,068,422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50"/>
        </w:trPr>
        <w:tc>
          <w:tcPr>
            <w:tcW w:w="55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loss of investee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488,604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483,476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Adjusted EBITDA for the six months ended June 30, 2025 increased 1.1% to $488.6 million. The increase in adjusted EBITDA was primarily attributable to an increase in our gross margin (net revenue less direct advertising expense, exclusive of depreciation and amortization and capitalized contract fulfillment costs, net) of $13.1 million, offset by an increase in total general and administrative and corporate expenses of $8.7 million, excluding the impact of stock-based compensation expense.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Segmented 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2440" w:type="dxa"/>
            <w:vAlign w:val="bottom"/>
          </w:tcPr>
          <w:p>
            <w:pPr>
              <w:spacing w:after="0"/>
              <w:rPr>
                <w:sz w:val="3"/>
                <w:szCs w:val="3"/>
                <w:color w:val="auto"/>
              </w:rPr>
            </w:pPr>
          </w:p>
        </w:tc>
        <w:tc>
          <w:tcPr>
            <w:tcW w:w="3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2440" w:type="dxa"/>
            <w:vAlign w:val="bottom"/>
            <w:tcBorders>
              <w:bottom w:val="single" w:sz="8" w:color="CCEEFF"/>
            </w:tcBorders>
          </w:tcPr>
          <w:p>
            <w:pPr>
              <w:spacing w:after="0"/>
              <w:rPr>
                <w:sz w:val="3"/>
                <w:szCs w:val="3"/>
                <w:color w:val="auto"/>
              </w:rPr>
            </w:pPr>
          </w:p>
        </w:tc>
        <w:tc>
          <w:tcPr>
            <w:tcW w:w="3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adjusted EBITDA</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488,604</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483,476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auto"/>
            </w:tcBorders>
          </w:tcPr>
          <w:p>
            <w:pPr>
              <w:spacing w:after="0"/>
              <w:rPr>
                <w:sz w:val="14"/>
                <w:szCs w:val="14"/>
                <w:color w:val="auto"/>
              </w:rPr>
            </w:pPr>
          </w:p>
        </w:tc>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Logo and transit advertising do not meet the criteria to be reportable segments, and accordingly, are included in Other.</w:t>
      </w:r>
    </w:p>
    <w:p>
      <w:pPr>
        <w:spacing w:after="0" w:line="26" w:lineRule="exact"/>
        <w:rPr>
          <w:rFonts w:ascii="Times New Roman" w:cs="Times New Roman" w:eastAsia="Times New Roman" w:hAnsi="Times New Roman"/>
          <w:sz w:val="16"/>
          <w:szCs w:val="16"/>
          <w:color w:val="auto"/>
        </w:rPr>
      </w:pPr>
    </w:p>
    <w:p>
      <w:pPr>
        <w:ind w:left="340" w:hanging="332"/>
        <w:spacing w:after="0" w:line="270" w:lineRule="auto"/>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pacing w:after="0" w:line="195"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Adjusted EBITDA for the six months ended June 30, 2025 increased 1.1% to $488.6 million. The increase in adjusted EBITDA was primarily attributable to the increase in our billboard advertising adjusted EBITDA of $5.8 million, offset by a decrease in other adjusted EBITDA of $0.4 million and an increase in corporate expenses of $0.3 million, excluding the impact of stock-based compensation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and investments,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389,590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371,754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firstLine="567"/>
        <w:spacing w:after="0" w:line="261" w:lineRule="auto"/>
        <w:rPr>
          <w:sz w:val="20"/>
          <w:szCs w:val="20"/>
          <w:color w:val="auto"/>
        </w:rPr>
      </w:pPr>
      <w:r>
        <w:rPr>
          <w:rFonts w:ascii="Times New Roman" w:cs="Times New Roman" w:eastAsia="Times New Roman" w:hAnsi="Times New Roman"/>
          <w:sz w:val="18"/>
          <w:szCs w:val="18"/>
          <w:color w:val="auto"/>
        </w:rPr>
        <w:t>FFO for the six months ended June 30, 2025 increased from $357.8 million in 2024 to $381.5 million for the same period in 2025, an increase of 6.6%. AFFO for the six months ended June 30, 2025 increased 4.8% to $389.6 million as compared to $371.8 million for the same period in 2024. The increase in AFFO was primarily attributable to an increase in our gross margin (net revenue less direct advertising expense, exclusive of depreciation and amortization and capitalized contract fulfillment costs, net) as well as a decrease in interest expense for the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to three months ended June 30, 2024</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increased $14.1 million or 2.5% to $579.3 million for the three months ended June 30, 2025 from $565.3 million for the same period in 2024. This increase was primarily attributable to an increase in billboard net revenues of $10.2 million, an increase in transit net revenues of $2.2 million and an increase in logo net revenues of $1.7 million over the same period in 2024.</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2025, there was a $10.9 million increase in net revenues as compared to acquisition-adjusted net revenues for the three months ended June 30, 2024, which represents an increase of 1.9%. See "Reconciliations" below. The $10.9 million increase in revenue is primarily due to an increase of $8.4 million in billboard net revenues, an increase of $1.3 million in logo net revenues, and an increase of $1.2 million in transit net revenues over the same period in 2024.</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and investments, increased $3.0 million, or 1.0%, to $307.7 million for the three months ended June 30, 2025 from $304.7 million for the same period in 2024. The $3.0 million increase over the prior year is comprised of a $7.0 million increase in total direct, general and administrative and corporate expenses (excluding stock-based compensation) primarily related to the operations of our outdoor advertising assets, offset by a $4.0 million decrease in stock-based compensation.</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$0.9 million to $78.1 million for the three months ended June 30, 2025 as compared to $77.2 million for the same period in 2024, primarily related to acquisitions and capital expenditures completed in the last twelve months.</w:t>
      </w:r>
    </w:p>
    <w:p>
      <w:pPr>
        <w:spacing w:after="0" w:line="189"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2025, the Company recognized a gain on disposition of assets and investments of $4.2 million, primarily resulting from transactions related to the sale of real estate and billboard locations and displays.</w:t>
      </w:r>
    </w:p>
    <w:p>
      <w:pPr>
        <w:spacing w:after="0" w:line="18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$13.5 million to $197.7 million for the three months ended June 30, 2025 as compared to $184.2 million for the same period in 2024.</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Interest expense decreased $3.6 million for the three months ended June 30, 2025 to $40.7 million as compared to $44.3 million for the three months ended June 30, 2024 primarily due to the repayment of the Term A loans outstanding under the senior credit facility in July of 2024 as well as a decrease in interest rates on the senior credit facility and Accounts Receivable Securitization Program.</w:t>
      </w:r>
    </w:p>
    <w:p>
      <w:pPr>
        <w:spacing w:after="0" w:line="20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as well as the decrease in interest expense, resulted in a $16.9 million increase in income before income tax expense. The effective tax rate for the three months ended June 30, 2025 was 1.5%, which differs from the federal statutory rate primarily due to our qualification for taxation as a REIT and adjustments for foreign items.</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the Company recognized net income for the three months ended June 30, 2025 of $155.0 million, as compared to net income of $137.6 million for the same period in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2023 have contributed to our net revenue results for the periods presented, we provide 2024 acquisition-adjusted net revenue, which adjusts our 2024 net revenue for the three months ended June 30, 2024 by adding to or subtracting from it the net revenue generated by the acquired or divested assets prior to our acquisition or divestiture of these assets for the same time frame that those assets were owned in the three months ended June 30, 2025.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8" w:name="page39"/>
    <w:bookmarkEnd w:id="38"/>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Reconciliations of 2024 reported net revenues to 2024 acquisition-adjusted net revenues for the three months ended June 30, as well as a comparison of 2024 acquisition-adjusted net revenues to 2025 reported net revenues for the three months ended June 30, are provided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30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565,251</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revenues</w:t>
            </w: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579,311</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568,382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51"/>
        </w:trPr>
        <w:tc>
          <w:tcPr>
            <w:tcW w:w="55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(earnings) of investee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278,383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271,554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June 30, 2025 increased 2.5% to $278.4 million. The increase in adjusted EBITDA was primarily attributable to an increase in our gross margin (net revenue less direct advertising expense, exclusive of depreciation and amortization and capitalized contract fulfillment costs, net) of $10.4 million offset by an increase in total general and administrative and corporate expenses of $3.5 million, excluding the impact of stock-based compensation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Segmented 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2440" w:type="dxa"/>
            <w:vAlign w:val="bottom"/>
          </w:tcPr>
          <w:p>
            <w:pPr>
              <w:spacing w:after="0"/>
              <w:rPr>
                <w:sz w:val="3"/>
                <w:szCs w:val="3"/>
                <w:color w:val="auto"/>
              </w:rPr>
            </w:pPr>
          </w:p>
        </w:tc>
        <w:tc>
          <w:tcPr>
            <w:tcW w:w="3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2440" w:type="dxa"/>
            <w:vAlign w:val="bottom"/>
            <w:tcBorders>
              <w:bottom w:val="single" w:sz="8" w:color="CCEEFF"/>
            </w:tcBorders>
          </w:tcPr>
          <w:p>
            <w:pPr>
              <w:spacing w:after="0"/>
              <w:rPr>
                <w:sz w:val="3"/>
                <w:szCs w:val="3"/>
                <w:color w:val="auto"/>
              </w:rPr>
            </w:pPr>
          </w:p>
        </w:tc>
        <w:tc>
          <w:tcPr>
            <w:tcW w:w="3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adjusted EBITDA</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278,383</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271,554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auto"/>
            </w:tcBorders>
          </w:tcPr>
          <w:p>
            <w:pPr>
              <w:spacing w:after="0"/>
              <w:rPr>
                <w:sz w:val="14"/>
                <w:szCs w:val="14"/>
                <w:color w:val="auto"/>
              </w:rPr>
            </w:pPr>
          </w:p>
        </w:tc>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Logo and transit advertising do not meet the criteria to be reportable segments, and accordingly, are included in Other.</w:t>
      </w:r>
    </w:p>
    <w:p>
      <w:pPr>
        <w:spacing w:after="0" w:line="23" w:lineRule="exact"/>
        <w:rPr>
          <w:rFonts w:ascii="Times New Roman" w:cs="Times New Roman" w:eastAsia="Times New Roman" w:hAnsi="Times New Roman"/>
          <w:sz w:val="16"/>
          <w:szCs w:val="16"/>
          <w:color w:val="auto"/>
        </w:rPr>
      </w:pPr>
    </w:p>
    <w:p>
      <w:pPr>
        <w:ind w:left="340" w:hanging="332"/>
        <w:spacing w:after="0" w:line="257"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pacing w:after="0" w:line="218"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Adjusted EBITDA for the three months ended June 30, 2025 increased 2.5% to $278.4 million. The increase in adjusted EBITDA was primarily attributable to the increase in our billboard advertising adjusted EBITDA of $7.3 million, as well as an increase in other adjusted EBITDA of $0.7 million, offset by an increase in corporate expenses of $1.2 million, excluding the impact of stock-based compensation expense.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 line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225,282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213,517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firstLine="567"/>
        <w:spacing w:after="0" w:line="261" w:lineRule="auto"/>
        <w:rPr>
          <w:sz w:val="20"/>
          <w:szCs w:val="20"/>
          <w:color w:val="auto"/>
        </w:rPr>
      </w:pPr>
      <w:r>
        <w:rPr>
          <w:rFonts w:ascii="Times New Roman" w:cs="Times New Roman" w:eastAsia="Times New Roman" w:hAnsi="Times New Roman"/>
          <w:sz w:val="18"/>
          <w:szCs w:val="18"/>
          <w:color w:val="auto"/>
        </w:rPr>
        <w:t>FFO for the three months ended June 30, 2025 increased from $209.3 million in 2024 to $225.3 million for the same period in 2025, an increase of 7.7%. AFFO for the three months ended June 30, 2025 increased 5.5% to $225.3 million as compared to $213.5 million for the same period in 2024. The increase in AFFO was primarily attributable to an increase in our gross margin (net revenue less direct advertising expense, exclusive of depreciation and amortization and capitalized contract fulfillment costs, net) of $10.4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 has historically satisfied its working capital requirements with cash from operations and borrowings under the senior credit facility and the Accounts Receivable Securitization Program. The Company’s wholly owned subsidiary, Lamar Media Corp., is the borrower under the senior credit facility and maintains all corporate operating cash balances. Certain subsidiaries of Lamar Media are the principal borrowers under the Accounts Receivable Securitization Program. Any cash requirements of the Company, therefore, must be funded by distributions from Lamar Media.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25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Total Liquidity. </w:t>
      </w:r>
      <w:r>
        <w:rPr>
          <w:rFonts w:ascii="Times New Roman" w:cs="Times New Roman" w:eastAsia="Times New Roman" w:hAnsi="Times New Roman"/>
          <w:sz w:val="18"/>
          <w:szCs w:val="18"/>
          <w:color w:val="auto"/>
        </w:rPr>
        <w:t>As of June 30, 2025 we had $363.0 million of total liquidity, which is comprised of $55.7 million in cash and cash equivalents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$307.3 million of availability under the revolving portion of Lamar Media’s senior credit facility. We expect our total liquidity to be adequate for the Company to meet its operational requirements for the next twelve months. We are currently in compliance with the maintenance covenant included in the senior credit facility and we would remain in compliance after accounting for borrowing the full amount available to us under the revolving portion of the senior credit facility.</w:t>
      </w:r>
    </w:p>
    <w:p>
      <w:pPr>
        <w:spacing w:after="0" w:line="21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the Company had a working capital deficit of $325.1 million and $353.2 million, respectively. The decrease in working capital deficit of $28.1 million is primarily due to a decrease in borrowings outstanding on the Accounts Receivable Securitization Program as well as a decrease in current operating lease liabilities.</w:t>
      </w:r>
    </w:p>
    <w:p>
      <w:pPr>
        <w:spacing w:after="0" w:line="20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Generated by Operations. </w:t>
      </w:r>
      <w:r>
        <w:rPr>
          <w:rFonts w:ascii="Times New Roman" w:cs="Times New Roman" w:eastAsia="Times New Roman" w:hAnsi="Times New Roman"/>
          <w:sz w:val="18"/>
          <w:szCs w:val="18"/>
          <w:color w:val="auto"/>
        </w:rPr>
        <w:t>For the six months ended June 30, 2025 and 2024, our cash provided by operating activities was $357.2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$366.9 million, respectively. We expect to generate cash flows from operations during 2025 in excess of our cash needs for operations, capital expenditures and dividends, as described herein. We believe we have sufficient liquidity available under our revolving credit facility to meet our operating cash needs for the next twelve months.</w:t>
      </w:r>
    </w:p>
    <w:p>
      <w:pPr>
        <w:sectPr>
          <w:pgSz w:w="11900" w:h="16838" w:orient="portrait"/>
          <w:cols w:equalWidth="0" w:num="1">
            <w:col w:w="11240"/>
          </w:cols>
          <w:pgMar w:left="320" w:top="1130"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type w:val="continuous"/>
        </w:sectPr>
      </w:pPr>
    </w:p>
    <w:bookmarkStart w:id="40" w:name="page41"/>
    <w:bookmarkEnd w:id="40"/>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Accounts Receivable Securitization Program. </w:t>
      </w:r>
      <w:r>
        <w:rPr>
          <w:rFonts w:ascii="Times New Roman" w:cs="Times New Roman" w:eastAsia="Times New Roman" w:hAnsi="Times New Roman"/>
          <w:sz w:val="18"/>
          <w:szCs w:val="18"/>
          <w:color w:val="auto"/>
        </w:rPr>
        <w:t>On June 24, 2022, Lamar Media and the Special Purpose Subsidiaries entered into the Sixth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(the "Sixth Amendment") to the Receivables Financing Agreement. The Sixth Amendment increased the Accounts Receivable Securitization Program from $175.0 million to $250.0 million and extended the maturity date of the Accounts Receivable Securitization Program to July 21, 2025. Additionally, the Sixth Amendment provides for the replacement of LIBOR-based interest rate mechanics with Term Secured Overnight Financing Rate ("Term SOFR") based interest rate mechanics for the Accounts Receivable Securitization Program.</w:t>
      </w:r>
    </w:p>
    <w:p>
      <w:pPr>
        <w:spacing w:after="0" w:line="212" w:lineRule="exact"/>
        <w:rPr>
          <w:sz w:val="20"/>
          <w:szCs w:val="20"/>
          <w:color w:val="auto"/>
        </w:rPr>
      </w:pPr>
    </w:p>
    <w:p>
      <w:pPr>
        <w:jc w:val="both"/>
        <w:ind w:firstLine="567"/>
        <w:spacing w:after="0" w:line="252" w:lineRule="auto"/>
        <w:rPr>
          <w:sz w:val="20"/>
          <w:szCs w:val="20"/>
          <w:color w:val="auto"/>
        </w:rPr>
      </w:pPr>
      <w:r>
        <w:rPr>
          <w:rFonts w:ascii="Times New Roman" w:cs="Times New Roman" w:eastAsia="Times New Roman" w:hAnsi="Times New Roman"/>
          <w:sz w:val="18"/>
          <w:szCs w:val="18"/>
          <w:color w:val="auto"/>
        </w:rPr>
        <w:t>Borrowing capacity under the Accounts Receivable Securitization Program is limited to the availability of eligible accounts receivable collateralizing the borrowings under the agreements governing the Accounts Receivable Securitization Program. In connection with the Accounts Receivable Securitization Program, Lamar Media and certain of its subsidiaries (such subsidiaries, the “Subsidiary Originators”) sell and/or contribute their existing and future accounts receivable and certain related assets to one of two special purpose subsidiaries, Lamar QRS Receivables, LLC (the “QRS SPV”) and Lamar TRS Receivables, LLC (the “TRS SPV” and together with the QRS SPV the “Special Purpose Subsidiaries”), each of which is a wholly-owned subsidiary of Lamar Media. Existing and future accounts receivable relating to Lamar Media and its qualified REIT subsidiaries will be sold and/or contributed to the QRS SPV and existing and future accounts receivable relating to Lamar Media’s Taxable REIT Subsidiaries ("TRSs") will be sold and/or contributed to the TRS SPV. Each of the Special Purpose Subsidiaries has granted the lenders party to the Accounts Receivable Securitization Program a security interest in all of its assets, which consist of the accounts receivable and related assets sold or contributed to them, as described above, in order to secure the obligations of the Special Purpose Subsidiaries under the agreements governing the Accounts Receivable Securitization Program. Pursuant to the Accounts Receivable Securitization Program, Lamar Media has agreed to service the accounts receivable on behalf of the two Special Purpose Subsidiaries for a fee. Lamar Media has also agreed to guarantee its performance in its capacity as servicer and originator, as well as the performance of the Subsidiary Originators, of their obligations under the agreements governing the Accounts Receivable Securitization Program. None of Lamar Media, the Subsidiary Originators or the Special Purpose Subsidiaries guarantees the collectability of the receivables under the Accounts Receivable Securitization Program. In addition, each of the Special Purpose Subsidiaries is a separate legal entity with its own separate creditors who will be entitled to access the assets of such Special Purpose Subsidiary before the assets become available to Lamar Media. Accordingly, the assets of the Special Purpose Subsidiaries are not available to pay creditors of Lamar Media or any of its subsidiaries, although collections from receivables in excess of the amounts required to repay the lenders and the other creditors of the Special Purpose Subsidiaries may be remitted to Lamar Media.</w:t>
      </w:r>
    </w:p>
    <w:p>
      <w:pPr>
        <w:spacing w:after="0" w:line="219"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As of June 30, 2025, there was $250.0 million in outstanding aggregate borrowings under the Accounts Receivable Securitization Program. Lamar Media had no additional availability under the Accounts Receivable Securitization Program as of June 30, 2025.</w:t>
      </w:r>
    </w:p>
    <w:p>
      <w:pPr>
        <w:spacing w:after="0" w:line="189"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The Accounts Receivable Securitization Program was set to mature on July 21, 2025, but was subsequently extended to October 15, 2027 by the Seventh Amendment to the Receivables Financing Agreement dated October 15, 2024; provided that, if on the date (a “Securitization Springing Maturity Test Date”) that is 91 days prior to the then scheduled maturity date of Lamar Media’s Term Loan B loans (which is currently February 6, 2027), (a) any of the outstanding Term B loans has a scheduled maturity date prior to the date that is 91 days prior to the then scheduled maturity date of Lamar Media’s revolving credit facility (which is currently July 31, 2028) and (b) the Company and its restricted subsidiaries do not have sufficient liquidity (defined as (i) unused commitments under the revolving credit facility plus (ii) unrestricted cash and cash equivalents of the Company and its restricted subsidiaries plus</w:t>
      </w:r>
    </w:p>
    <w:p>
      <w:pPr>
        <w:spacing w:after="0" w:line="5" w:lineRule="exact"/>
        <w:rPr>
          <w:sz w:val="20"/>
          <w:szCs w:val="20"/>
          <w:color w:val="auto"/>
        </w:rPr>
      </w:pPr>
    </w:p>
    <w:p>
      <w:pPr>
        <w:jc w:val="both"/>
        <w:ind w:firstLine="8"/>
        <w:spacing w:after="0" w:line="253" w:lineRule="auto"/>
        <w:tabs>
          <w:tab w:leader="none" w:pos="3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availability under the Accounts Receivable Securitization Program) to repay in full the aggregate outstanding amount (including all accrued and unpaid interest, premiums and make-whole amounts (if any)) of the Term Loan B loans, then the Accounts Receivable Securitization Program will mature on such Securitization Springing Maturity Test Date. Lamar Media may amend the facility to further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41" w:name="page42"/>
    <w:bookmarkEnd w:id="41"/>
    <w:p>
      <w:pPr>
        <w:jc w:val="both"/>
        <w:ind w:firstLine="567"/>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“At-the-Market” Offering Program. </w:t>
      </w:r>
      <w:r>
        <w:rPr>
          <w:rFonts w:ascii="Times New Roman" w:cs="Times New Roman" w:eastAsia="Times New Roman" w:hAnsi="Times New Roman"/>
          <w:sz w:val="18"/>
          <w:szCs w:val="18"/>
          <w:color w:val="auto"/>
        </w:rPr>
        <w:t>On July 24, 2024, the Company entered into an equity distribution agreement, or At-the-Market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(the "2024 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(the "2021 Sales Agreement"). Under the terms of the 2024 Sales Agreement, the Company may, from time to time, issue and sell shares of its Class A common stock, having an aggregate offering price of up to $400.0 million through the Sales Agents as either agents or principals. Sales of the Class A common stock, if any, may be conducted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2024 Sales Agreement and may at any time suspend solicitations and offers under the 2024 Sales Agreement. The Company intends to use the net proceeds, if any, from the sale of the Class A common stock pursuant to the 2024 Sales Agreement for general corporate purposes, which may include the repayment, refinancing, redemption or repurchase of existing indebtedness, working capital, capital expenditures, acquisition of outdoor advertising assets and businesses and other related investments. The Company did not issue any shares under the 2024 Sales Agreement during the year ended December 31, 2024 and the six months ended June 30, 2025. The Company did not issue any shares under the 2021 Sales Agreement from inception through expiration.</w:t>
      </w:r>
    </w:p>
    <w:p>
      <w:pPr>
        <w:spacing w:after="0" w:line="212"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Shelf Registration Statement. </w:t>
      </w:r>
      <w:r>
        <w:rPr>
          <w:rFonts w:ascii="Times New Roman" w:cs="Times New Roman" w:eastAsia="Times New Roman" w:hAnsi="Times New Roman"/>
          <w:sz w:val="18"/>
          <w:szCs w:val="18"/>
          <w:color w:val="auto"/>
        </w:rPr>
        <w:t>On June 21, 2021, the Company filed an automatically effective shelf registration statement that allows Lamar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to offer and sell an indeterminate amount of additional shares of its Class A common stock. The shelf registration statement expired on June 21, 2024.</w:t>
      </w:r>
    </w:p>
    <w:p>
      <w:pPr>
        <w:spacing w:after="0" w:line="20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July 24, 2024, the Company filed a new automatically effective shelf registration statement that allows the Company to offer and sell an indeterminate amount of additional shares of its Class A common stock, which replaces the previous shelf registration statement. During the year ended December 31, 2024 and the six months ended June 30, 2025, the Company did not issue any shares under either shelf registration statement.</w:t>
      </w:r>
    </w:p>
    <w:p>
      <w:pPr>
        <w:spacing w:after="0" w:line="20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On February 6, 2020, Lamar Media entered into a Fourth Amended and Restated Credit Agreement (the “Fourth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212"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On July 2, 2021, Lamar Media entered into Amendment No. 1 (the "Amendment"), to the Fourth Amended and Restated Credit Agreement. The Amendment amends the definition of "Subsidiary" to exclude each of Lamar Partnering Sponsor LLC and Lamar Partnering Corporation and any of their subsidiaries (collectively, the “Lamar Partnering Entities”) such that, after giving effect to the Amendment, none of the Lamar Partnering Entities are subject to the Fourth Amended and Restated Credit Agreement covenants and reporting requirements, but any investment by Lamar Media in any of the Lamar Partnering Entities would be subject to the Fourth Amended and Restated Credit Agreement covenants. The Amendment also amends the definition of “EBITDA” to replace the existing calculation with a net income-based calculation, which excludes the income of non-Subsidiary entities such as the Lamar Partnering Entities, except to the extent that income of such entities is received by Lamar Media in the form of dividends or distributions.</w:t>
      </w:r>
    </w:p>
    <w:p>
      <w:pPr>
        <w:spacing w:after="0" w:line="216"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 xml:space="preserve">The senior credit facility, as established by the Fourth Amended and Restated Credit Agreement (the “senior credit facility”), consists of (i) a $750.0 million senior secured revolving credit facility which will mature on July 31, 2028, subject to certain conditions (see description of Amendment No. 4 below) (the “revolving credit facility”), (ii) a $600.0 million senior secured Term B loan facility (the “Term B loans”) which will mature on February 6, 2027, and (iii) an incremental facility (the “Incremental Facility”) pursuant to which Lamar Media may incur additional term loan tranches or increase its revolving credit facility subject to a pro forma secured debt ratio calculated as described under </w:t>
      </w:r>
      <w:r>
        <w:rPr>
          <w:rFonts w:ascii="Times New Roman" w:cs="Times New Roman" w:eastAsia="Times New Roman" w:hAnsi="Times New Roman"/>
          <w:sz w:val="18"/>
          <w:szCs w:val="18"/>
          <w:i w:val="1"/>
          <w:iCs w:val="1"/>
          <w:color w:val="auto"/>
        </w:rPr>
        <w:t>“Restrictions under Senior Credit Facility”</w:t>
      </w:r>
      <w:r>
        <w:rPr>
          <w:rFonts w:ascii="Times New Roman" w:cs="Times New Roman" w:eastAsia="Times New Roman" w:hAnsi="Times New Roman"/>
          <w:sz w:val="18"/>
          <w:szCs w:val="18"/>
          <w:color w:val="auto"/>
        </w:rPr>
        <w:t xml:space="preserve"> of 4.50 to 1.00, as well as certain other conditions including lender approval. Lamar Media borrowed all $600.0 million in Term B loans on February 6, 2020. The entire amount of the Term B loans will be payable at maturity.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2" w:name="page43"/>
    <w:bookmarkEnd w:id="42"/>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The Term B loans bear interest at rates based on Term SOFR plus a credit spread adjustment of 0.10% (Term SOFR plus such credit spread adjustment, the "Adjusted Term SOFR Rate”) or the Adjusted Base Rate, at Lamar Media’s option. Term B loans bearing interest at a rate based on Term SOFR bear interest at a rate per annum equal to the Adjusted Term SOFR Rate plus 1.50%. Term B loans bearing interest at a rate based on the Adjusted Base Rate bear interest at a rate per annum equal to the Adjusted Base Rate plus 0.50%. The revolving credit facility bears interest at rates based on Term SOFR ("Term SOFR revolving loans”) or the Adjusted Base Rate (“Base Rate revolving loans”), at Lamar Media’s option. Term SOFR revolving loans bear interest at a rate per annum equal to the Adjusted Term SOFR Rate plus 1.50% (or the Adjusted Term SOFR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215"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On July 29, 2022, Lamar Media entered into Amendment No. 2 ("Amendment No. 2") to the Fourth Amended and Restated Credit Agreement with certain of Lamar Media's subsidiaries as guarantors, JPMorgan Chase Bank, N.A. as administrative agent and the lenders party thereto. Amendment No. 2 established the Term A loans as a new class of incremental term loans. The Term A loans were set to mature on February 6, 2025 and bore interest based on Term SOFR ("Term SOFR Term A loans") or the Adjusted Base Rate ("Base Rate Term A loans"), at Lamar Media's option. Term SOFR Term A loans bore interest at a rate per annum equal to the Adjusted Term SOFR Rate plus 1.50% (or the Adjusted Term SOFR Rate plus 1.25% at any time the Total Debt Ratio is less than or equal to 3.25 to 1). Base Rate Term A loans bore interest at a rate per annum equal to the Adjusted Base Rate plus 0.50% (or the Adjusted Base Rate plus 0.25% at any time the total debt ratio is less than or equal to 3.25 to 1). The covenants, events of default and other terms of the senior credit facility apply to the Term A loans. Lamar Media borrowed all $350.0 million in Term A loans on July 29, 2022. Proceeds from the Term A loans were used to repay outstanding balances on the revolving credit facility and a portion of the outstanding balance on our Accounts Receivable Securitization Program. The Term A loans were subsequently repaid in full on July 31, 2024.</w:t>
      </w:r>
    </w:p>
    <w:p>
      <w:pPr>
        <w:spacing w:after="0" w:line="2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April 26, 2023, Lamar Media entered into Amendment No. 3 ("Amendment No. 3") to the Fourth Amended and Restated Credit Agreement with certain of Lamar Media's subsidiaries as guarantors, JPMorgan Chase Bank N.A. as administrative agent and the lenders party thereto. Amendment No. 3 replaced the London Interbank Offered Rates as administered by the ICE Benchmark Administration with Term SOFR as the successor rate, as set in the Fourth Amended and Restated Credit Agreement. All other material terms and conditions of the Fourth Amended and Restated Credit Agreement remain unchanged by Amendment No. 3.</w:t>
      </w:r>
    </w:p>
    <w:p>
      <w:pPr>
        <w:spacing w:after="0" w:line="210"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On July 31, 2023, Lamar Media entered into Amendment No. 4 (the “Amendment No. 4”), to the Fourth Amended and Restated Credit Agreement with certain of Lamar Media’s subsidiaries as guarantors, JPMorgan Chase Bank, N.A., as administrative agent and the lenders party thereto. Amendment No. 4 extends the maturity date of Lamar Media’s $750.0 million revolving credit facility such that the revolving credit facility matures July 31, 2028; provided that, if on the date (a "Springing Maturity Test Date") that is 91 days prior to either the then scheduled maturity date of Lamar Media’s Term B loans (which is currently February 6, 2027) or the February 15, 2028 maturity date of Lamar Media’s 3 3/4% Notes, the Company and its restricted subsidiaries do not have sufficient liquidity (defined as unrestricted cash and cash equivalents of the Company and its restricted subsidiaries plus unused commitments under the revolving credit facility) to repay in full the aggregate outstanding amount (including all accrued and unpaid interest, premiums and make-whole amounts (if any)) of the Term B loans or the 3 3/4% Notes (as applicable), the revolving credit facility will mature on such Springing Maturity Test Date. On the maturity date of the revolving credit facility, the entire principal amount of revolving loans outstanding under the revolving credit facility, together with all accrued and unpaid interest on such revolving loans, will be due and payable.</w:t>
      </w:r>
    </w:p>
    <w:p>
      <w:pPr>
        <w:spacing w:after="0" w:line="2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Amendment No. 4 also establishes a $75.0 million swingline as a sublimit of the revolving credit facility, which allows Lamar Media to borrow revolving loans on a same-day basis, in an aggregate outstanding principal amount of up to $75.0 million. In addition, Amendment No. 4 amends the provisions of the Fourth Amended and Restated Credit Agreement related to incremental facilities to allow Lamar Media to establish, from time to time, one or more new incremental revolving facilities on the terms, and subject to the conditions, set forth therein.</w:t>
      </w:r>
    </w:p>
    <w:p>
      <w:pPr>
        <w:spacing w:after="0" w:line="20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June 30, 2025 the aggregate balance outstanding under the senior credit facility was $1.03 billion, consisting of $600.0 million in Term B loans aggregate principal balance and $434.0 million outstanding borrowings under our revolving credit facility. Lamar Media had approximately $307.3 million of unused capacity under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Sources of Liquidity</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Internally Generated Funds. </w:t>
      </w:r>
      <w:r>
        <w:rPr>
          <w:rFonts w:ascii="Times New Roman" w:cs="Times New Roman" w:eastAsia="Times New Roman" w:hAnsi="Times New Roman"/>
          <w:sz w:val="18"/>
          <w:szCs w:val="18"/>
          <w:color w:val="auto"/>
        </w:rPr>
        <w:t>The key factors affecting internally generated cash flow are general economic conditions, specific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in the markets where the Company conducts its business and overall spending on advertising by advertisers. We expect to generate cash flows from operations during 2025 in excess of our cash needs for operations, capital expenditures and dividends, as described herein, and we believe we have sufficient liquidity with cash on hand and availability under our revolving credit facility to meet our operating cash needs for the next twelve months.</w:t>
      </w:r>
    </w:p>
    <w:p>
      <w:pPr>
        <w:spacing w:after="0" w:line="207" w:lineRule="exact"/>
        <w:rPr>
          <w:sz w:val="20"/>
          <w:szCs w:val="20"/>
          <w:color w:val="auto"/>
        </w:rPr>
      </w:pPr>
    </w:p>
    <w:p>
      <w:pPr>
        <w:jc w:val="both"/>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Facilities and Other Debt Securities. </w:t>
      </w:r>
      <w:r>
        <w:rPr>
          <w:rFonts w:ascii="Times New Roman" w:cs="Times New Roman" w:eastAsia="Times New Roman" w:hAnsi="Times New Roman"/>
          <w:sz w:val="18"/>
          <w:szCs w:val="18"/>
          <w:color w:val="auto"/>
        </w:rPr>
        <w:t>The Company and Lamar Media must comply with certain covenants and restrictions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credit facility, its outstanding debt securities and its Accounts Receivable Securitization Program.</w:t>
      </w:r>
    </w:p>
    <w:p>
      <w:pPr>
        <w:spacing w:after="0" w:line="18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Debt Securities. </w:t>
      </w:r>
      <w:r>
        <w:rPr>
          <w:rFonts w:ascii="Times New Roman" w:cs="Times New Roman" w:eastAsia="Times New Roman" w:hAnsi="Times New Roman"/>
          <w:sz w:val="18"/>
          <w:szCs w:val="18"/>
          <w:color w:val="auto"/>
        </w:rPr>
        <w:t>The Company and Lamar Media must comply with certain covenants and restrictions related to its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Currently, Lamar Media has outstanding the $600.0 million 3 3/4% Senior Notes issued February 2020, the $550.0 million 4% Senior Notes issued February 2020 and August 2020, the $400.0 million 4 7/8% Senior Notes issued in May 2020 and the $550.0 million 3 5/8% Senior Notes issued in January 2021.</w:t>
      </w:r>
    </w:p>
    <w:p>
      <w:pPr>
        <w:spacing w:after="0" w:line="209"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to trailing four fiscal quarter EBITDA (as defined in the indentures)) would be less than 7.0 to 1.0. Currently, Lamar Media is not in default under the indentures of any of its outstanding notes and, therefore, would be permitted to incur additional indebtedness subject to the foregoing provision.</w:t>
      </w:r>
    </w:p>
    <w:p>
      <w:pPr>
        <w:spacing w:after="0" w:line="214"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In addition to debt incurred under the provisions described in the preceding paragraph, the indentures relating to Lamar Media’s outstanding notes permit Lamar Media to incur indebtedness pursuant to the following baskets:</w:t>
      </w:r>
    </w:p>
    <w:p>
      <w:pPr>
        <w:spacing w:after="0" w:line="229" w:lineRule="exact"/>
        <w:rPr>
          <w:sz w:val="20"/>
          <w:szCs w:val="20"/>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$2.0 billion of indebtedness under the senior credit facility;</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outstanding on the date of the indentures or debt incurred to refinance outstanding debt;</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debt between Lamar Media and its restricted subsidiaries or between restricted subsidiaries;</w:t>
      </w:r>
    </w:p>
    <w:p>
      <w:pPr>
        <w:spacing w:after="0" w:line="103" w:lineRule="exact"/>
        <w:rPr>
          <w:rFonts w:ascii="Times New Roman" w:cs="Times New Roman" w:eastAsia="Times New Roman" w:hAnsi="Times New Roman"/>
          <w:sz w:val="18"/>
          <w:szCs w:val="18"/>
          <w:color w:val="auto"/>
        </w:rPr>
      </w:pPr>
    </w:p>
    <w:p>
      <w:pPr>
        <w:ind w:left="1140" w:hanging="565"/>
        <w:spacing w:after="0" w:line="352"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purchase money indebtedness and capitalized lease obligations to acquire or lease property in the ordinary course of business that cannot exceed the greater of $50.0 million or 5% of Lamar Media’s net tangible assets;</w:t>
      </w: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debt not to exceed $75.0 million; and</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$500.0 million of permitted securitization financings.</w:t>
      </w:r>
    </w:p>
    <w:p>
      <w:pPr>
        <w:spacing w:after="0" w:line="30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Senior Credit Facility. </w:t>
      </w:r>
      <w:r>
        <w:rPr>
          <w:rFonts w:ascii="Times New Roman" w:cs="Times New Roman" w:eastAsia="Times New Roman" w:hAnsi="Times New Roman"/>
          <w:sz w:val="18"/>
          <w:szCs w:val="18"/>
          <w:color w:val="auto"/>
        </w:rPr>
        <w:t>Lamar Media is required to comply with certain covenants and restrictions under the senior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If the Company or Lamar Media fails to comply with these tests, the lenders under the senior credit facility will be entitled to exercise certain remedies, including the termination of the lending commitments and the acceleration of the debt payments under the senior credit facility. As of June 30, 2025 we were, and currently we are, in compliance with all such tests under the senior credit facility.</w:t>
      </w:r>
    </w:p>
    <w:p>
      <w:pPr>
        <w:spacing w:after="0" w:line="20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Lamar Media must maintain a secured debt ratio, defined as total consolidated secured debt of Lamar Advertising, Lamar Media and its restricted subsidiaries (including capital lease obligations), minus the lesser of (x) $150.0 million and (y) the aggregate amount of unrestricted cash and cash equivalents of Lamar Advertising, Lamar Media and its restricted subsidiaries (other than the Special Purpose Subsidiaries (as defined above under S</w:t>
      </w:r>
      <w:r>
        <w:rPr>
          <w:rFonts w:ascii="Times New Roman" w:cs="Times New Roman" w:eastAsia="Times New Roman" w:hAnsi="Times New Roman"/>
          <w:sz w:val="18"/>
          <w:szCs w:val="18"/>
          <w:i w:val="1"/>
          <w:iCs w:val="1"/>
          <w:color w:val="auto"/>
        </w:rPr>
        <w:t>ources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Cash – Accounts Receivable Securitization Program)) </w:t>
      </w:r>
      <w:r>
        <w:rPr>
          <w:rFonts w:ascii="Times New Roman" w:cs="Times New Roman" w:eastAsia="Times New Roman" w:hAnsi="Times New Roman"/>
          <w:sz w:val="18"/>
          <w:szCs w:val="18"/>
          <w:color w:val="auto"/>
        </w:rPr>
        <w:t>to EBITDA, as defined below, for the period of four consecutive fiscal quarters then ended, of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or equal to 4.5 to 1.0.</w:t>
      </w:r>
    </w:p>
    <w:p>
      <w:pPr>
        <w:spacing w:after="0" w:line="21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Media is restricted from incurring additional indebtedness subject to exceptions, one of which is that it may incur additional indebtedness not exceeding the greater of $250.0 million or 6% of its total assets.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4" w:name="page45"/>
    <w:bookmarkEnd w:id="44"/>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Lamar Media is also restricted from incurring additional unsecured senior indebtedness under certain circumstances unless, after giving effect to the incurrence of such indebtedness, Lamar Media would have a total debt ratio, defined as (x) total consolidated debt (including subordinated debt) of Lamar Advertising, Lamar Media and its restricted subsidiaries as of any date minus the lesser of (i) $150.0 million and (ii) the aggregate amount of unrestricted cash and cash equivalents of Lamar Advertising, Lamar Media and its restricted subsidiaries (other than the Special Purpose Subsidiaries) to (y) EBITDA, as defined below, for the most recent four fiscal quarters then ended, of less than 7.0 to 1.0.</w:t>
      </w:r>
    </w:p>
    <w:p>
      <w:pPr>
        <w:spacing w:after="0" w:line="21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Media is also restricted from incurring additional subordinated indebtedness under certain circumstances unless, after giving effect to the incurrence of such indebtedness, it is in compliance with the secured debt ratio covenant and its total debt ratio is less than 7.0 to 1.0.</w:t>
      </w:r>
    </w:p>
    <w:p>
      <w:pPr>
        <w:spacing w:after="0" w:line="189" w:lineRule="exact"/>
        <w:rPr>
          <w:sz w:val="20"/>
          <w:szCs w:val="20"/>
          <w:color w:val="auto"/>
        </w:rPr>
      </w:pPr>
    </w:p>
    <w:p>
      <w:pPr>
        <w:jc w:val="both"/>
        <w:ind w:firstLine="567"/>
        <w:spacing w:after="0" w:line="252" w:lineRule="auto"/>
        <w:rPr>
          <w:sz w:val="20"/>
          <w:szCs w:val="20"/>
          <w:color w:val="auto"/>
        </w:rPr>
      </w:pPr>
      <w:r>
        <w:rPr>
          <w:rFonts w:ascii="Times New Roman" w:cs="Times New Roman" w:eastAsia="Times New Roman" w:hAnsi="Times New Roman"/>
          <w:sz w:val="18"/>
          <w:szCs w:val="18"/>
          <w:color w:val="auto"/>
        </w:rPr>
        <w:t>Under the senior credit facility, as amended, “EBITDA” means, for any period, net income, plus (a) to the extent deducted in determining net income for such period, the sum determined without duplication and in accordance with GAAP, of (i) taxes, (ii) interest expense, (iii) depreciation, (iv) amortization, (v) any other non-cash income or charges accrued for such period, (vi) charges and expenses in connection with the senior credit facility, any actual or proposed acquisition, disposition or investment (excluding, in each case, purchases and sales of advertising space and operating assets in the ordinary course of business) and any actual or proposed offering of securities, incurrence or repayment of indebtedness (or amendment to any agreement relating to indebtedness), including any refinancing thereof, or recapitalization, (vii) any loss or gain relating to amounts paid or earned in cash prior to the stated settlement date of any swap agreement that has been reflected in operating income for such period, and (viii) any loss on sales of receivables and related assets to a securitization entity in connection with a permitted securitization financing, plus (b) the amount of cost savings, operating expense reductions and other operating improvements or synergies projected by Lamar Media in good faith to be realized as a result of any acquisition, investment, merger, amalgamation or disposition within 18 months of any such acquisition, investment, merger, amalgamation or disposition, net of the amount of actual benefits realized during such period from such action; provided, (A) the aggregate amount for all such cost savings, operating expense reductions and other operating improvements or synergies will not exceed an amount equal to 15% of EBITDA for the applicable four quarter period and (B) any such adjustment to EBITDA pursuant to this clause (b) may only take into account cost savings, operating expense reductions and other operating improvements or synergies that are (I) directly attributable to such acquisition, investment, merger, amalgamation or disposition, (II) expected to have a continuing impact on Lamar Media and its restricted subsidiaries and (III) factually supportable, in each case all as certified by the chief financial officer of Lamar Media on behalf of Lamar Media, minus (c) to the extent included in net income for such period (determined without duplication and in accordance with GAAP) (i) any extraordinary and unusual gains or losses during such period, and (ii) the proceeds of any casualty events and dispositions. For purposes of this EBITDA definition, the effect thereon of any adjustments required under Statement of Financial Accounting Standards No. 141R shall be excluded. If during any period for which EBITDA is being determined, Lamar Media has consummated any acquisition or disposition, EBITDA will be determined on a pro forma basis as if such acquisition or disposition had been made or consummated on the first day of such period.</w:t>
      </w:r>
    </w:p>
    <w:p>
      <w:pPr>
        <w:spacing w:after="0" w:line="21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Under the senior credit facility, "net income" means for any period, the consolidated net income (or loss) of Lamar Advertising, Lamar Media, and its restricted subsidiaries, determined on a consolidated basis in accordance with GAAP; provided that the following is excluded from net income: (a) the income (or deficit) of any person accrued prior to the date it becomes a restricted subsidiary or is merged into or consolidated with Lamar Advertising, Lamar Media or any of its restricted subsidiaries, and (b) the income (or deficit) of any person (other than any of our restricted subsidiaries) in which Lamar Advertising, Lamar Media or any of its subsidiaries has an ownership interest, except to the extent that any such income is received by Lamar Advertising, Lamar Media or any of its restricted subsidiaries in the form of dividends or similar distributions.</w:t>
      </w:r>
    </w:p>
    <w:p>
      <w:pPr>
        <w:spacing w:after="0" w:line="214"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Company believes that its current level of cash on hand, availability under the senior credit facility and future cash flows from operations are sufficient to meet its operating needs for the next twelve months. All debt obligations are reflected on the Company’s balance sheet.</w:t>
      </w:r>
    </w:p>
    <w:p>
      <w:pPr>
        <w:spacing w:after="0" w:line="18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Restrictions under Accounts Receivable Securitization Program. </w:t>
      </w:r>
      <w:r>
        <w:rPr>
          <w:rFonts w:ascii="Times New Roman" w:cs="Times New Roman" w:eastAsia="Times New Roman" w:hAnsi="Times New Roman"/>
          <w:sz w:val="18"/>
          <w:szCs w:val="18"/>
          <w:color w:val="auto"/>
        </w:rPr>
        <w:t>The agreements governing the Accounts Receivable Securitization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 customary representations and warranties, affirmative and negative covenants, and termination event provisions, including but not limited to those providing for the acceleration of amounts owed under the Accounts Receivable Securitization Program if, among other things, the Special Purpose Subsidiaries fail to make payments when due, Lamar Media, the Subsidiary Originators or the Special Purpose Subsidiaries become insolvent or subject to bankruptcy proceedings or certain judicial judgments, breach certain representations and warranties or covenants or default under other material indebtedness, a change of control occurs, or if Lamar Media fails to maintain the maximum secured debt ratio of 4.5 to 1.0 required under the senior credit facility.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Cash</w:t>
      </w:r>
    </w:p>
    <w:p>
      <w:pPr>
        <w:spacing w:after="0" w:line="254" w:lineRule="exact"/>
        <w:rPr>
          <w:sz w:val="20"/>
          <w:szCs w:val="20"/>
          <w:color w:val="auto"/>
        </w:rPr>
      </w:pPr>
    </w:p>
    <w:p>
      <w:pPr>
        <w:jc w:val="both"/>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Capital expenditures, excluding acquisitions, were approximately $68.1 million for the six months ended June 30, 2025.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anticipate our 2025 total capital expenditures will be approximately $180.0 million.</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During the six months ended June 30, 2025, the Company completed acquisitions for an aggregate purchase price of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$87.1 million, which were financed using available cash on hand.</w:t>
      </w:r>
    </w:p>
    <w:p>
      <w:pPr>
        <w:spacing w:after="0" w:line="185"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On February 19, 2025, the Company's Board of Directors declared a quarterly cash dividend of $1.55 per share, paid on March 28,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its stockholders of record of its Class A common stock and Class B common stock on March 14, 2025. On May 15, 2025, the Company's Board of Directors declared a quarterly cash dividend of $1.55 per share, paid on June 30, 2025 to its stockholders of record of its Class A common stock and Class B common stock on June 16, 2025. Subject to approval of the Company's Board of Directors, the Company expects aggregate quarterly distributions to stockholders in 2025 will be at least $6.20 per share of common stock, including the dividends paid on March 28, 2025 and June 30, 2025.</w:t>
      </w:r>
    </w:p>
    <w:p>
      <w:pPr>
        <w:spacing w:after="0" w:line="212"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As a REIT, 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TRSs, the impact of general economic conditions on the Company’s operations and other factors that the Board of Directors may deem relevant. The foregoing factors may also impact management’s recommendations to the Board of Directors as to the timing, amount and frequency of future distributions.</w:t>
      </w:r>
    </w:p>
    <w:p>
      <w:pPr>
        <w:spacing w:after="0" w:line="213"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 and Debt Repurchasing Program. </w:t>
      </w:r>
      <w:r>
        <w:rPr>
          <w:rFonts w:ascii="Times New Roman" w:cs="Times New Roman" w:eastAsia="Times New Roman" w:hAnsi="Times New Roman"/>
          <w:sz w:val="18"/>
          <w:szCs w:val="18"/>
          <w:color w:val="auto"/>
        </w:rPr>
        <w:t>Prior to May 15, 2025, the Company’s Board of Directors had authorized the repurchase of up to $250.0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the Company’s Class A common stock. Additionally, the Board of Directors has authorized Lamar Media to repurchase up to $250.0 million in outstanding senior or senior subordinated notes and other indebtedness outstanding from time to time under its senior credit agreement. On September 24, 2024, the Board of Directors authorized the extension of the repurchase program through March 31, 2026. On May 15, 2025, the Company's Board of Directors approved the increase of the amount authorized under the Stock Repurchase Program by $150.0 million, bringing the total amount authorized under the Program to $400.0 million. The Company’s management may opt not to make any repurchases under the program, or may make aggregate purchases less than the total amount authorized. During the six months ended June 30, 2025, the Company repurchased 1,388,091 shares of the Company's Class A common stock outstanding for a total purchase price of $150.0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Our expected material cash requirements for the twelve months following June 30, 2025 and thereafter are comprised of contractual obligations, required annual distributions and other opportunistic expenditures.</w:t>
      </w:r>
    </w:p>
    <w:p>
      <w:pPr>
        <w:spacing w:after="0" w:line="187" w:lineRule="exact"/>
        <w:rPr>
          <w:sz w:val="20"/>
          <w:szCs w:val="20"/>
          <w:color w:val="auto"/>
        </w:rPr>
      </w:pPr>
    </w:p>
    <w:p>
      <w:pPr>
        <w:jc w:val="both"/>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Debt and Contractual Obligations. </w:t>
      </w:r>
      <w:r>
        <w:rPr>
          <w:rFonts w:ascii="Times New Roman" w:cs="Times New Roman" w:eastAsia="Times New Roman" w:hAnsi="Times New Roman"/>
          <w:sz w:val="18"/>
          <w:szCs w:val="18"/>
          <w:color w:val="auto"/>
        </w:rPr>
        <w:t>The following table summarizes our future debt maturities, interest payment obligations, and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including required payments under operating and financing leases as of June 30,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20" w:type="dxa"/>
            <w:vAlign w:val="bottom"/>
          </w:tcPr>
          <w:p>
            <w:pPr>
              <w:spacing w:after="0"/>
              <w:rPr>
                <w:sz w:val="16"/>
                <w:szCs w:val="16"/>
                <w:color w:val="auto"/>
              </w:rPr>
            </w:pPr>
          </w:p>
        </w:tc>
        <w:tc>
          <w:tcPr>
            <w:tcW w:w="11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37"/>
        </w:trPr>
        <w:tc>
          <w:tcPr>
            <w:tcW w:w="2440" w:type="dxa"/>
            <w:vAlign w:val="bottom"/>
            <w:tcBorders>
              <w:bottom w:val="single" w:sz="8" w:color="CCEEFF"/>
            </w:tcBorders>
          </w:tcPr>
          <w:p>
            <w:pPr>
              <w:spacing w:after="0"/>
              <w:rPr>
                <w:sz w:val="3"/>
                <w:szCs w:val="3"/>
                <w:color w:val="auto"/>
              </w:rPr>
            </w:pPr>
          </w:p>
        </w:tc>
        <w:tc>
          <w:tcPr>
            <w:tcW w:w="60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64"/>
        </w:trPr>
        <w:tc>
          <w:tcPr>
            <w:tcW w:w="8480" w:type="dxa"/>
            <w:vAlign w:val="bottom"/>
            <w:gridSpan w:val="2"/>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Debt maturities</w:t>
            </w:r>
            <w:r>
              <w:rPr>
                <w:rFonts w:ascii="Times New Roman" w:cs="Times New Roman" w:eastAsia="Times New Roman" w:hAnsi="Times New Roman"/>
                <w:sz w:val="28"/>
                <w:szCs w:val="28"/>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3,363.3</w:t>
            </w:r>
          </w:p>
        </w:tc>
      </w:tr>
      <w:tr>
        <w:trPr>
          <w:trHeight w:val="270"/>
        </w:trPr>
        <w:tc>
          <w:tcPr>
            <w:tcW w:w="848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18"/>
                <w:szCs w:val="18"/>
                <w:color w:val="auto"/>
              </w:rPr>
              <w:t>Interest obligations on long-term debt</w:t>
            </w:r>
            <w:r>
              <w:rPr>
                <w:rFonts w:ascii="Times New Roman" w:cs="Times New Roman" w:eastAsia="Times New Roman" w:hAnsi="Times New Roman"/>
                <w:sz w:val="28"/>
                <w:szCs w:val="28"/>
                <w:color w:val="auto"/>
                <w:vertAlign w:val="superscript"/>
              </w:rPr>
              <w:t>(2)</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w:t>
            </w:r>
          </w:p>
        </w:tc>
      </w:tr>
      <w:tr>
        <w:trPr>
          <w:trHeight w:val="27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obligations, including operating and financing leases</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1,833.9</w:t>
            </w:r>
          </w:p>
        </w:tc>
      </w:tr>
      <w:tr>
        <w:trPr>
          <w:trHeight w:val="264"/>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payments due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5,666.3</w:t>
            </w:r>
          </w:p>
        </w:tc>
      </w:tr>
      <w:tr>
        <w:trPr>
          <w:trHeight w:val="20"/>
        </w:trPr>
        <w:tc>
          <w:tcPr>
            <w:tcW w:w="24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2440" w:type="dxa"/>
            <w:vAlign w:val="bottom"/>
            <w:tcBorders>
              <w:bottom w:val="single" w:sz="8" w:color="auto"/>
            </w:tcBorders>
          </w:tcPr>
          <w:p>
            <w:pPr>
              <w:spacing w:after="0"/>
              <w:rPr>
                <w:sz w:val="14"/>
                <w:szCs w:val="14"/>
                <w:color w:val="auto"/>
              </w:rPr>
            </w:pPr>
          </w:p>
        </w:tc>
        <w:tc>
          <w:tcPr>
            <w:tcW w:w="6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67"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maturities assume there is no refinancing prior to the existing maturity date and is based on contractual maturities.</w:t>
      </w:r>
    </w:p>
    <w:p>
      <w:pPr>
        <w:spacing w:after="0" w:line="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rates on our variable rate instruments assume rates at the June 30, 2025 levels.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6" w:name="page47"/>
    <w:bookmarkEnd w:id="46"/>
    <w:p>
      <w:pPr>
        <w:jc w:val="both"/>
        <w:ind w:firstLine="56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Required Annual Distributions. </w:t>
      </w:r>
      <w:r>
        <w:rPr>
          <w:rFonts w:ascii="Times New Roman" w:cs="Times New Roman" w:eastAsia="Times New Roman" w:hAnsi="Times New Roman"/>
          <w:sz w:val="18"/>
          <w:szCs w:val="18"/>
          <w:color w:val="auto"/>
        </w:rPr>
        <w:t>As a REIT, the Company must annually distribute to its stockholders an amount equal to at least 90% of its REIT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taxable income (determined before the deduction for distributed earnings and excluding any net capital gain).On February 19, 2025, the Company's Board of Directors declared a quarterly cash dividend of $1.55 per share, paid on March 28, 2025 to its stockholders of record of its Class A common stock and Class B common stock on March 14, 2025. On May 15, 2025, the Company's Board of Directors declared a quarterly cash dividend of $1.55 per share, paid on June 30, 2025 to its stockholders of record of its Class A common stock and Class B common stock on June 16, 2025. Subject to approval of the Company's Board of Directors, the Company expects aggregate quarterly distributions to stockholders in 2025 will be at least $6.20 per share of common stock, including the dividends paid on March 28, 2025 and June 30, 2025.</w:t>
      </w:r>
    </w:p>
    <w:p>
      <w:pPr>
        <w:spacing w:after="0" w:line="21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Opportunistic Expenditures. </w:t>
      </w:r>
      <w:r>
        <w:rPr>
          <w:rFonts w:ascii="Times New Roman" w:cs="Times New Roman" w:eastAsia="Times New Roman" w:hAnsi="Times New Roman"/>
          <w:sz w:val="18"/>
          <w:szCs w:val="18"/>
          <w:color w:val="auto"/>
        </w:rPr>
        <w:t>As part of our capital allocation strategy, we plan to continue to allocate our available capital among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alternatives that meet our return on investment criteria. We will continue to reinvest in our existing assets and expand our outdoor advertising display portfolio through new construction. We will also continue to pursue strategic acquisitions of outdoor advertising businesses and assets. This includes acquisitions in our existing markets and in new markets where we can meet our return on investment criteria.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Company's cash flows provided by operating activities decreased $9.7 million from $366.9 million for the six months ended June 30, 2024 to $357.2 million for the six months ended June 30, 2025, primarily resulting from a decrease in collections on receivables as compared to the same period in 2024.</w:t>
      </w:r>
    </w:p>
    <w:p>
      <w:pPr>
        <w:spacing w:after="0" w:line="20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for six months ended June 30, 2025 was $33.8 million as compared to cash flows used in investing activities for the six months ended June 30, 2024 of $76.7 million. This change was primarily due to increases in acquisitions and capital expenditures during 2025, offset by proceeds from the sale of the Company's equity investment in Vistar Media, Inc. of $115.1 million during 2025.</w:t>
      </w:r>
    </w:p>
    <w:p>
      <w:pPr>
        <w:spacing w:after="0" w:line="20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Company's cash flows used in financing activities were $317.5 million for the six months ended June 30, 2025 as compared to $256.7 million for the six months ended June 30, 2024. The cash flows used in financing activities of $317.5 million for the six months ended June 30, 2025 is primarily due to cash paid for dividends and distributions and cash used for stock repurchases, offset by borrowings on the revolving credit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results of operations and liquidity and capital resources are based on our condensed consolidated financial statements, which have been prepared in accordance with GAAP. The preparation of these financial statements requires us to make estimates and judgments that affect the reported amounts of assets, liabilities, revenues and expenses. There have been no material changes to the critical accounting policies and estimates as previously disclosed in Item 7 of our 2024 Combined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and Regulatory Update</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See Note 13, "New Accounting Pronouncements" to our condensed consolidated financial statements included in Part 1, Item 1 of this report for a discussion of our Accounting Standards and Regulatory Update.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Lamar Media for the three and six months ended June 30, 2025 and 2024. This discussion should be read in conjunction with the consolidated financial statements of Lamar Media and the related notes thereto.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to six months ended June 30, 2024</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increased $21.3 million or 2.0% to $1.08 billion for the six months ended June 30, 2025 from $1.06 billion for the same period in 2024. This increase was primarily attributable to an increase in billboard net revenues of $15.7 million, an increase in transit net revenues of $3.0 million, and an increase in logo net revenues of $2.6 million over the same period in 2024.</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47" w:name="page48"/>
    <w:bookmarkEnd w:id="47"/>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2025, there was a $16.3 million increase in net revenues as compared to acquisition-adjusted net revenues for the six months ended June 30, 2024, which represents an increase of 1.5%. See "Reconciliations" below. The $16.3 million increase in revenue is primarily due to an increase of $13.6 million in billboard net revenues, an increase of $1.8 million in logo net revenues, and an increase in transit net revenues of $0.9 million over the same period in 2024.</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and investments, increased $8.8 million, or 1.4%, to $613.6 million for the six months ended June 30, 2025 from $604.8 million for the same period in 2024. The $8.8 million increase over the prior year is comprised of a $16.6 million increase in total direct, general and administrative and corporate expenses (excluding stock-based compensation) primarily related to the operations of our outdoor advertising assets, offset by a $7.9 million decrease in stock-based compensation.</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$3.5 million to $155.9 million for the six months ended June 30, 2025 as compared to $152.4 million for the same period in 2024, primarily related to acquisitions and capital expenditures completed in the last twelve months.</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Lamar Media recognized a gain on disposition of assets and investments of $74.0 million, primarily resulting from the sale of Lamar's equity interest in Vistar Media, Inc., as well as transactions related to the sale of real estate and billboard locations and displays.</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$80.0 million to $389.2 million for the six months ended June 30, 2025 as compared to $309.1 million for the same period in 2024.</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Interest expense decreased $9.8 million for the six months ended June 30, 2025 to $79.0 million as compared to $88.8 million for the six months ended June 30, 2024. The decrease was primarily due to the repayment of the Term A loans outstanding under the senior credit facility in July of 2024 as well as a decrease in interest rates on the senior credit facility and Accounts Receivable Securitization Program.</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Equity in (earnings) loss of investee was $(0.2) million and $0.6 million for the six months ended June 30, 2025 and 2024, respectively.</w:t>
      </w:r>
    </w:p>
    <w:p>
      <w:pPr>
        <w:spacing w:after="0" w:line="25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as well as the decrease in interest expense, resulted in a $90.6 million increase in income before income tax expense. The effective tax rate for the six months ended June 30, 2025 was 5.4%, which differs from the federal statutory rate primarily due to our qualification for taxation as a REIT and adjustments for foreign items.</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Lamar Media recognized net income for the six months ended June 30, 2025 of $294.5 million, as compared to net income of $216.4 million for the same period in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2023 have contributed to our net revenues results for the periods presented, we provide 2024 acquisition-adjusted net revenue, which adjusts our 2024 net revenues for the six months ended June 30, 2024 by adding to or subtracting from it the net revenue generated by the acquired or divested assets prior to our acquisition or divestiture of these assets for the same time frame that those assets were owned in the six months ended June 30, 2025.</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Reconciliations of 2024 reported net revenue to 2024 acquisition-adjusted net revenues for the six months ended June 30, as well as a comparison of 2024 acquisition-adjusted net revenues to 2025 reported net revenue for the six months ended June 30, are provided below:</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30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1,084,741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1,063,401</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revenues</w:t>
            </w: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1,084,741</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1,068,422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7"/>
                <w:szCs w:val="17"/>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7"/>
                <w:szCs w:val="17"/>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loss of investee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488,863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483,795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Adjusted EBITDA for the six months ended June 30, 2025 increased 1.0% to $488.9 million. The increase in adjusted EBITDA was primarily attributable to an increase in our gross margin (net revenue less direct advertising expense, exclusive of depreciation and amortization and capitalized contract fulfillment costs, net) of $13.1 million, offset by an increase in total general and administrative and corporate expenses of $8.8 million, excluding the impact of stock-based compensation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Segmented 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2440" w:type="dxa"/>
            <w:vAlign w:val="bottom"/>
          </w:tcPr>
          <w:p>
            <w:pPr>
              <w:spacing w:after="0"/>
              <w:rPr>
                <w:sz w:val="3"/>
                <w:szCs w:val="3"/>
                <w:color w:val="auto"/>
              </w:rPr>
            </w:pPr>
          </w:p>
        </w:tc>
        <w:tc>
          <w:tcPr>
            <w:tcW w:w="3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2440" w:type="dxa"/>
            <w:vAlign w:val="bottom"/>
            <w:tcBorders>
              <w:bottom w:val="single" w:sz="8" w:color="CCEEFF"/>
            </w:tcBorders>
          </w:tcPr>
          <w:p>
            <w:pPr>
              <w:spacing w:after="0"/>
              <w:rPr>
                <w:sz w:val="3"/>
                <w:szCs w:val="3"/>
                <w:color w:val="auto"/>
              </w:rPr>
            </w:pPr>
          </w:p>
        </w:tc>
        <w:tc>
          <w:tcPr>
            <w:tcW w:w="3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adjusted EBITDA</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488,863</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483,795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
        </w:trPr>
        <w:tc>
          <w:tcPr>
            <w:tcW w:w="2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auto"/>
            </w:tcBorders>
          </w:tcPr>
          <w:p>
            <w:pPr>
              <w:spacing w:after="0"/>
              <w:rPr>
                <w:sz w:val="14"/>
                <w:szCs w:val="14"/>
                <w:color w:val="auto"/>
              </w:rPr>
            </w:pPr>
          </w:p>
        </w:tc>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Logo and transit advertising do not meet the criteria to be reportable segments, and accordingly, are included in Other.</w:t>
      </w:r>
    </w:p>
    <w:p>
      <w:pPr>
        <w:spacing w:after="0" w:line="23" w:lineRule="exact"/>
        <w:rPr>
          <w:rFonts w:ascii="Times New Roman" w:cs="Times New Roman" w:eastAsia="Times New Roman" w:hAnsi="Times New Roman"/>
          <w:sz w:val="16"/>
          <w:szCs w:val="16"/>
          <w:color w:val="auto"/>
        </w:rPr>
      </w:pPr>
    </w:p>
    <w:p>
      <w:pPr>
        <w:ind w:left="340" w:hanging="332"/>
        <w:spacing w:after="0" w:line="257"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49" w:name="page50"/>
    <w:bookmarkEnd w:id="49"/>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Adjusted EBITDA for the six months ended June 30, 2025 increased 1.0% to $488.9 million. The increase in adjusted EBITDA was primarily attributable to the increase in our billboard advertising adjusted EBITDA of $5.8 million, offset by a decrease in other adjusted EBITDA of $0.4 million and an increase in corporate expenses of $0.3 million, excluding the impact of stock-based compensation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55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and investments,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3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389,849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372,073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firstLine="567"/>
        <w:spacing w:after="0" w:line="261" w:lineRule="auto"/>
        <w:rPr>
          <w:sz w:val="20"/>
          <w:szCs w:val="20"/>
          <w:color w:val="auto"/>
        </w:rPr>
      </w:pPr>
      <w:r>
        <w:rPr>
          <w:rFonts w:ascii="Times New Roman" w:cs="Times New Roman" w:eastAsia="Times New Roman" w:hAnsi="Times New Roman"/>
          <w:sz w:val="18"/>
          <w:szCs w:val="18"/>
          <w:color w:val="auto"/>
        </w:rPr>
        <w:t>FFO for the six months ended June 30, 2025 increased from $358.1 million in 2024 to $381.7 million for the same period in 2025, an increase of 6.6%. AFFO for the six months ended June 30, 2025 increased 4.8% to $389.8 million as compared to $372.1 million for the same period in 2024. The increase in AFFO was primarily attributable to an increase in our gross margin (net revenue less direct advertising expense, exclusive of depreciation and amortization and capitalized contract fulfillment costs, net) as well as a decrease in interest expense for the six months ended June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to three months ended June 30, 2024</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increased $14.1 million or 2.5% to $579.3 million for the three months ended June 30, 2025 from $565.3 million for the same period in 2024. This increase was primarily attributable to an increase in billboard net revenues of $10.2 million, an increase in transit net revenues of $2.2 million, and an increase in logo net revenues of $1.7 million over the same period in 2024.</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2025, there was a $10.9 million increase in net revenues as compared to acquisition-adjusted net revenues for the three months ended June 30, 2024, which represents an increase of 1.9%. See "Reconciliations" below. The $10.9 million increase in revenue is primarily due to an increase of $8.4 million in billboard net revenues, an increase of $1.3 million in logo net revenues, and an increase in transit net revenues of $1.2 million over the same period in 2024.</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and investments, increased $3.1 million, or 1.0%, to $307.5 million for the three months ended June 30, 2025 from $304.5 million for the same period in 2024. The $3.1 million increase over the prior year is comprised of a $7.1 million increase in total direct, general and administrative and corporate expenses (excluding stock-based compensation) primarily related to the operations of our outdoor advertising assets, offset by a $4.0 million decrease in stock-based compensation.</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$0.9 million to $78.1 million for the three months ended June 30, 2025 as compared to $77.2 million for the same period in 2024, primarily related to acquisitions and capital expenditures completed in the last twelve months.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0" w:name="page51"/>
    <w:bookmarkEnd w:id="50"/>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2025, Lamar Media recognized a gain on disposition of assets and investments of $4.2 million, primarily resulting from transactions related to the sale of real estate and billboard locations and displays.</w:t>
      </w:r>
    </w:p>
    <w:p>
      <w:pPr>
        <w:spacing w:after="0" w:line="18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$13.4 million to $197.8 million for the three months ended June 30, 2025 as compared to $184.4 million for the same period in 2024.</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Interest expense decreased $3.6 million for the three months ended June 30, 2025 to $40.7 million as compared to $44.3 million for the three months ended June 30, 2024 primarily due to the repayment of the Term A loans outstanding under the senior credit facility in July of 2024 as well as a decrease in interest rates on the senior credit facility and Accounts Receivable Securitization Program.</w:t>
      </w:r>
    </w:p>
    <w:p>
      <w:pPr>
        <w:spacing w:after="0" w:line="20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offset by the decrease in interest expense, resulted in a $16.9 million increase in income before income tax expense. The effective tax rate for the three months ended June 30, 2025 was 1.5%, which differs from the federal statutory rate primarily due to our qualification for taxation as a REIT and adjustments for foreign items.</w:t>
      </w:r>
    </w:p>
    <w:p>
      <w:pPr>
        <w:spacing w:after="0" w:line="203"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Lamar Media recognized net income for the three months ended June 30, 2025 of $155.2 million, as compared to net income of $137.8 million for the same period in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2023 have contributed to our net revenue results for the periods presented, we provide 2024 acquisition-adjusted net revenue, which adjusts our 2024 net revenue for the three months ended June 30, 2024 by adding to or subtracting from it the net revenue generated by the acquired or divested assets prior to our acquisition or divestiture of these assets for the same time frame that those assets were owned in the three months ended June 30, 2025.</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Reconciliations of 2024 reported net revenue to 2024 acquisition-adjusted net revenues for the three months ended June 30, as well as a comparison of 2024 acquisition-adjusted net revenues to 2025 reported net revenue for the three months ended June 30, are provided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30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565,251</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revenues</w:t>
            </w: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579,311</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568,382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(earnings) of investee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278,533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271,735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June 30, 2025 increased 2.5% to $278.5 million. The increase in adjusted EBITDA was primarily attributable to an increase in our gross margin (net revenue less direct advertising expense, exclusive of depreciation and amortization and capitalized contract fulfillment costs, net) of $10.4 million offset by an increase in total general and administrative and corporate expenses of $3.6 million, excluding the impact of stock-based compensation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Segmented 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50"/>
        </w:trPr>
        <w:tc>
          <w:tcPr>
            <w:tcW w:w="2440" w:type="dxa"/>
            <w:vAlign w:val="bottom"/>
          </w:tcPr>
          <w:p>
            <w:pPr>
              <w:spacing w:after="0"/>
              <w:rPr>
                <w:sz w:val="4"/>
                <w:szCs w:val="4"/>
                <w:color w:val="auto"/>
              </w:rPr>
            </w:pPr>
          </w:p>
        </w:tc>
        <w:tc>
          <w:tcPr>
            <w:tcW w:w="31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2440" w:type="dxa"/>
            <w:vAlign w:val="bottom"/>
            <w:tcBorders>
              <w:bottom w:val="single" w:sz="8" w:color="CCEEFF"/>
            </w:tcBorders>
          </w:tcPr>
          <w:p>
            <w:pPr>
              <w:spacing w:after="0"/>
              <w:rPr>
                <w:sz w:val="3"/>
                <w:szCs w:val="3"/>
                <w:color w:val="auto"/>
              </w:rPr>
            </w:pPr>
          </w:p>
        </w:tc>
        <w:tc>
          <w:tcPr>
            <w:tcW w:w="3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adjusted EBITDA</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278,533</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271,735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440" w:type="dxa"/>
            <w:vAlign w:val="bottom"/>
            <w:tcBorders>
              <w:bottom w:val="single" w:sz="8" w:color="auto"/>
            </w:tcBorders>
          </w:tcPr>
          <w:p>
            <w:pPr>
              <w:spacing w:after="0"/>
              <w:rPr>
                <w:sz w:val="13"/>
                <w:szCs w:val="13"/>
                <w:color w:val="auto"/>
              </w:rPr>
            </w:pPr>
          </w:p>
        </w:tc>
        <w:tc>
          <w:tcPr>
            <w:tcW w:w="3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Logo and transit advertising do not meet the criteria to be reportable segments, and accordingly, are included in Other.</w:t>
      </w:r>
    </w:p>
    <w:p>
      <w:pPr>
        <w:spacing w:after="0" w:line="23" w:lineRule="exact"/>
        <w:rPr>
          <w:rFonts w:ascii="Times New Roman" w:cs="Times New Roman" w:eastAsia="Times New Roman" w:hAnsi="Times New Roman"/>
          <w:sz w:val="16"/>
          <w:szCs w:val="16"/>
          <w:color w:val="auto"/>
        </w:rPr>
      </w:pPr>
    </w:p>
    <w:p>
      <w:pPr>
        <w:ind w:left="340" w:hanging="332"/>
        <w:spacing w:after="0" w:line="275"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pacing w:after="0" w:line="19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Adjusted EBITDA for the three months ended June 30, 2025 increased 2.5% to $278.5 million. The increase in adjusted EBITDA was primarily attributable to the increase in our billboard advertising adjusted EBITDA of $7.3 million and an increase in other adjusted EBITDA of $0.7 million, offset by an increase in corporate expenses of $1.2 million, excluding the impact of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225,492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209,454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expense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225,432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213,698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firstLine="567"/>
        <w:spacing w:after="0" w:line="261" w:lineRule="auto"/>
        <w:rPr>
          <w:sz w:val="20"/>
          <w:szCs w:val="20"/>
          <w:color w:val="auto"/>
        </w:rPr>
      </w:pPr>
      <w:r>
        <w:rPr>
          <w:rFonts w:ascii="Times New Roman" w:cs="Times New Roman" w:eastAsia="Times New Roman" w:hAnsi="Times New Roman"/>
          <w:sz w:val="18"/>
          <w:szCs w:val="18"/>
          <w:color w:val="auto"/>
        </w:rPr>
        <w:t>FFO for the three months ended June 30, 2025 increased from $209.5 million in 2024 to $225.5 million for the same period in 2025, an increase of 7.7%. AFFO for the three months ended June 30, 2025 increased 5.5% to $225.4 million as compared to $213.7 million for the same period in 2024. The increase in AFFO was primarily attributable to an increase in our gross margin (net revenue less direct advertising expense, exclusive of depreciation and amortization and capitalized contract fulfillment costs, net) of $10.4 million.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Lamar Advertising Company and Lamar Media Corp.</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Lamar Advertising is exposed to interest rate risk in connection with variable rate debt instruments issued by its wholly owned subsidiary Lamar Media. The information below summarizes the Company’s interest rate risk associated with its principal variable rate debt instruments outstanding at June 30, 2025, and should be read in conjunction with Note 10 of the Notes to the Company’s Condensed Consolidated Financial Statements.</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Lamar Media has variable-rate debt outstanding under its senior credit facility and its Accounts Receivable Securitization Program. Because interest rates may increase or decrease at any time, the Company is exposed to market risk as a result of the impact that changes in interest rates may have on the applicable borrowings outstanding. Increases in the interest rates applicable to these borrowings would result in increased interest expense and a reduction in the Company’s net income.</w:t>
      </w:r>
    </w:p>
    <w:p>
      <w:pPr>
        <w:spacing w:after="0" w:line="20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At June 30, 2025 there was approximately $1.28 billion of indebtedness outstanding under the senior credit facility and the Accounts Receivable Securitization Program, or approximately 37.9% of the Company’s outstanding long-term debt on that date, bearing interest at variable rates. The aggregate interest expense for 2025 with respect to borrowings under the senior credit facility and the Accounts Receivable Securitization Program was $32.9 million, and the weighted average interest rate applicable to these borrowings during 2025 was 5.7%. Assuming that the weighted average interest rate was 200 basis points higher (that is 7.7% rather than 5.7%), then the Company’s 2025 interest expense would have increased by approximately $11.3 million for the six months ended June 30, 2025.</w:t>
      </w:r>
    </w:p>
    <w:p>
      <w:pPr>
        <w:spacing w:after="0" w:line="214"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attempts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 interest rates applicable to its borrowings at an amount equal to the Adjusted Term SOFR Rate (as applicable),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that it may take to mitigate this risk will be feasible or that, if these actions are taken, that they will be effective.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4" w:lineRule="exact"/>
        <w:rPr>
          <w:sz w:val="20"/>
          <w:szCs w:val="20"/>
          <w:color w:val="auto"/>
        </w:rPr>
      </w:pPr>
    </w:p>
    <w:p>
      <w:pPr>
        <w:ind w:left="560" w:hanging="552"/>
        <w:spacing w:after="0"/>
        <w:tabs>
          <w:tab w:leader="none" w:pos="56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254"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of the Company and Lamar Media concluded that these disclosure controls and procedures are effective and designed to ensure that the information required to be disclosed in the Company’s and Lamar Media’s reports filed or submitted under the Exchange Act is recorded, processed, summarized and reported within the requisite time periods.</w:t>
      </w:r>
    </w:p>
    <w:p>
      <w:pPr>
        <w:spacing w:after="0" w:line="214" w:lineRule="exact"/>
        <w:rPr>
          <w:sz w:val="20"/>
          <w:szCs w:val="20"/>
          <w:color w:val="auto"/>
        </w:rPr>
      </w:pPr>
    </w:p>
    <w:p>
      <w:pPr>
        <w:ind w:left="560" w:hanging="552"/>
        <w:spacing w:after="0"/>
        <w:tabs>
          <w:tab w:leader="none" w:pos="56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There have been no changes in the internal control over financial reporting (as defined in Rules 13a-15(f) and 15d-15(f) under the Exchange Act) of the Company and Lamar Media identified in connection with the evaluation of the Company’s and Lamar Media’s internal control performed during the last fiscal quarter that has materially affected, or is reasonably likely to materially affect, the Company’s and Lamar Media’s internal control over financial reporting.</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including those described in Part I, Item 1A, “Risk Factors” in our combined Annual Report on Form 10-K for the year ended December 31, 2024, which could adversely affect our business, financial condition, results of operations, cash flows, and the trading price of our Class A common stock. There have been no material changes to our risk factors since our combined Annual Report on Form 10-K for the year ended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sets forth the Company's repurchase of its securities during the three months ended June 30, 2025:</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r>
      <w:tr>
        <w:trPr>
          <w:trHeight w:val="216"/>
        </w:trPr>
        <w:tc>
          <w:tcPr>
            <w:tcW w:w="2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2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of Shares that May Yet Be</w:t>
            </w:r>
          </w:p>
        </w:tc>
      </w:tr>
      <w:tr>
        <w:trPr>
          <w:trHeight w:val="216"/>
        </w:trPr>
        <w:tc>
          <w:tcPr>
            <w:tcW w:w="2540" w:type="dxa"/>
            <w:vAlign w:val="bottom"/>
          </w:tcPr>
          <w:p>
            <w:pPr>
              <w:spacing w:after="0"/>
              <w:rPr>
                <w:sz w:val="18"/>
                <w:szCs w:val="18"/>
                <w:color w:val="auto"/>
              </w:rPr>
            </w:pPr>
          </w:p>
        </w:tc>
        <w:tc>
          <w:tcPr>
            <w:tcW w:w="2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200" w:type="dxa"/>
            <w:vAlign w:val="bottom"/>
          </w:tcPr>
          <w:p>
            <w:pPr>
              <w:spacing w:after="0"/>
              <w:rPr>
                <w:sz w:val="18"/>
                <w:szCs w:val="18"/>
                <w:color w:val="auto"/>
              </w:rPr>
            </w:pPr>
          </w:p>
        </w:tc>
        <w:tc>
          <w:tcPr>
            <w:tcW w:w="19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Publicly Announced Plan</w:t>
            </w:r>
          </w:p>
        </w:tc>
        <w:tc>
          <w:tcPr>
            <w:tcW w:w="200" w:type="dxa"/>
            <w:vAlign w:val="bottom"/>
          </w:tcPr>
          <w:p>
            <w:pPr>
              <w:spacing w:after="0"/>
              <w:rPr>
                <w:sz w:val="18"/>
                <w:szCs w:val="18"/>
                <w:color w:val="auto"/>
              </w:rPr>
            </w:pPr>
          </w:p>
        </w:tc>
        <w:tc>
          <w:tcPr>
            <w:tcW w:w="19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Purchased Under the</w:t>
            </w:r>
          </w:p>
        </w:tc>
      </w:tr>
      <w:tr>
        <w:trPr>
          <w:trHeight w:val="238"/>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00" w:type="dxa"/>
            <w:vAlign w:val="bottom"/>
          </w:tcPr>
          <w:p>
            <w:pPr>
              <w:spacing w:after="0"/>
              <w:rPr>
                <w:sz w:val="20"/>
                <w:szCs w:val="20"/>
                <w:color w:val="auto"/>
              </w:rPr>
            </w:pPr>
          </w:p>
        </w:tc>
        <w:tc>
          <w:tcPr>
            <w:tcW w:w="19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200" w:type="dxa"/>
            <w:vAlign w:val="bottom"/>
          </w:tcPr>
          <w:p>
            <w:pPr>
              <w:spacing w:after="0"/>
              <w:rPr>
                <w:sz w:val="20"/>
                <w:szCs w:val="20"/>
                <w:color w:val="auto"/>
              </w:rPr>
            </w:pPr>
          </w:p>
        </w:tc>
        <w:tc>
          <w:tcPr>
            <w:tcW w:w="19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Plans or Programs (1)</w:t>
            </w:r>
          </w:p>
        </w:tc>
      </w:tr>
      <w:tr>
        <w:trPr>
          <w:trHeight w:val="27"/>
        </w:trPr>
        <w:tc>
          <w:tcPr>
            <w:tcW w:w="2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through April 30, 2025</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1,223,562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107.52</w:t>
            </w:r>
          </w:p>
        </w:tc>
        <w:tc>
          <w:tcPr>
            <w:tcW w:w="2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1,223,562</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r>
      <w:tr>
        <w:trPr>
          <w:trHeight w:val="24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through May 31, 2025</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250,000,000</w:t>
            </w:r>
          </w:p>
        </w:tc>
      </w:tr>
      <w:tr>
        <w:trPr>
          <w:trHeight w:val="27"/>
        </w:trPr>
        <w:tc>
          <w:tcPr>
            <w:tcW w:w="2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through June 30, 2025</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250,000,000</w:t>
            </w:r>
          </w:p>
        </w:tc>
      </w:tr>
      <w:tr>
        <w:trPr>
          <w:trHeight w:val="24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1,223,562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107.52</w:t>
            </w:r>
          </w:p>
        </w:tc>
        <w:tc>
          <w:tcPr>
            <w:tcW w:w="2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1,223,562</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250,000,000</w:t>
            </w:r>
          </w:p>
        </w:tc>
      </w:tr>
    </w:tbl>
    <w:p>
      <w:pPr>
        <w:spacing w:after="0" w:line="346" w:lineRule="exact"/>
        <w:rPr>
          <w:sz w:val="20"/>
          <w:szCs w:val="20"/>
          <w:color w:val="auto"/>
        </w:rPr>
      </w:pPr>
    </w:p>
    <w:p>
      <w:pPr>
        <w:jc w:val="both"/>
        <w:ind w:left="260" w:hanging="252"/>
        <w:spacing w:after="0" w:line="261" w:lineRule="auto"/>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May 15, 2025, the Company's Board of Directors had authorized the repurchase of up to $250.0 million of the Company’s Class A common stock. On September 24, 2024, the Board of Directors authorized the extension of the repurchase program through March 31, 2026. On May 15, 2025, the Company's Board of Directors approved the increase of the amount authorized under the Stock Repurchase Program by $150.0 million, bringing the total amount authorized under the Program to $400.0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9"/>
        </w:trPr>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5980" w:type="dxa"/>
            <w:vAlign w:val="bottom"/>
            <w:gridSpan w:val="15"/>
          </w:tcPr>
          <w:p>
            <w:pPr>
              <w:ind w:left="5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83"/>
        </w:trPr>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40" w:type="dxa"/>
            <w:vAlign w:val="bottom"/>
            <w:tcBorders>
              <w:top w:val="single" w:sz="8" w:color="auto"/>
            </w:tcBorders>
            <w:gridSpan w:val="16"/>
          </w:tcPr>
          <w:p>
            <w:pPr>
              <w:spacing w:after="0"/>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Amended and Restated Certificate of Incorporation of Lamar Advertising Company (the “Company”), as filed with the Secretary of the State of</w:t>
              </w:r>
            </w:hyperlink>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8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Delaware effective as of November 18, 2014. Previously filed as Exhibit 3.1 to the Company’s Current Report on Form 8-K (File No. 1-36756) filed</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gridSpan w:val="11"/>
          </w:tcPr>
          <w:p>
            <w:pPr>
              <w:spacing w:after="0" w:line="169" w:lineRule="exact"/>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on November 19, 2014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6"/>
          </w:tcPr>
          <w:p>
            <w:pPr>
              <w:spacing w:after="0"/>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Certificate of Merger, effective as of November 18, 2014. Previously filed as Exhibit 3.2 to the Company’s Current Report on Form 8-K (File No. 1-</w:t>
              </w:r>
            </w:hyperlink>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36756) filed on November 19, 2014 and incorporated herein by reference.</w:t>
              </w:r>
            </w:hyperlink>
          </w:p>
        </w:tc>
        <w:tc>
          <w:tcPr>
            <w:tcW w:w="512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r>
      <w:tr>
        <w:trPr>
          <w:trHeight w:val="344"/>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6"/>
          </w:tcPr>
          <w:p>
            <w:pPr>
              <w:spacing w:after="0"/>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Amended and Restated Certificate of Incorporation of Lamar Media Corp. (“Lamar Media”)  Previously filed as Exhibit 3.2 to the Company’s</w:t>
              </w:r>
            </w:hyperlink>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top w:val="single" w:sz="8" w:color="0000FF"/>
            </w:tcBorders>
            <w:gridSpan w:val="13"/>
          </w:tcPr>
          <w:p>
            <w:pPr>
              <w:spacing w:after="0" w:line="169" w:lineRule="exact"/>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Quarterly Report on Form 10-Q for the period ended March 31, 2007 (File No. 0-30242) filed on May 10, 2007 and incorporated herein by reference.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6"/>
          </w:tcPr>
          <w:p>
            <w:pPr>
              <w:spacing w:after="0"/>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Amended and Restated Bylaws of the Company, adopted as of November 18, 2014. Previously filed as Exhibit 3.3 to the Company’s Current Report</w:t>
              </w:r>
            </w:hyperlink>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top w:val="single" w:sz="8" w:color="0000FF"/>
            </w:tcBorders>
            <w:gridSpan w:val="12"/>
          </w:tcPr>
          <w:p>
            <w:pPr>
              <w:spacing w:after="0" w:line="169" w:lineRule="exact"/>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on Form 8-K (File No. 1-36756) filed on November 19, 2014 and incorporated herein by reference.</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4"/>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6"/>
          </w:tcPr>
          <w:p>
            <w:pPr>
              <w:spacing w:after="0"/>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Amended and Restated Bylaws of Lamar Media. Previously filed as Exhibit 3.1 to Lamar Media’s Quarterly Report on Form 10-Q for the period</w:t>
              </w:r>
            </w:hyperlink>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9"/>
          </w:tcPr>
          <w:p>
            <w:pPr>
              <w:spacing w:after="0" w:line="169" w:lineRule="exact"/>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ended September 30, 1999 (File No. 1-12407) filed on November 12, 1999 and incorporated herein by reference.</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gridSpan w:val="3"/>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of the Chief Executive Officer of the Company and Lamar Media pursuant to Securities Exchange Act Rules 13a-14(a) and 15d-14(a) as</w:t>
            </w:r>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6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adopted pursuant to Section 302 of the Sarbanes-Oxley Act of 2002. Filed herewith.</w:t>
            </w:r>
          </w:p>
        </w:tc>
        <w:tc>
          <w:tcPr>
            <w:tcW w:w="4440" w:type="dxa"/>
            <w:vAlign w:val="bottom"/>
            <w:tcBorders>
              <w:top w:val="single" w:sz="8" w:color="0000FF"/>
            </w:tcBorders>
            <w:gridSpan w:val="11"/>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44"/>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of the Chief Financial Officer of the Company and Lamar Media pursuant to Securities Exchange Act Rules 13a-14(a) and 15d-14(a) as</w:t>
            </w:r>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6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adopted pursuant to Section 302 of the Sarbanes-Oxley Act of 2002. Filed herewith.</w:t>
            </w:r>
          </w:p>
        </w:tc>
        <w:tc>
          <w:tcPr>
            <w:tcW w:w="4360" w:type="dxa"/>
            <w:vAlign w:val="bottom"/>
            <w:tcBorders>
              <w:top w:val="single" w:sz="8" w:color="0000FF"/>
            </w:tcBorders>
            <w:gridSpan w:val="7"/>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344"/>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pursuant to 18 U.S.C. Section 1350 as adopted pursuant to Section 906 of the Sarbanes-Oxley Act of 2002. Filed herewith.</w:t>
            </w: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left="1440" w:right="20" w:hanging="899"/>
        <w:spacing w:after="0" w:line="263" w:lineRule="auto"/>
        <w:tabs>
          <w:tab w:leader="none" w:pos="14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financial statements from the Company’s Quarterly Report on Form 10-Q for the quarter ended June 30, 2025, formatted in Inline XBRL: (i) Condensed Consolidated Balance Sheets, (ii) Condensed Consolidated Statements of Income and Comprehensive Income, (iii) Condensed Consolidated Statements of Stockholders' Equity, (iv) Condensed Consolidated Statements of Cash Flows, and (v) Notes to the Condensed Consolidated Financial Statements, tagged as blocks of text and including detailed tags.</w:t>
      </w:r>
    </w:p>
    <w:p>
      <w:pPr>
        <w:spacing w:after="0" w:line="139" w:lineRule="exact"/>
        <w:rPr>
          <w:sz w:val="20"/>
          <w:szCs w:val="20"/>
          <w:color w:val="auto"/>
        </w:rPr>
      </w:pPr>
    </w:p>
    <w:p>
      <w:pPr>
        <w:ind w:left="1440" w:hanging="899"/>
        <w:spacing w:after="0"/>
        <w:tabs>
          <w:tab w:leader="none" w:pos="14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48"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thereunto duly authorized.</w:t>
      </w:r>
    </w:p>
    <w:p>
      <w:pPr>
        <w:spacing w:after="0" w:line="23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37" w:lineRule="exact"/>
        <w:rPr>
          <w:sz w:val="20"/>
          <w:szCs w:val="20"/>
          <w:color w:val="auto"/>
        </w:rPr>
      </w:pPr>
    </w:p>
    <w:p>
      <w:pPr>
        <w:ind w:left="20"/>
        <w:spacing w:after="0"/>
        <w:tabs>
          <w:tab w:leader="none" w:pos="4360" w:val="left"/>
          <w:tab w:leader="none" w:pos="5480" w:val="left"/>
        </w:tabs>
        <w:rPr>
          <w:sz w:val="20"/>
          <w:szCs w:val="20"/>
          <w:color w:val="auto"/>
        </w:rPr>
      </w:pPr>
      <w:r>
        <w:rPr>
          <w:rFonts w:ascii="Times New Roman" w:cs="Times New Roman" w:eastAsia="Times New Roman" w:hAnsi="Times New Roman"/>
          <w:sz w:val="18"/>
          <w:szCs w:val="18"/>
          <w:color w:val="auto"/>
        </w:rPr>
        <w:t>DATED: August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5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3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37" w:lineRule="exact"/>
        <w:rPr>
          <w:sz w:val="20"/>
          <w:szCs w:val="20"/>
          <w:color w:val="auto"/>
        </w:rPr>
      </w:pPr>
    </w:p>
    <w:p>
      <w:pPr>
        <w:ind w:left="20"/>
        <w:spacing w:after="0"/>
        <w:tabs>
          <w:tab w:leader="none" w:pos="4360" w:val="left"/>
          <w:tab w:leader="none" w:pos="5480" w:val="left"/>
        </w:tabs>
        <w:rPr>
          <w:sz w:val="20"/>
          <w:szCs w:val="20"/>
          <w:color w:val="auto"/>
        </w:rPr>
      </w:pPr>
      <w:r>
        <w:rPr>
          <w:rFonts w:ascii="Times New Roman" w:cs="Times New Roman" w:eastAsia="Times New Roman" w:hAnsi="Times New Roman"/>
          <w:sz w:val="18"/>
          <w:szCs w:val="18"/>
          <w:color w:val="auto"/>
        </w:rPr>
        <w:t>DATED: August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5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20"/>
          </w:cols>
          <w:pgMar w:left="320" w:top="887" w:right="35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E. Reilly, certify that:</w:t>
      </w:r>
    </w:p>
    <w:p>
      <w:pPr>
        <w:spacing w:after="0" w:line="117"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quarterly report on Form 10-Q of Lamar Advertising Company and Lamar Media Corp.;</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67" w:lineRule="exact"/>
        <w:rPr>
          <w:rFonts w:ascii="Times New Roman" w:cs="Times New Roman" w:eastAsia="Times New Roman" w:hAnsi="Times New Roman"/>
          <w:sz w:val="18"/>
          <w:szCs w:val="18"/>
          <w:color w:val="auto"/>
        </w:rPr>
      </w:pPr>
    </w:p>
    <w:p>
      <w:pPr>
        <w:ind w:left="1220" w:right="200" w:hanging="564"/>
        <w:spacing w:after="0" w:line="266" w:lineRule="auto"/>
        <w:tabs>
          <w:tab w:leader="none" w:pos="121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20" w:right="120" w:hanging="564"/>
        <w:spacing w:after="0" w:line="266" w:lineRule="auto"/>
        <w:tabs>
          <w:tab w:leader="none" w:pos="121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220" w:right="300" w:hanging="564"/>
        <w:spacing w:after="0" w:line="312" w:lineRule="auto"/>
        <w:tabs>
          <w:tab w:leader="none" w:pos="121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20" w:right="280" w:hanging="564"/>
        <w:spacing w:after="0" w:line="266" w:lineRule="auto"/>
        <w:tabs>
          <w:tab w:leader="none" w:pos="121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312" w:lineRule="auto"/>
        <w:tabs>
          <w:tab w:leader="none" w:pos="129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300" w:right="140" w:hanging="644"/>
        <w:spacing w:after="0" w:line="282" w:lineRule="auto"/>
        <w:tabs>
          <w:tab w:leader="none" w:pos="129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Sean E. Reilly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Lamar Advertising Company</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Lamar Media Corp.</w:t>
      </w:r>
    </w:p>
    <w:p>
      <w:pPr>
        <w:sectPr>
          <w:pgSz w:w="11900" w:h="16838" w:orient="portrait"/>
          <w:cols w:equalWidth="0" w:num="1">
            <w:col w:w="11240"/>
          </w:cols>
          <w:pgMar w:left="320" w:top="1211"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L. Johnson, certify that:</w:t>
      </w:r>
    </w:p>
    <w:p>
      <w:pPr>
        <w:spacing w:after="0" w:line="117"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quarterly report on Form 10-Q of Lamar Advertising Company and Lamar Media Corp.;</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67" w:lineRule="exact"/>
        <w:rPr>
          <w:rFonts w:ascii="Times New Roman" w:cs="Times New Roman" w:eastAsia="Times New Roman" w:hAnsi="Times New Roman"/>
          <w:sz w:val="18"/>
          <w:szCs w:val="18"/>
          <w:color w:val="auto"/>
        </w:rPr>
      </w:pPr>
    </w:p>
    <w:p>
      <w:pPr>
        <w:ind w:left="1220" w:right="200" w:hanging="564"/>
        <w:spacing w:after="0" w:line="266" w:lineRule="auto"/>
        <w:tabs>
          <w:tab w:leader="none" w:pos="121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20" w:right="120" w:hanging="564"/>
        <w:spacing w:after="0" w:line="266" w:lineRule="auto"/>
        <w:tabs>
          <w:tab w:leader="none" w:pos="121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220" w:right="300" w:hanging="564"/>
        <w:spacing w:after="0" w:line="312" w:lineRule="auto"/>
        <w:tabs>
          <w:tab w:leader="none" w:pos="121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20" w:right="280" w:hanging="564"/>
        <w:spacing w:after="0" w:line="266" w:lineRule="auto"/>
        <w:tabs>
          <w:tab w:leader="none" w:pos="121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312" w:lineRule="auto"/>
        <w:tabs>
          <w:tab w:leader="none" w:pos="129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300" w:right="140" w:hanging="644"/>
        <w:spacing w:after="0" w:line="282" w:lineRule="auto"/>
        <w:tabs>
          <w:tab w:leader="none" w:pos="12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Jay L. Johnson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Lamar Media Corp.</w:t>
      </w:r>
    </w:p>
    <w:p>
      <w:pPr>
        <w:sectPr>
          <w:pgSz w:w="11900" w:h="16838" w:orient="portrait"/>
          <w:cols w:equalWidth="0" w:num="1">
            <w:col w:w="11240"/>
          </w:cols>
          <w:pgMar w:left="320" w:top="1211"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Quarterly Report on Form 10-Q of Lamar Advertising and Lamar Media for the period ended June 30, 2025 fully complies with the requirements of Section 13(a) or 15(d) of the Securities Exchange Act of 1934 and that information contained in the combined Form 10-Q fairly presents, in all material respects, the financial condition and results of operations of Lamar Advertising and Lamar Media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E. Reilly</w:t>
            </w:r>
          </w:p>
        </w:tc>
      </w:tr>
      <w:tr>
        <w:trPr>
          <w:trHeight w:val="218"/>
        </w:trPr>
        <w:tc>
          <w:tcPr>
            <w:tcW w:w="59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E. Reilly</w:t>
            </w:r>
          </w:p>
        </w:tc>
      </w:tr>
      <w:tr>
        <w:trPr>
          <w:trHeight w:val="229"/>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Lamar Advertising Company</w:t>
            </w:r>
          </w:p>
        </w:tc>
      </w:tr>
      <w:tr>
        <w:trPr>
          <w:trHeight w:val="234"/>
        </w:trPr>
        <w:tc>
          <w:tcPr>
            <w:tcW w:w="59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Lamar Media Corp.</w:t>
            </w:r>
          </w:p>
        </w:tc>
      </w:tr>
      <w:tr>
        <w:trPr>
          <w:trHeight w:val="40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5120" w:type="dxa"/>
            <w:vAlign w:val="bottom"/>
          </w:tcPr>
          <w:p>
            <w:pPr>
              <w:spacing w:after="0"/>
              <w:rPr>
                <w:sz w:val="24"/>
                <w:szCs w:val="24"/>
                <w:color w:val="auto"/>
              </w:rPr>
            </w:pPr>
          </w:p>
        </w:tc>
      </w:tr>
      <w:tr>
        <w:trPr>
          <w:trHeight w:val="459"/>
        </w:trPr>
        <w:tc>
          <w:tcPr>
            <w:tcW w:w="596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L. Johnson</w:t>
            </w:r>
          </w:p>
        </w:tc>
      </w:tr>
      <w:tr>
        <w:trPr>
          <w:trHeight w:val="218"/>
        </w:trPr>
        <w:tc>
          <w:tcPr>
            <w:tcW w:w="59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L. Johnson</w:t>
            </w:r>
          </w:p>
        </w:tc>
      </w:tr>
      <w:tr>
        <w:trPr>
          <w:trHeight w:val="229"/>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tc>
      </w:tr>
      <w:tr>
        <w:trPr>
          <w:trHeight w:val="234"/>
        </w:trPr>
        <w:tc>
          <w:tcPr>
            <w:tcW w:w="59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Media Corp.</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lowerRoman"/>
      <w:start w:val="3"/>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lowerRoman"/>
      <w:start w:val="3"/>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3"/>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lowerRoman"/>
      <w:start w:val="3"/>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2"/>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01"/>
    </w:lvl>
  </w:abstractNum>
  <w:abstractNum w:abstractNumId="21">
    <w:nsid w:val="2D1D5AE9"/>
    <w:multiLevelType w:val="hybridMultilevel"/>
    <w:lvl w:ilvl="0">
      <w:lvlJc w:val="left"/>
      <w:lvlText w:val="%1"/>
      <w:numFmt w:val="decimal"/>
      <w:start w:val="104"/>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73" Type="http://schemas.openxmlformats.org/officeDocument/2006/relationships/hyperlink" Target="https://www.sec.gov/Archives/edgar/data/1090425/000119312514417756/d823054dex31.htm" TargetMode="External"/><Relationship Id="rId74" Type="http://schemas.openxmlformats.org/officeDocument/2006/relationships/hyperlink" Target="https://www.sec.gov/Archives/edgar/data/1090425/000119312514417756/d823054dex32.htm" TargetMode="External"/><Relationship Id="rId75" Type="http://schemas.openxmlformats.org/officeDocument/2006/relationships/hyperlink" Target="https://www.sec.gov/Archives/edgar/data/899045/000095013407011105/d46520exv3w2.htm" TargetMode="External"/><Relationship Id="rId76" Type="http://schemas.openxmlformats.org/officeDocument/2006/relationships/hyperlink" Target="https://www.sec.gov/Archives/edgar/data/1090425/000119312514417756/d823054dex33.htm" TargetMode="External"/><Relationship Id="rId77" Type="http://schemas.openxmlformats.org/officeDocument/2006/relationships/hyperlink" Target="https://www.sec.gov/Archives/edgar/data/899045/000095013499009877/0000950134-99-009877.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2025-08-08T10:27:13Z</dcterms:created>
  <dcterms:modified xsi:type="dcterms:W3CDTF">2025-08-08T10:27:13Z</dcterms:modified>
</cp:coreProperties>
</file>