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1" w:lineRule="exact"/>
        <w:rPr>
          <w:sz w:val="24"/>
          <w:szCs w:val="24"/>
          <w:color w:val="auto"/>
        </w:rPr>
      </w:pPr>
    </w:p>
    <w:p>
      <w:pPr>
        <w:ind w:left="412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14" w:lineRule="exact"/>
        <w:rPr>
          <w:sz w:val="24"/>
          <w:szCs w:val="24"/>
          <w:color w:val="auto"/>
        </w:rPr>
      </w:pPr>
    </w:p>
    <w:p>
      <w:pPr>
        <w:ind w:left="360" w:hanging="334"/>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quarterly period ended June 30, 2021</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40" w:type="dxa"/>
            <w:vAlign w:val="bottom"/>
          </w:tcPr>
          <w:p>
            <w:pPr>
              <w:spacing w:after="0"/>
              <w:rPr>
                <w:sz w:val="14"/>
                <w:szCs w:val="14"/>
                <w:color w:val="auto"/>
              </w:rPr>
            </w:pPr>
          </w:p>
        </w:tc>
        <w:tc>
          <w:tcPr>
            <w:tcW w:w="5480" w:type="dxa"/>
            <w:vAlign w:val="bottom"/>
          </w:tcPr>
          <w:p>
            <w:pPr>
              <w:ind w:left="5300"/>
              <w:spacing w:after="0"/>
              <w:rPr>
                <w:sz w:val="20"/>
                <w:szCs w:val="20"/>
                <w:color w:val="auto"/>
              </w:rPr>
            </w:pPr>
            <w:r>
              <w:rPr>
                <w:rFonts w:ascii="Arial" w:cs="Arial" w:eastAsia="Arial" w:hAnsi="Arial"/>
                <w:sz w:val="13"/>
                <w:szCs w:val="13"/>
                <w:b w:val="1"/>
                <w:bCs w:val="1"/>
                <w:color w:val="auto"/>
              </w:rPr>
              <w:t>or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98"/>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5480" w:type="dxa"/>
            <w:vAlign w:val="bottom"/>
          </w:tcPr>
          <w:p>
            <w:pPr>
              <w:ind w:left="100"/>
              <w:spacing w:after="0"/>
              <w:rPr>
                <w:sz w:val="20"/>
                <w:szCs w:val="20"/>
                <w:color w:val="auto"/>
              </w:rPr>
            </w:pPr>
            <w:r>
              <w:rPr>
                <w:rFonts w:ascii="Arial" w:cs="Arial" w:eastAsia="Arial" w:hAnsi="Arial"/>
                <w:sz w:val="13"/>
                <w:szCs w:val="13"/>
                <w:b w:val="1"/>
                <w:bCs w:val="1"/>
                <w:color w:val="auto"/>
                <w:w w:val="98"/>
              </w:rPr>
              <w:t>Transition Report Pursuant to Section 13 or 15(d) of the Securities Exchange Act of 1934</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72"/>
        </w:trPr>
        <w:tc>
          <w:tcPr>
            <w:tcW w:w="240" w:type="dxa"/>
            <w:vAlign w:val="bottom"/>
          </w:tcPr>
          <w:p>
            <w:pPr>
              <w:spacing w:after="0"/>
              <w:rPr>
                <w:sz w:val="23"/>
                <w:szCs w:val="23"/>
                <w:color w:val="auto"/>
              </w:rPr>
            </w:pPr>
          </w:p>
        </w:tc>
        <w:tc>
          <w:tcPr>
            <w:tcW w:w="5480" w:type="dxa"/>
            <w:vAlign w:val="bottom"/>
          </w:tcPr>
          <w:p>
            <w:pPr>
              <w:ind w:left="3820"/>
              <w:spacing w:after="0"/>
              <w:rPr>
                <w:sz w:val="20"/>
                <w:szCs w:val="20"/>
                <w:color w:val="auto"/>
              </w:rPr>
            </w:pPr>
            <w:r>
              <w:rPr>
                <w:rFonts w:ascii="Arial" w:cs="Arial" w:eastAsia="Arial" w:hAnsi="Arial"/>
                <w:sz w:val="13"/>
                <w:szCs w:val="13"/>
                <w:b w:val="1"/>
                <w:bCs w:val="1"/>
                <w:color w:val="auto"/>
                <w:w w:val="89"/>
              </w:rPr>
              <w:t>For the transition period from</w:t>
            </w:r>
          </w:p>
        </w:tc>
        <w:tc>
          <w:tcPr>
            <w:tcW w:w="620" w:type="dxa"/>
            <w:vAlign w:val="bottom"/>
            <w:tcBorders>
              <w:bottom w:val="single" w:sz="8" w:color="auto"/>
            </w:tcBorders>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auto"/>
                <w:w w:val="70"/>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4150995</wp:posOffset>
            </wp:positionH>
            <wp:positionV relativeFrom="paragraph">
              <wp:posOffset>-7620</wp:posOffset>
            </wp:positionV>
            <wp:extent cx="40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05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3"/>
          <w:szCs w:val="13"/>
          <w:b w:val="1"/>
          <w:bCs w:val="1"/>
          <w:i w:val="1"/>
          <w:iCs w:val="1"/>
          <w:color w:val="auto"/>
        </w:rPr>
        <w:t>Commission File Number 1-36756</w:t>
      </w:r>
    </w:p>
    <w:p>
      <w:pPr>
        <w:spacing w:after="0" w:line="1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Advertising Company</w:t>
      </w:r>
    </w:p>
    <w:p>
      <w:pPr>
        <w:spacing w:after="0" w:line="32"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Commission File Number 1-12407</w:t>
      </w:r>
    </w:p>
    <w:p>
      <w:pPr>
        <w:spacing w:after="0" w:line="16"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________________________________________________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Lamar Media Corp.</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registrants as specified in their charters)</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__________________________________</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47-0961620</w:t>
            </w:r>
          </w:p>
        </w:tc>
      </w:tr>
      <w:tr>
        <w:trPr>
          <w:trHeight w:val="175"/>
        </w:trPr>
        <w:tc>
          <w:tcPr>
            <w:tcW w:w="3880" w:type="dxa"/>
            <w:vAlign w:val="bottom"/>
          </w:tcPr>
          <w:p>
            <w:pPr>
              <w:jc w:val="center"/>
              <w:ind w:left="1357"/>
              <w:spacing w:after="0"/>
              <w:rPr>
                <w:sz w:val="20"/>
                <w:szCs w:val="20"/>
                <w:color w:val="auto"/>
              </w:rPr>
            </w:pPr>
            <w:r>
              <w:rPr>
                <w:rFonts w:ascii="Arial" w:cs="Arial" w:eastAsia="Arial" w:hAnsi="Arial"/>
                <w:sz w:val="13"/>
                <w:szCs w:val="13"/>
                <w:b w:val="1"/>
                <w:bCs w:val="1"/>
                <w:color w:val="auto"/>
                <w:w w:val="87"/>
              </w:rPr>
              <w:t>Delaware</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9"/>
              </w:rPr>
              <w:t>72-1205791</w:t>
            </w:r>
          </w:p>
        </w:tc>
      </w:tr>
      <w:tr>
        <w:trPr>
          <w:trHeight w:val="175"/>
        </w:trPr>
        <w:tc>
          <w:tcPr>
            <w:tcW w:w="7300" w:type="dxa"/>
            <w:vAlign w:val="bottom"/>
            <w:gridSpan w:val="4"/>
          </w:tcPr>
          <w:p>
            <w:pPr>
              <w:jc w:val="center"/>
              <w:ind w:right="2000"/>
              <w:spacing w:after="0"/>
              <w:rPr>
                <w:sz w:val="20"/>
                <w:szCs w:val="20"/>
                <w:color w:val="auto"/>
              </w:rPr>
            </w:pPr>
            <w:r>
              <w:rPr>
                <w:rFonts w:ascii="Arial" w:cs="Arial" w:eastAsia="Arial" w:hAnsi="Arial"/>
                <w:sz w:val="13"/>
                <w:szCs w:val="13"/>
                <w:b w:val="1"/>
                <w:bCs w:val="1"/>
                <w:i w:val="1"/>
                <w:iCs w:val="1"/>
                <w:color w:val="auto"/>
                <w:w w:val="85"/>
              </w:rPr>
              <w:t>(State or other jurisdiction of incorporation or organization)</w:t>
            </w:r>
          </w:p>
        </w:tc>
        <w:tc>
          <w:tcPr>
            <w:tcW w:w="3740" w:type="dxa"/>
            <w:vAlign w:val="bottom"/>
          </w:tcPr>
          <w:p>
            <w:pPr>
              <w:jc w:val="center"/>
              <w:ind w:right="1557"/>
              <w:spacing w:after="0"/>
              <w:rPr>
                <w:sz w:val="20"/>
                <w:szCs w:val="20"/>
                <w:color w:val="auto"/>
              </w:rPr>
            </w:pPr>
            <w:r>
              <w:rPr>
                <w:rFonts w:ascii="Arial" w:cs="Arial" w:eastAsia="Arial" w:hAnsi="Arial"/>
                <w:sz w:val="13"/>
                <w:szCs w:val="13"/>
                <w:b w:val="1"/>
                <w:bCs w:val="1"/>
                <w:i w:val="1"/>
                <w:iCs w:val="1"/>
                <w:color w:val="auto"/>
                <w:w w:val="87"/>
              </w:rPr>
              <w:t>(I.R.S Employer Identification No.)</w:t>
            </w:r>
          </w:p>
        </w:tc>
      </w:tr>
      <w:tr>
        <w:trPr>
          <w:trHeight w:val="351"/>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8"/>
              </w:rPr>
              <w:t>5321 Corporate Blvd., Baton Rouge, LA</w:t>
            </w:r>
          </w:p>
        </w:tc>
        <w:tc>
          <w:tcPr>
            <w:tcW w:w="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82"/>
              </w:rPr>
              <w:t>70808</w:t>
            </w:r>
          </w:p>
        </w:tc>
      </w:tr>
      <w:tr>
        <w:trPr>
          <w:trHeight w:val="175"/>
        </w:trPr>
        <w:tc>
          <w:tcPr>
            <w:tcW w:w="3880" w:type="dxa"/>
            <w:vAlign w:val="bottom"/>
          </w:tcPr>
          <w:p>
            <w:pPr>
              <w:jc w:val="center"/>
              <w:ind w:left="133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740" w:type="dxa"/>
            <w:vAlign w:val="bottom"/>
          </w:tcPr>
          <w:p>
            <w:pPr>
              <w:jc w:val="center"/>
              <w:ind w:right="1577"/>
              <w:spacing w:after="0"/>
              <w:rPr>
                <w:sz w:val="20"/>
                <w:szCs w:val="20"/>
                <w:color w:val="auto"/>
              </w:rPr>
            </w:pPr>
            <w:r>
              <w:rPr>
                <w:rFonts w:ascii="Arial" w:cs="Arial" w:eastAsia="Arial" w:hAnsi="Arial"/>
                <w:sz w:val="13"/>
                <w:szCs w:val="13"/>
                <w:b w:val="1"/>
                <w:bCs w:val="1"/>
                <w:color w:val="auto"/>
                <w:w w:val="90"/>
              </w:rPr>
              <w:t>(Zip Code)</w:t>
            </w:r>
          </w:p>
        </w:tc>
      </w:tr>
      <w:tr>
        <w:trPr>
          <w:trHeight w:val="291"/>
        </w:trPr>
        <w:tc>
          <w:tcPr>
            <w:tcW w:w="3880" w:type="dxa"/>
            <w:vAlign w:val="bottom"/>
          </w:tcPr>
          <w:p>
            <w:pPr>
              <w:spacing w:after="0"/>
              <w:rPr>
                <w:sz w:val="24"/>
                <w:szCs w:val="24"/>
                <w:color w:val="auto"/>
              </w:rPr>
            </w:pPr>
          </w:p>
        </w:tc>
        <w:tc>
          <w:tcPr>
            <w:tcW w:w="3420" w:type="dxa"/>
            <w:vAlign w:val="bottom"/>
            <w:gridSpan w:val="3"/>
          </w:tcPr>
          <w:p>
            <w:pPr>
              <w:ind w:left="160"/>
              <w:spacing w:after="0"/>
              <w:rPr>
                <w:sz w:val="20"/>
                <w:szCs w:val="20"/>
                <w:color w:val="auto"/>
              </w:rPr>
            </w:pPr>
            <w:r>
              <w:rPr>
                <w:rFonts w:ascii="Arial" w:cs="Arial" w:eastAsia="Arial" w:hAnsi="Arial"/>
                <w:sz w:val="11"/>
                <w:szCs w:val="11"/>
                <w:b w:val="1"/>
                <w:bCs w:val="1"/>
                <w:color w:val="auto"/>
                <w:w w:val="91"/>
              </w:rPr>
              <w:t>Registrants’ telephone number, including area code: (225) 926-1000</w:t>
            </w:r>
          </w:p>
        </w:tc>
        <w:tc>
          <w:tcPr>
            <w:tcW w:w="3740" w:type="dxa"/>
            <w:vAlign w:val="bottom"/>
          </w:tcPr>
          <w:p>
            <w:pPr>
              <w:spacing w:after="0"/>
              <w:rPr>
                <w:sz w:val="24"/>
                <w:szCs w:val="24"/>
                <w:color w:val="auto"/>
              </w:rPr>
            </w:pPr>
          </w:p>
        </w:tc>
      </w:tr>
      <w:tr>
        <w:trPr>
          <w:trHeight w:val="175"/>
        </w:trPr>
        <w:tc>
          <w:tcPr>
            <w:tcW w:w="3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40" w:type="dxa"/>
            <w:vAlign w:val="bottom"/>
            <w:gridSpan w:val="2"/>
          </w:tcPr>
          <w:p>
            <w:pPr>
              <w:ind w:left="20"/>
              <w:spacing w:after="0"/>
              <w:rPr>
                <w:sz w:val="20"/>
                <w:szCs w:val="20"/>
                <w:color w:val="auto"/>
              </w:rPr>
            </w:pPr>
            <w:r>
              <w:rPr>
                <w:rFonts w:ascii="Arial" w:cs="Arial" w:eastAsia="Arial" w:hAnsi="Arial"/>
                <w:sz w:val="11"/>
                <w:szCs w:val="11"/>
                <w:color w:val="auto"/>
              </w:rPr>
              <w:t>Securities registered pursuant to Section 12(b) of the Act:</w:t>
            </w:r>
          </w:p>
        </w:tc>
        <w:tc>
          <w:tcPr>
            <w:tcW w:w="3740" w:type="dxa"/>
            <w:vAlign w:val="bottom"/>
          </w:tcPr>
          <w:p>
            <w:pPr>
              <w:spacing w:after="0"/>
              <w:rPr>
                <w:sz w:val="15"/>
                <w:szCs w:val="15"/>
                <w:color w:val="auto"/>
              </w:rPr>
            </w:pPr>
          </w:p>
        </w:tc>
      </w:tr>
      <w:tr>
        <w:trPr>
          <w:trHeight w:val="116"/>
        </w:trPr>
        <w:tc>
          <w:tcPr>
            <w:tcW w:w="38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r>
      <w:tr>
        <w:trPr>
          <w:trHeight w:val="163"/>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Title of each class</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Trading Symbol(s)</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87"/>
              </w:rPr>
              <w:t>Name of each exchange on which registered</w:t>
            </w:r>
          </w:p>
        </w:tc>
      </w:tr>
      <w:tr>
        <w:trPr>
          <w:trHeight w:val="169"/>
        </w:trPr>
        <w:tc>
          <w:tcPr>
            <w:tcW w:w="3880" w:type="dxa"/>
            <w:vAlign w:val="bottom"/>
            <w:tcBorders>
              <w:left w:val="single" w:sz="8" w:color="auto"/>
              <w:bottom w:val="single" w:sz="8" w:color="auto"/>
            </w:tcBorders>
          </w:tcPr>
          <w:p>
            <w:pPr>
              <w:jc w:val="center"/>
              <w:ind w:left="417"/>
              <w:spacing w:after="0"/>
              <w:rPr>
                <w:sz w:val="20"/>
                <w:szCs w:val="20"/>
                <w:color w:val="auto"/>
              </w:rPr>
            </w:pPr>
            <w:r>
              <w:rPr>
                <w:rFonts w:ascii="Arial" w:cs="Arial" w:eastAsia="Arial" w:hAnsi="Arial"/>
                <w:sz w:val="13"/>
                <w:szCs w:val="13"/>
                <w:color w:val="auto"/>
                <w:w w:val="88"/>
              </w:rPr>
              <w:t>Class A common stock, $0.001 par value</w:t>
            </w:r>
          </w:p>
        </w:tc>
        <w:tc>
          <w:tcPr>
            <w:tcW w:w="480" w:type="dxa"/>
            <w:vAlign w:val="bottom"/>
            <w:tcBorders>
              <w:bottom w:val="single" w:sz="8" w:color="auto"/>
              <w:right w:val="single" w:sz="8" w:color="auto"/>
            </w:tcBorders>
          </w:tcPr>
          <w:p>
            <w:pPr>
              <w:spacing w:after="0"/>
              <w:rPr>
                <w:sz w:val="14"/>
                <w:szCs w:val="14"/>
                <w:color w:val="auto"/>
              </w:rPr>
            </w:pP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9"/>
              </w:rPr>
              <w:t>LAMR</w:t>
            </w:r>
          </w:p>
        </w:tc>
        <w:tc>
          <w:tcPr>
            <w:tcW w:w="640" w:type="dxa"/>
            <w:vAlign w:val="bottom"/>
            <w:tcBorders>
              <w:bottom w:val="single" w:sz="8" w:color="auto"/>
            </w:tcBorders>
          </w:tcPr>
          <w:p>
            <w:pPr>
              <w:spacing w:after="0"/>
              <w:rPr>
                <w:sz w:val="14"/>
                <w:szCs w:val="14"/>
                <w:color w:val="auto"/>
              </w:rPr>
            </w:pPr>
          </w:p>
        </w:tc>
        <w:tc>
          <w:tcPr>
            <w:tcW w:w="3740" w:type="dxa"/>
            <w:vAlign w:val="bottom"/>
            <w:tcBorders>
              <w:bottom w:val="single" w:sz="8" w:color="auto"/>
              <w:right w:val="single" w:sz="8" w:color="auto"/>
            </w:tcBorders>
          </w:tcPr>
          <w:p>
            <w:pPr>
              <w:jc w:val="center"/>
              <w:ind w:right="597"/>
              <w:spacing w:after="0"/>
              <w:rPr>
                <w:sz w:val="20"/>
                <w:szCs w:val="20"/>
                <w:color w:val="auto"/>
              </w:rPr>
            </w:pPr>
            <w:r>
              <w:rPr>
                <w:rFonts w:ascii="Arial" w:cs="Arial" w:eastAsia="Arial" w:hAnsi="Arial"/>
                <w:sz w:val="13"/>
                <w:szCs w:val="13"/>
                <w:color w:val="auto"/>
                <w:w w:val="91"/>
              </w:rPr>
              <w:t>The NASDAQ Stock Market, LLC</w:t>
            </w:r>
          </w:p>
        </w:tc>
      </w:tr>
    </w:tbl>
    <w:p>
      <w:pPr>
        <w:spacing w:after="0" w:line="121"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Lamar Advertising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0"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280" w:type="dxa"/>
            <w:vAlign w:val="bottom"/>
          </w:tcPr>
          <w:p>
            <w:pPr>
              <w:ind w:left="600"/>
              <w:spacing w:after="0"/>
              <w:rPr>
                <w:sz w:val="20"/>
                <w:szCs w:val="20"/>
                <w:color w:val="auto"/>
              </w:rPr>
            </w:pPr>
            <w:r>
              <w:rPr>
                <w:rFonts w:ascii="Arial" w:cs="Arial" w:eastAsia="Arial" w:hAnsi="Arial"/>
                <w:sz w:val="13"/>
                <w:szCs w:val="13"/>
                <w:color w:val="auto"/>
              </w:rPr>
              <w:t>x</w:t>
            </w:r>
          </w:p>
        </w:tc>
        <w:tc>
          <w:tcPr>
            <w:tcW w:w="4660" w:type="dxa"/>
            <w:vAlign w:val="bottom"/>
          </w:tcPr>
          <w:p>
            <w:pPr>
              <w:ind w:left="258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5"/>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58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70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280" w:type="dxa"/>
            <w:vAlign w:val="bottom"/>
          </w:tcPr>
          <w:p>
            <w:pPr>
              <w:ind w:left="60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13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Advertising Company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Lamar Media Corp.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r>
        <w:rPr>
          <w:rFonts w:ascii="MS PGothic" w:cs="MS PGothic" w:eastAsia="MS PGothic" w:hAnsi="MS PGothic"/>
          <w:sz w:val="13"/>
          <w:szCs w:val="13"/>
          <w:color w:val="auto"/>
        </w:rPr>
        <w: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9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ind w:left="2740"/>
              <w:spacing w:after="0"/>
              <w:rPr>
                <w:sz w:val="20"/>
                <w:szCs w:val="20"/>
                <w:color w:val="auto"/>
              </w:rPr>
            </w:pPr>
            <w:r>
              <w:rPr>
                <w:rFonts w:ascii="Arial" w:cs="Arial" w:eastAsia="Arial" w:hAnsi="Arial"/>
                <w:sz w:val="13"/>
                <w:szCs w:val="13"/>
                <w:color w:val="auto"/>
              </w:rPr>
              <w:t>Accelerated filer</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76"/>
        </w:trPr>
        <w:tc>
          <w:tcPr>
            <w:tcW w:w="1940" w:type="dxa"/>
            <w:vAlign w:val="bottom"/>
          </w:tcPr>
          <w:p>
            <w:pPr>
              <w:spacing w:after="0"/>
              <w:rPr>
                <w:sz w:val="20"/>
                <w:szCs w:val="20"/>
                <w:color w:val="auto"/>
              </w:rPr>
            </w:pPr>
            <w:r>
              <w:rPr>
                <w:rFonts w:ascii="Arial" w:cs="Arial" w:eastAsia="Arial" w:hAnsi="Arial"/>
                <w:sz w:val="13"/>
                <w:szCs w:val="13"/>
                <w:color w:val="auto"/>
              </w:rPr>
              <w:t>Non-accelerated filer</w:t>
            </w:r>
          </w:p>
        </w:tc>
        <w:tc>
          <w:tcPr>
            <w:tcW w:w="3440" w:type="dxa"/>
            <w:vAlign w:val="bottom"/>
          </w:tcPr>
          <w:p>
            <w:pPr>
              <w:ind w:left="580"/>
              <w:spacing w:after="0"/>
              <w:rPr>
                <w:sz w:val="20"/>
                <w:szCs w:val="20"/>
                <w:color w:val="auto"/>
              </w:rPr>
            </w:pPr>
            <w:r>
              <w:rPr>
                <w:rFonts w:ascii="Arial" w:cs="Arial" w:eastAsia="Arial" w:hAnsi="Arial"/>
                <w:sz w:val="13"/>
                <w:szCs w:val="13"/>
                <w:color w:val="auto"/>
              </w:rPr>
              <w:t>x</w:t>
            </w:r>
          </w:p>
        </w:tc>
        <w:tc>
          <w:tcPr>
            <w:tcW w:w="4660" w:type="dxa"/>
            <w:vAlign w:val="bottom"/>
          </w:tcPr>
          <w:p>
            <w:pPr>
              <w:ind w:left="2740"/>
              <w:spacing w:after="0"/>
              <w:rPr>
                <w:sz w:val="20"/>
                <w:szCs w:val="20"/>
                <w:color w:val="auto"/>
              </w:rPr>
            </w:pPr>
            <w:r>
              <w:rPr>
                <w:rFonts w:ascii="Arial" w:cs="Arial" w:eastAsia="Arial" w:hAnsi="Arial"/>
                <w:sz w:val="13"/>
                <w:szCs w:val="13"/>
                <w:color w:val="auto"/>
              </w:rPr>
              <w:t>Smaller reporting company</w:t>
            </w:r>
          </w:p>
        </w:tc>
        <w:tc>
          <w:tcPr>
            <w:tcW w:w="640" w:type="dxa"/>
            <w:vAlign w:val="bottom"/>
          </w:tcPr>
          <w:p>
            <w:pPr>
              <w:ind w:left="5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99"/>
        </w:trPr>
        <w:tc>
          <w:tcPr>
            <w:tcW w:w="194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40" w:type="dxa"/>
            <w:vAlign w:val="bottom"/>
          </w:tcPr>
          <w:p>
            <w:pPr>
              <w:ind w:left="580"/>
              <w:spacing w:after="0" w:line="131" w:lineRule="exact"/>
              <w:rPr>
                <w:sz w:val="20"/>
                <w:szCs w:val="20"/>
                <w:color w:val="auto"/>
              </w:rPr>
            </w:pPr>
            <w:r>
              <w:rPr>
                <w:rFonts w:ascii="MS PGothic" w:cs="MS PGothic" w:eastAsia="MS PGothic" w:hAnsi="MS PGothic"/>
                <w:sz w:val="13"/>
                <w:szCs w:val="13"/>
                <w:color w:val="auto"/>
              </w:rPr>
              <w:t>☐</w:t>
            </w:r>
          </w:p>
        </w:tc>
        <w:tc>
          <w:tcPr>
            <w:tcW w:w="466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3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Lamar Media Corp.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ectPr>
          <w:pgSz w:w="11900" w:h="16838" w:orient="portrait"/>
          <w:cols w:equalWidth="0" w:num="1">
            <w:col w:w="11240"/>
          </w:cols>
          <w:pgMar w:left="320" w:top="1165" w:right="339" w:bottom="1440" w:gutter="0" w:footer="0" w:header="0"/>
        </w:sectPr>
      </w:pPr>
    </w:p>
    <w:p>
      <w:pPr>
        <w:spacing w:after="0" w:line="28"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Lamar Advertising Company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85"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No x</w:t>
      </w:r>
    </w:p>
    <w:p>
      <w:pPr>
        <w:spacing w:after="0" w:line="28" w:lineRule="exact"/>
        <w:rPr>
          <w:sz w:val="24"/>
          <w:szCs w:val="24"/>
          <w:color w:val="auto"/>
        </w:rPr>
      </w:pPr>
    </w:p>
    <w:p>
      <w:pPr>
        <w:sectPr>
          <w:pgSz w:w="11900" w:h="16838" w:orient="portrait"/>
          <w:cols w:equalWidth="0" w:num="4">
            <w:col w:w="6540" w:space="120"/>
            <w:col w:w="200" w:space="60"/>
            <w:col w:w="100" w:space="120"/>
            <w:col w:w="4100"/>
          </w:cols>
          <w:pgMar w:left="320" w:top="1165" w:right="3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0"/>
          <w:szCs w:val="10"/>
          <w:color w:val="auto"/>
        </w:rPr>
        <w:t>Indicate by check mark whether Lamar Media Corp.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0"/>
          <w:szCs w:val="10"/>
          <w:color w:val="auto"/>
        </w:rPr>
        <w:t>Yes</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2"/>
          <w:szCs w:val="12"/>
          <w:color w:val="auto"/>
        </w:rPr>
        <w:t>x</w:t>
      </w:r>
    </w:p>
    <w:p>
      <w:pPr>
        <w:spacing w:after="0" w:line="56" w:lineRule="exact"/>
        <w:rPr>
          <w:sz w:val="24"/>
          <w:szCs w:val="24"/>
          <w:color w:val="auto"/>
        </w:rPr>
      </w:pPr>
    </w:p>
    <w:p>
      <w:pPr>
        <w:sectPr>
          <w:pgSz w:w="11900" w:h="16838" w:orient="portrait"/>
          <w:cols w:equalWidth="0" w:num="5">
            <w:col w:w="6060" w:space="120"/>
            <w:col w:w="200" w:space="60"/>
            <w:col w:w="100" w:space="120"/>
            <w:col w:w="160" w:space="60"/>
            <w:col w:w="4360"/>
          </w:cols>
          <w:pgMar w:left="320" w:top="1165" w:right="339" w:bottom="1440" w:gutter="0" w:footer="0" w:header="0"/>
          <w:type w:val="continuous"/>
        </w:sectPr>
      </w:pPr>
    </w:p>
    <w:p>
      <w:pPr>
        <w:spacing w:after="0"/>
        <w:rPr>
          <w:sz w:val="20"/>
          <w:szCs w:val="20"/>
          <w:color w:val="auto"/>
        </w:rPr>
      </w:pPr>
      <w:r>
        <w:rPr>
          <w:rFonts w:ascii="Arial" w:cs="Arial" w:eastAsia="Arial" w:hAnsi="Arial"/>
          <w:sz w:val="10"/>
          <w:szCs w:val="10"/>
          <w:color w:val="auto"/>
        </w:rPr>
        <w:t>The number of shares of Lamar Advertising Company’s Class A common stock outstanding as of July 31, 2021: 86,762,533</w:t>
      </w:r>
    </w:p>
    <w:p>
      <w:pPr>
        <w:spacing w:after="0" w:line="88" w:lineRule="exact"/>
        <w:rPr>
          <w:sz w:val="24"/>
          <w:szCs w:val="24"/>
          <w:color w:val="auto"/>
        </w:rPr>
      </w:pPr>
    </w:p>
    <w:p>
      <w:pPr>
        <w:spacing w:after="0"/>
        <w:rPr>
          <w:sz w:val="20"/>
          <w:szCs w:val="20"/>
          <w:color w:val="auto"/>
        </w:rPr>
      </w:pPr>
      <w:r>
        <w:rPr>
          <w:rFonts w:ascii="Arial" w:cs="Arial" w:eastAsia="Arial" w:hAnsi="Arial"/>
          <w:sz w:val="10"/>
          <w:szCs w:val="10"/>
          <w:color w:val="auto"/>
        </w:rPr>
        <w:t>The number of shares of the Lamar Advertising Company’s Class B common stock outstanding as of July 31, 2021: 14,420,085</w:t>
      </w:r>
    </w:p>
    <w:p>
      <w:pPr>
        <w:spacing w:after="0" w:line="88"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Lamar Media Corp. common stock outstanding as of July 31, 2021: 100</w:t>
      </w:r>
    </w:p>
    <w:p>
      <w:pPr>
        <w:sectPr>
          <w:pgSz w:w="11900" w:h="16838" w:orient="portrait"/>
          <w:cols w:equalWidth="0" w:num="1">
            <w:col w:w="11240"/>
          </w:cols>
          <w:pgMar w:left="320" w:top="1165" w:right="339" w:bottom="1440" w:gutter="0" w:footer="0" w:header="0"/>
          <w:type w:val="continuous"/>
        </w:sectPr>
      </w:pPr>
    </w:p>
    <w:p>
      <w:pPr>
        <w:spacing w:after="0" w:line="49" w:lineRule="exact"/>
        <w:rPr>
          <w:sz w:val="24"/>
          <w:szCs w:val="24"/>
          <w:color w:val="auto"/>
        </w:rPr>
      </w:pPr>
    </w:p>
    <w:p>
      <w:pPr>
        <w:spacing w:after="0" w:line="308" w:lineRule="auto"/>
        <w:rPr>
          <w:sz w:val="20"/>
          <w:szCs w:val="20"/>
          <w:color w:val="auto"/>
        </w:rPr>
      </w:pPr>
      <w:r>
        <w:rPr>
          <w:rFonts w:ascii="Arial" w:cs="Arial" w:eastAsia="Arial" w:hAnsi="Arial"/>
          <w:sz w:val="12"/>
          <w:szCs w:val="12"/>
          <w:b w:val="1"/>
          <w:bCs w:val="1"/>
          <w:color w:val="auto"/>
        </w:rPr>
        <w:t>This combined Form 10-Q is separately filed by (i) Lamar Advertising Company and (ii) Lamar Media Corp. (which is a wholly owned subsidiary of Lamar Advertising Company). Lamar Media Corp. meets the conditions set forth in general instruction H(1) (a) and (b) of Form 10-Q and is, therefore, filing this form with the reduced disclosure format permitted by such instruction</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included in this report is forward-looking in nature within the meaning of Section 27A of the Securities Act of 1933 and Section 21E of the Securities Exchange Act of 1934. This report uses terminology such as “anticipates,” “believes,” “plans,” “expects,” “future,” “intends,” “may,” “will,” “should,” “estimates,” “predicts,” “potential,” “continue” and similar expressions to identify forward-looking statements. Examples of forward-looking statements in this report include statements about:</w:t>
      </w:r>
    </w:p>
    <w:p>
      <w:pPr>
        <w:spacing w:after="0" w:line="7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financial performance and condition;</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plans, objectives, prospects, growth and operating strategies;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capital expenditures and level of acquisition activity;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opportunities and competitive positions;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cash flows and expected cash requirements;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risks;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compliance with applicable covenants and restrictions included in Lamar Media’s senior credit facility, Accounts Receivable Securitization Program and the indentures relating to its outstanding notes;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future dividend distributions;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qualified as a Real Estate Investment Trust (“REIT”).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subject to known and unknown risks, uncertainties and other important factors, including but not limited to the following, any of which may cause the actual results, performance or achievements of Lamar Advertising Company (referred to herein as the “Company” or “Lamar Advertising”) or Lamar Media Corp. (referred to herein as “Lamar Media”) to differ materially from those expressed or implied by the forward-looking statements:</w:t>
      </w:r>
    </w:p>
    <w:p>
      <w:pPr>
        <w:spacing w:after="0" w:line="79" w:lineRule="exact"/>
        <w:rPr>
          <w:sz w:val="20"/>
          <w:szCs w:val="20"/>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state of the economy and financial markets generally and their effects on the markets in which we operate and the broader demand for advertising;</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magnitude of the impact of the COVID-19 pandemic on our operations and on general economic conditions;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outdoor advertising in particular;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demand for outdoor advertising and its continued popularity as an advertising medium;</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operations and debt refinancing;</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within the outdoor advertising industry;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regulation of the outdoor advertising industry by federal, state and local governments;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expiring contracts at favorable rates;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businesses and assets that we acquire and our ability to recognize cost savings and operating efficiencies as a result of these acquisitions;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digital deployment strategy;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for our Class A common stock;</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principles, policies or guidelines;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mitigate the threat of and damages caused by hurricanes and other kinds of severe weather;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applicable to REITs or in the interpretation of those laws.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The forward-looking statements in this report are based on our current good faith beliefs, however, actual results may differ due to inaccurate assumptions, the factors listed above or other foreseeable or unforeseeable factors. Consequently, we cannot guarantee that any of the forward-looking statements will prove to be accurate. The forward-looking statements in this report speak only as of the date of this report, and Lamar Advertising and Lamar Media expressly disclaim any obligation or undertaking to update or revise any forward-looking statement contained in this report, except as required by law.</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further description of these and other risks and uncertainties, the Company encourages you to read carefully Item 1A to the combined Annual Report on Form 10-K for the year ended December 31, 2020 of the Company and Lamar Media (the “2020 Combined Form 10-K”), filed on February 26, 2021, and as such risk factors may be further updated or supplemented, from time to time, in our future combined Quarterly Reports on Form 10-Q and Current Reports on Form 8-K.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r>
      <w:tr>
        <w:trPr>
          <w:trHeight w:val="176"/>
        </w:trPr>
        <w:tc>
          <w:tcPr>
            <w:tcW w:w="10420" w:type="dxa"/>
            <w:vAlign w:val="bottom"/>
            <w:gridSpan w:val="18"/>
          </w:tcPr>
          <w:p>
            <w:pPr>
              <w:spacing w:after="0" w:line="156" w:lineRule="exact"/>
              <w:rPr>
                <w:rFonts w:ascii="Arial" w:cs="Arial" w:eastAsia="Arial" w:hAnsi="Arial"/>
                <w:sz w:val="18"/>
                <w:szCs w:val="18"/>
                <w:color w:val="0000FF"/>
              </w:rPr>
            </w:pPr>
            <w:hyperlink w:anchor="page4">
              <w:r>
                <w:rPr>
                  <w:rFonts w:ascii="Arial" w:cs="Arial" w:eastAsia="Arial" w:hAnsi="Arial"/>
                  <w:sz w:val="18"/>
                  <w:szCs w:val="18"/>
                  <w:color w:val="0000FF"/>
                </w:rPr>
                <w:t>PART I — FINANCIAL INFORMATION</w:t>
              </w:r>
            </w:hyperlink>
          </w:p>
        </w:tc>
        <w:tc>
          <w:tcPr>
            <w:tcW w:w="780" w:type="dxa"/>
            <w:vAlign w:val="bottom"/>
          </w:tcPr>
          <w:p>
            <w:pPr>
              <w:jc w:val="center"/>
              <w:spacing w:after="0" w:line="156"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5</w:t>
              </w:r>
            </w:hyperlink>
          </w:p>
        </w:tc>
      </w:tr>
      <w:tr>
        <w:trPr>
          <w:trHeight w:val="426"/>
        </w:trPr>
        <w:tc>
          <w:tcPr>
            <w:tcW w:w="3060" w:type="dxa"/>
            <w:vAlign w:val="bottom"/>
            <w:tcBorders>
              <w:top w:val="single" w:sz="8" w:color="0000FF"/>
            </w:tcBorders>
            <w:gridSpan w:val="8"/>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ITEM 1. FINANCIAL STATEMENTS</w:t>
              </w:r>
            </w:hyperlink>
          </w:p>
        </w:tc>
        <w:tc>
          <w:tcPr>
            <w:tcW w:w="7360" w:type="dxa"/>
            <w:vAlign w:val="bottom"/>
            <w:gridSpan w:val="10"/>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452"/>
        </w:trPr>
        <w:tc>
          <w:tcPr>
            <w:tcW w:w="28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Lamar Advertising Company</w:t>
            </w:r>
          </w:p>
        </w:tc>
        <w:tc>
          <w:tcPr>
            <w:tcW w:w="760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r>
      <w:tr>
        <w:trPr>
          <w:trHeight w:val="190"/>
        </w:trPr>
        <w:tc>
          <w:tcPr>
            <w:tcW w:w="480" w:type="dxa"/>
            <w:vAlign w:val="bottom"/>
          </w:tcPr>
          <w:p>
            <w:pPr>
              <w:spacing w:after="0"/>
              <w:rPr>
                <w:sz w:val="16"/>
                <w:szCs w:val="16"/>
                <w:color w:val="auto"/>
              </w:rPr>
            </w:pPr>
          </w:p>
        </w:tc>
        <w:tc>
          <w:tcPr>
            <w:tcW w:w="9940" w:type="dxa"/>
            <w:vAlign w:val="bottom"/>
            <w:gridSpan w:val="17"/>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 as of June 30, 2021 and December 31, 2020</w:t>
              </w:r>
            </w:hyperlink>
          </w:p>
        </w:tc>
        <w:tc>
          <w:tcPr>
            <w:tcW w:w="780" w:type="dxa"/>
            <w:vAlign w:val="bottom"/>
          </w:tcPr>
          <w:p>
            <w:pPr>
              <w:jc w:val="center"/>
              <w:spacing w:after="0" w:line="190"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5</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 xml:space="preserve">Condensed Consolidated Statements of Income and Comprehensive Income for the three and </w:t>
              </w:r>
            </w:hyperlink>
            <w:r>
              <w:rPr>
                <w:rFonts w:ascii="Arial" w:cs="Arial" w:eastAsia="Arial" w:hAnsi="Arial"/>
                <w:sz w:val="18"/>
                <w:szCs w:val="18"/>
                <w:color w:val="0000FF"/>
                <w:w w:val="88"/>
              </w:rPr>
              <w:t xml:space="preserve">six </w:t>
            </w:r>
            <w:hyperlink w:anchor="page5">
              <w:r>
                <w:rPr>
                  <w:rFonts w:ascii="Arial" w:cs="Arial" w:eastAsia="Arial" w:hAnsi="Arial"/>
                  <w:sz w:val="18"/>
                  <w:szCs w:val="18"/>
                  <w:color w:val="0000FF"/>
                  <w:w w:val="88"/>
                </w:rPr>
                <w:t>months ended June 30, 2021 and 2020</w:t>
              </w:r>
            </w:hyperlink>
          </w:p>
        </w:tc>
        <w:tc>
          <w:tcPr>
            <w:tcW w:w="200" w:type="dxa"/>
            <w:vAlign w:val="bottom"/>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6</w:t>
              </w:r>
            </w:hyperlink>
          </w:p>
        </w:tc>
      </w:tr>
      <w:tr>
        <w:trPr>
          <w:trHeight w:val="209"/>
        </w:trPr>
        <w:tc>
          <w:tcPr>
            <w:tcW w:w="480" w:type="dxa"/>
            <w:vAlign w:val="bottom"/>
          </w:tcPr>
          <w:p>
            <w:pPr>
              <w:spacing w:after="0"/>
              <w:rPr>
                <w:sz w:val="18"/>
                <w:szCs w:val="18"/>
                <w:color w:val="auto"/>
              </w:rPr>
            </w:pPr>
          </w:p>
        </w:tc>
        <w:tc>
          <w:tcPr>
            <w:tcW w:w="866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 xml:space="preserve">Condensed Consolidated Statements of Stockholders’ Equity for the three and </w:t>
              </w:r>
            </w:hyperlink>
            <w:r>
              <w:rPr>
                <w:rFonts w:ascii="Arial" w:cs="Arial" w:eastAsia="Arial" w:hAnsi="Arial"/>
                <w:sz w:val="18"/>
                <w:szCs w:val="18"/>
                <w:color w:val="0000FF"/>
                <w:w w:val="89"/>
              </w:rPr>
              <w:t xml:space="preserve">six </w:t>
            </w:r>
            <w:hyperlink w:anchor="page6">
              <w:r>
                <w:rPr>
                  <w:rFonts w:ascii="Arial" w:cs="Arial" w:eastAsia="Arial" w:hAnsi="Arial"/>
                  <w:sz w:val="18"/>
                  <w:szCs w:val="18"/>
                  <w:color w:val="0000FF"/>
                  <w:w w:val="89"/>
                </w:rPr>
                <w:t>months ended June 30, 2021 and 2020</w:t>
              </w:r>
            </w:hyperlink>
          </w:p>
        </w:tc>
        <w:tc>
          <w:tcPr>
            <w:tcW w:w="1280" w:type="dxa"/>
            <w:vAlign w:val="bottom"/>
            <w:gridSpan w:val="2"/>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2"/>
              </w:rPr>
            </w:pPr>
            <w:hyperlink w:anchor="page6">
              <w:r>
                <w:rPr>
                  <w:rFonts w:ascii="Arial" w:cs="Arial" w:eastAsia="Arial" w:hAnsi="Arial"/>
                  <w:sz w:val="18"/>
                  <w:szCs w:val="18"/>
                  <w:color w:val="auto"/>
                  <w:w w:val="92"/>
                </w:rPr>
                <w:t>7</w:t>
              </w:r>
            </w:hyperlink>
            <w:r>
              <w:rPr>
                <w:rFonts w:ascii="Arial" w:cs="Arial" w:eastAsia="Arial" w:hAnsi="Arial"/>
                <w:sz w:val="18"/>
                <w:szCs w:val="18"/>
                <w:color w:val="auto"/>
                <w:w w:val="92"/>
              </w:rPr>
              <w:t>-8</w:t>
            </w:r>
          </w:p>
        </w:tc>
      </w:tr>
      <w:tr>
        <w:trPr>
          <w:trHeight w:val="210"/>
        </w:trPr>
        <w:tc>
          <w:tcPr>
            <w:tcW w:w="480" w:type="dxa"/>
            <w:vAlign w:val="bottom"/>
          </w:tcPr>
          <w:p>
            <w:pPr>
              <w:spacing w:after="0"/>
              <w:rPr>
                <w:sz w:val="18"/>
                <w:szCs w:val="18"/>
                <w:color w:val="auto"/>
              </w:rPr>
            </w:pPr>
          </w:p>
        </w:tc>
        <w:tc>
          <w:tcPr>
            <w:tcW w:w="994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Cash Flows for the six months ended June 30, 2021 and 2020</w:t>
              </w:r>
            </w:hyperlink>
          </w:p>
        </w:tc>
        <w:tc>
          <w:tcPr>
            <w:tcW w:w="780" w:type="dxa"/>
            <w:vAlign w:val="bottom"/>
          </w:tcPr>
          <w:p>
            <w:pPr>
              <w:jc w:val="center"/>
              <w:spacing w:after="0"/>
              <w:rPr>
                <w:rFonts w:ascii="Arial" w:cs="Arial" w:eastAsia="Arial" w:hAnsi="Arial"/>
                <w:sz w:val="18"/>
                <w:szCs w:val="18"/>
                <w:color w:val="auto"/>
                <w:w w:val="99"/>
              </w:rPr>
            </w:pPr>
            <w:hyperlink w:anchor="page8">
              <w:r>
                <w:rPr>
                  <w:rFonts w:ascii="Arial" w:cs="Arial" w:eastAsia="Arial" w:hAnsi="Arial"/>
                  <w:sz w:val="18"/>
                  <w:szCs w:val="18"/>
                  <w:color w:val="auto"/>
                  <w:w w:val="99"/>
                </w:rPr>
                <w:t>9</w:t>
              </w:r>
            </w:hyperlink>
          </w:p>
        </w:tc>
      </w:tr>
      <w:tr>
        <w:trPr>
          <w:trHeight w:val="210"/>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2680" w:type="dxa"/>
            <w:vAlign w:val="bottom"/>
            <w:gridSpan w:val="4"/>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1"/>
              </w:rPr>
            </w:pPr>
            <w:hyperlink w:anchor="page9">
              <w:r>
                <w:rPr>
                  <w:rFonts w:ascii="Arial" w:cs="Arial" w:eastAsia="Arial" w:hAnsi="Arial"/>
                  <w:sz w:val="18"/>
                  <w:szCs w:val="18"/>
                  <w:color w:val="auto"/>
                  <w:w w:val="91"/>
                </w:rPr>
                <w:t>10</w:t>
              </w:r>
            </w:hyperlink>
            <w:r>
              <w:rPr>
                <w:rFonts w:ascii="Arial" w:cs="Arial" w:eastAsia="Arial" w:hAnsi="Arial"/>
                <w:sz w:val="18"/>
                <w:szCs w:val="18"/>
                <w:color w:val="auto"/>
                <w:w w:val="91"/>
              </w:rPr>
              <w:t>-20</w:t>
            </w:r>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52"/>
        </w:trPr>
        <w:tc>
          <w:tcPr>
            <w:tcW w:w="10420" w:type="dxa"/>
            <w:vAlign w:val="bottom"/>
            <w:gridSpan w:val="18"/>
          </w:tcPr>
          <w:p>
            <w:pPr>
              <w:spacing w:after="0"/>
              <w:rPr>
                <w:sz w:val="20"/>
                <w:szCs w:val="20"/>
                <w:color w:val="auto"/>
              </w:rPr>
            </w:pPr>
            <w:r>
              <w:rPr>
                <w:rFonts w:ascii="Arial" w:cs="Arial" w:eastAsia="Arial" w:hAnsi="Arial"/>
                <w:sz w:val="18"/>
                <w:szCs w:val="18"/>
                <w:color w:val="auto"/>
              </w:rPr>
              <w:t>Lamar Media Corp.</w:t>
            </w:r>
          </w:p>
        </w:tc>
        <w:tc>
          <w:tcPr>
            <w:tcW w:w="780" w:type="dxa"/>
            <w:vAlign w:val="bottom"/>
          </w:tcPr>
          <w:p>
            <w:pPr>
              <w:spacing w:after="0"/>
              <w:rPr>
                <w:sz w:val="24"/>
                <w:szCs w:val="24"/>
                <w:color w:val="auto"/>
              </w:rPr>
            </w:pPr>
          </w:p>
        </w:tc>
      </w:tr>
      <w:tr>
        <w:trPr>
          <w:trHeight w:val="190"/>
        </w:trPr>
        <w:tc>
          <w:tcPr>
            <w:tcW w:w="480" w:type="dxa"/>
            <w:vAlign w:val="bottom"/>
          </w:tcPr>
          <w:p>
            <w:pPr>
              <w:spacing w:after="0"/>
              <w:rPr>
                <w:sz w:val="16"/>
                <w:szCs w:val="16"/>
                <w:color w:val="auto"/>
              </w:rPr>
            </w:pPr>
          </w:p>
        </w:tc>
        <w:tc>
          <w:tcPr>
            <w:tcW w:w="9940" w:type="dxa"/>
            <w:vAlign w:val="bottom"/>
            <w:gridSpan w:val="17"/>
          </w:tcPr>
          <w:p>
            <w:pPr>
              <w:spacing w:after="0" w:line="190" w:lineRule="exact"/>
              <w:rPr>
                <w:rFonts w:ascii="Arial" w:cs="Arial" w:eastAsia="Arial" w:hAnsi="Arial"/>
                <w:sz w:val="18"/>
                <w:szCs w:val="18"/>
                <w:color w:val="0000FF"/>
              </w:rPr>
            </w:pPr>
            <w:hyperlink w:anchor="page20">
              <w:r>
                <w:rPr>
                  <w:rFonts w:ascii="Arial" w:cs="Arial" w:eastAsia="Arial" w:hAnsi="Arial"/>
                  <w:sz w:val="18"/>
                  <w:szCs w:val="18"/>
                  <w:color w:val="0000FF"/>
                </w:rPr>
                <w:t>Condensed Consolidated Balance Sheets as of June 30, 2021 and December 31, 2020</w:t>
              </w:r>
            </w:hyperlink>
          </w:p>
        </w:tc>
        <w:tc>
          <w:tcPr>
            <w:tcW w:w="780" w:type="dxa"/>
            <w:vAlign w:val="bottom"/>
          </w:tcPr>
          <w:p>
            <w:pPr>
              <w:jc w:val="center"/>
              <w:spacing w:after="0" w:line="190" w:lineRule="exact"/>
              <w:rPr>
                <w:rFonts w:ascii="Arial" w:cs="Arial" w:eastAsia="Arial" w:hAnsi="Arial"/>
                <w:sz w:val="18"/>
                <w:szCs w:val="18"/>
                <w:color w:val="auto"/>
                <w:w w:val="89"/>
              </w:rPr>
            </w:pPr>
            <w:hyperlink w:anchor="page20">
              <w:r>
                <w:rPr>
                  <w:rFonts w:ascii="Arial" w:cs="Arial" w:eastAsia="Arial" w:hAnsi="Arial"/>
                  <w:sz w:val="18"/>
                  <w:szCs w:val="18"/>
                  <w:color w:val="auto"/>
                  <w:w w:val="89"/>
                </w:rPr>
                <w:t>21</w:t>
              </w:r>
            </w:hyperlink>
          </w:p>
        </w:tc>
      </w:tr>
      <w:tr>
        <w:trPr>
          <w:trHeight w:val="20"/>
        </w:trPr>
        <w:tc>
          <w:tcPr>
            <w:tcW w:w="480" w:type="dxa"/>
            <w:vAlign w:val="bottom"/>
            <w:tcBorders>
              <w:right w:val="single" w:sz="8" w:color="0000FF"/>
            </w:tcBorders>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9740" w:type="dxa"/>
            <w:vAlign w:val="bottom"/>
            <w:tcBorders>
              <w:bottom w:val="single" w:sz="8" w:color="0000FF"/>
            </w:tcBorders>
            <w:gridSpan w:val="16"/>
          </w:tcPr>
          <w:p>
            <w:pPr>
              <w:spacing w:after="0"/>
              <w:rPr>
                <w:rFonts w:ascii="Arial" w:cs="Arial" w:eastAsia="Arial" w:hAnsi="Arial"/>
                <w:sz w:val="18"/>
                <w:szCs w:val="18"/>
                <w:color w:val="0000FF"/>
                <w:w w:val="88"/>
              </w:rPr>
            </w:pPr>
            <w:hyperlink w:anchor="page21">
              <w:r>
                <w:rPr>
                  <w:rFonts w:ascii="Arial" w:cs="Arial" w:eastAsia="Arial" w:hAnsi="Arial"/>
                  <w:sz w:val="18"/>
                  <w:szCs w:val="18"/>
                  <w:color w:val="0000FF"/>
                  <w:w w:val="88"/>
                </w:rPr>
                <w:t>Condensed Consolidated Statements of Income and Comprehensive Income for the three and six months ended June 30, 2021 and 2020</w:t>
              </w:r>
            </w:hyperlink>
          </w:p>
        </w:tc>
        <w:tc>
          <w:tcPr>
            <w:tcW w:w="200" w:type="dxa"/>
            <w:vAlign w:val="bottom"/>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89"/>
              </w:rPr>
            </w:pPr>
            <w:hyperlink w:anchor="page21">
              <w:r>
                <w:rPr>
                  <w:rFonts w:ascii="Arial" w:cs="Arial" w:eastAsia="Arial" w:hAnsi="Arial"/>
                  <w:sz w:val="18"/>
                  <w:szCs w:val="18"/>
                  <w:color w:val="auto"/>
                  <w:w w:val="89"/>
                </w:rPr>
                <w:t>22</w:t>
              </w:r>
            </w:hyperlink>
          </w:p>
        </w:tc>
      </w:tr>
      <w:tr>
        <w:trPr>
          <w:trHeight w:val="210"/>
        </w:trPr>
        <w:tc>
          <w:tcPr>
            <w:tcW w:w="480" w:type="dxa"/>
            <w:vAlign w:val="bottom"/>
          </w:tcPr>
          <w:p>
            <w:pPr>
              <w:spacing w:after="0"/>
              <w:rPr>
                <w:sz w:val="18"/>
                <w:szCs w:val="18"/>
                <w:color w:val="auto"/>
              </w:rPr>
            </w:pPr>
          </w:p>
        </w:tc>
        <w:tc>
          <w:tcPr>
            <w:tcW w:w="9940" w:type="dxa"/>
            <w:vAlign w:val="bottom"/>
            <w:gridSpan w:val="17"/>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Condensed Consolidated Statements of Stockholder's Equity for the three and six months ended June 30, 2021 and 2020</w:t>
              </w:r>
            </w:hyperlink>
          </w:p>
        </w:tc>
        <w:tc>
          <w:tcPr>
            <w:tcW w:w="780" w:type="dxa"/>
            <w:vAlign w:val="bottom"/>
          </w:tcPr>
          <w:p>
            <w:pPr>
              <w:jc w:val="center"/>
              <w:spacing w:after="0"/>
              <w:rPr>
                <w:rFonts w:ascii="Arial" w:cs="Arial" w:eastAsia="Arial" w:hAnsi="Arial"/>
                <w:sz w:val="18"/>
                <w:szCs w:val="18"/>
                <w:color w:val="auto"/>
                <w:w w:val="89"/>
              </w:rPr>
            </w:pPr>
            <w:hyperlink w:anchor="page22">
              <w:r>
                <w:rPr>
                  <w:rFonts w:ascii="Arial" w:cs="Arial" w:eastAsia="Arial" w:hAnsi="Arial"/>
                  <w:sz w:val="18"/>
                  <w:szCs w:val="18"/>
                  <w:color w:val="auto"/>
                  <w:w w:val="89"/>
                </w:rPr>
                <w:t>23</w:t>
              </w:r>
            </w:hyperlink>
          </w:p>
        </w:tc>
      </w:tr>
      <w:tr>
        <w:trPr>
          <w:trHeight w:val="210"/>
        </w:trPr>
        <w:tc>
          <w:tcPr>
            <w:tcW w:w="480" w:type="dxa"/>
            <w:vAlign w:val="bottom"/>
          </w:tcPr>
          <w:p>
            <w:pPr>
              <w:spacing w:after="0"/>
              <w:rPr>
                <w:sz w:val="18"/>
                <w:szCs w:val="18"/>
                <w:color w:val="auto"/>
              </w:rPr>
            </w:pPr>
          </w:p>
        </w:tc>
        <w:tc>
          <w:tcPr>
            <w:tcW w:w="8620" w:type="dxa"/>
            <w:vAlign w:val="bottom"/>
            <w:tcBorders>
              <w:top w:val="single" w:sz="8" w:color="0000FF"/>
            </w:tcBorders>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Condensed Consolidated Statements of Cash Flows for the six months ended June 30, 2021 and 2020</w:t>
              </w:r>
            </w:hyperlink>
          </w:p>
        </w:tc>
        <w:tc>
          <w:tcPr>
            <w:tcW w:w="1320" w:type="dxa"/>
            <w:vAlign w:val="bottom"/>
            <w:gridSpan w:val="3"/>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89"/>
              </w:rPr>
            </w:pPr>
            <w:hyperlink w:anchor="page23">
              <w:r>
                <w:rPr>
                  <w:rFonts w:ascii="Arial" w:cs="Arial" w:eastAsia="Arial" w:hAnsi="Arial"/>
                  <w:sz w:val="18"/>
                  <w:szCs w:val="18"/>
                  <w:color w:val="auto"/>
                  <w:w w:val="89"/>
                </w:rPr>
                <w:t>24</w:t>
              </w:r>
            </w:hyperlink>
          </w:p>
        </w:tc>
      </w:tr>
      <w:tr>
        <w:trPr>
          <w:trHeight w:val="209"/>
        </w:trPr>
        <w:tc>
          <w:tcPr>
            <w:tcW w:w="480" w:type="dxa"/>
            <w:vAlign w:val="bottom"/>
          </w:tcPr>
          <w:p>
            <w:pPr>
              <w:spacing w:after="0"/>
              <w:rPr>
                <w:sz w:val="18"/>
                <w:szCs w:val="18"/>
                <w:color w:val="auto"/>
              </w:rPr>
            </w:pPr>
          </w:p>
        </w:tc>
        <w:tc>
          <w:tcPr>
            <w:tcW w:w="7260" w:type="dxa"/>
            <w:vAlign w:val="bottom"/>
            <w:tcBorders>
              <w:top w:val="single" w:sz="8" w:color="0000FF"/>
            </w:tcBorders>
            <w:gridSpan w:val="13"/>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Notes to Condensed Consolidated Financial Statements</w:t>
              </w:r>
            </w:hyperlink>
          </w:p>
        </w:tc>
        <w:tc>
          <w:tcPr>
            <w:tcW w:w="2680" w:type="dxa"/>
            <w:vAlign w:val="bottom"/>
            <w:gridSpan w:val="4"/>
          </w:tcPr>
          <w:p>
            <w:pPr>
              <w:spacing w:after="0"/>
              <w:rPr>
                <w:sz w:val="18"/>
                <w:szCs w:val="18"/>
                <w:color w:val="auto"/>
              </w:rPr>
            </w:pPr>
          </w:p>
        </w:tc>
        <w:tc>
          <w:tcPr>
            <w:tcW w:w="780" w:type="dxa"/>
            <w:vAlign w:val="bottom"/>
          </w:tcPr>
          <w:p>
            <w:pPr>
              <w:jc w:val="center"/>
              <w:spacing w:after="0"/>
              <w:rPr>
                <w:rFonts w:ascii="Arial" w:cs="Arial" w:eastAsia="Arial" w:hAnsi="Arial"/>
                <w:sz w:val="18"/>
                <w:szCs w:val="18"/>
                <w:color w:val="auto"/>
                <w:w w:val="91"/>
              </w:rPr>
            </w:pPr>
            <w:hyperlink w:anchor="page24">
              <w:r>
                <w:rPr>
                  <w:rFonts w:ascii="Arial" w:cs="Arial" w:eastAsia="Arial" w:hAnsi="Arial"/>
                  <w:sz w:val="18"/>
                  <w:szCs w:val="18"/>
                  <w:color w:val="auto"/>
                  <w:w w:val="91"/>
                </w:rPr>
                <w:t>25</w:t>
              </w:r>
            </w:hyperlink>
            <w:r>
              <w:rPr>
                <w:rFonts w:ascii="Arial" w:cs="Arial" w:eastAsia="Arial" w:hAnsi="Arial"/>
                <w:sz w:val="18"/>
                <w:szCs w:val="18"/>
                <w:color w:val="auto"/>
                <w:w w:val="91"/>
              </w:rPr>
              <w:t>-33</w:t>
            </w:r>
          </w:p>
        </w:tc>
      </w:tr>
      <w:tr>
        <w:trPr>
          <w:trHeight w:val="20"/>
        </w:trPr>
        <w:tc>
          <w:tcPr>
            <w:tcW w:w="4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0420" w:type="dxa"/>
            <w:vAlign w:val="bottom"/>
            <w:gridSpan w:val="18"/>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ITEM 2. Management’s Discussion and Analysis of Financial Condition and Results of Operations</w:t>
              </w:r>
            </w:hyperlink>
          </w:p>
        </w:tc>
        <w:tc>
          <w:tcPr>
            <w:tcW w:w="780" w:type="dxa"/>
            <w:vAlign w:val="bottom"/>
          </w:tcPr>
          <w:p>
            <w:pPr>
              <w:jc w:val="center"/>
              <w:spacing w:after="0"/>
              <w:rPr>
                <w:rFonts w:ascii="Arial" w:cs="Arial" w:eastAsia="Arial" w:hAnsi="Arial"/>
                <w:sz w:val="18"/>
                <w:szCs w:val="18"/>
                <w:color w:val="auto"/>
                <w:w w:val="91"/>
              </w:rPr>
            </w:pPr>
            <w:hyperlink w:anchor="page33">
              <w:r>
                <w:rPr>
                  <w:rFonts w:ascii="Arial" w:cs="Arial" w:eastAsia="Arial" w:hAnsi="Arial"/>
                  <w:sz w:val="18"/>
                  <w:szCs w:val="18"/>
                  <w:color w:val="auto"/>
                  <w:w w:val="91"/>
                </w:rPr>
                <w:t>34</w:t>
              </w:r>
            </w:hyperlink>
            <w:r>
              <w:rPr>
                <w:rFonts w:ascii="Arial" w:cs="Arial" w:eastAsia="Arial" w:hAnsi="Arial"/>
                <w:sz w:val="18"/>
                <w:szCs w:val="18"/>
                <w:color w:val="auto"/>
                <w:w w:val="91"/>
              </w:rPr>
              <w:t>-51</w:t>
            </w:r>
          </w:p>
        </w:tc>
      </w:tr>
      <w:tr>
        <w:trPr>
          <w:trHeight w:val="318"/>
        </w:trPr>
        <w:tc>
          <w:tcPr>
            <w:tcW w:w="50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3"/>
              </w:rPr>
            </w:pPr>
            <w:hyperlink w:anchor="page51">
              <w:r>
                <w:rPr>
                  <w:rFonts w:ascii="Arial" w:cs="Arial" w:eastAsia="Arial" w:hAnsi="Arial"/>
                  <w:sz w:val="18"/>
                  <w:szCs w:val="18"/>
                  <w:color w:val="0000FF"/>
                  <w:w w:val="93"/>
                </w:rPr>
                <w:t>ITEM 3. Quantitative and Qualitative Disclosures About Market Risk</w:t>
              </w:r>
            </w:hyperlink>
          </w:p>
        </w:tc>
        <w:tc>
          <w:tcPr>
            <w:tcW w:w="2080" w:type="dxa"/>
            <w:vAlign w:val="bottom"/>
            <w:tcBorders>
              <w:top w:val="single" w:sz="8" w:color="0000FF"/>
            </w:tcBorders>
            <w:gridSpan w:val="2"/>
          </w:tcPr>
          <w:p>
            <w:pPr>
              <w:spacing w:after="0"/>
              <w:rPr>
                <w:sz w:val="24"/>
                <w:szCs w:val="24"/>
                <w:color w:val="auto"/>
              </w:rPr>
            </w:pPr>
          </w:p>
        </w:tc>
        <w:tc>
          <w:tcPr>
            <w:tcW w:w="3300" w:type="dxa"/>
            <w:vAlign w:val="bottom"/>
            <w:gridSpan w:val="5"/>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1">
              <w:r>
                <w:rPr>
                  <w:rFonts w:ascii="Arial" w:cs="Arial" w:eastAsia="Arial" w:hAnsi="Arial"/>
                  <w:sz w:val="18"/>
                  <w:szCs w:val="18"/>
                  <w:color w:val="auto"/>
                  <w:w w:val="89"/>
                </w:rPr>
                <w:t>52</w:t>
              </w:r>
            </w:hyperlink>
          </w:p>
        </w:tc>
      </w:tr>
      <w:tr>
        <w:trPr>
          <w:trHeight w:val="358"/>
        </w:trPr>
        <w:tc>
          <w:tcPr>
            <w:tcW w:w="244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52">
              <w:r>
                <w:rPr>
                  <w:rFonts w:ascii="Arial" w:cs="Arial" w:eastAsia="Arial" w:hAnsi="Arial"/>
                  <w:sz w:val="18"/>
                  <w:szCs w:val="18"/>
                  <w:color w:val="0000FF"/>
                  <w:w w:val="90"/>
                </w:rPr>
                <w:t>ITEM 4. Controls and Procedures</w:t>
              </w:r>
            </w:hyperlink>
          </w:p>
        </w:tc>
        <w:tc>
          <w:tcPr>
            <w:tcW w:w="7980" w:type="dxa"/>
            <w:vAlign w:val="bottom"/>
            <w:gridSpan w:val="13"/>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52</w:t>
              </w:r>
            </w:hyperlink>
          </w:p>
        </w:tc>
      </w:tr>
      <w:tr>
        <w:trPr>
          <w:trHeight w:val="358"/>
        </w:trPr>
        <w:tc>
          <w:tcPr>
            <w:tcW w:w="2760" w:type="dxa"/>
            <w:vAlign w:val="bottom"/>
            <w:tcBorders>
              <w:bottom w:val="single" w:sz="8" w:color="0000FF"/>
            </w:tcBorders>
            <w:gridSpan w:val="6"/>
          </w:tcPr>
          <w:p>
            <w:pPr>
              <w:spacing w:after="0"/>
              <w:rPr>
                <w:rFonts w:ascii="Arial" w:cs="Arial" w:eastAsia="Arial" w:hAnsi="Arial"/>
                <w:sz w:val="18"/>
                <w:szCs w:val="18"/>
                <w:color w:val="0000FF"/>
                <w:w w:val="96"/>
              </w:rPr>
            </w:pPr>
            <w:hyperlink w:anchor="page52">
              <w:r>
                <w:rPr>
                  <w:rFonts w:ascii="Arial" w:cs="Arial" w:eastAsia="Arial" w:hAnsi="Arial"/>
                  <w:sz w:val="18"/>
                  <w:szCs w:val="18"/>
                  <w:color w:val="0000FF"/>
                  <w:w w:val="96"/>
                </w:rPr>
                <w:t>PART II — OTHER INFORMATION</w:t>
              </w:r>
            </w:hyperlink>
          </w:p>
        </w:tc>
        <w:tc>
          <w:tcPr>
            <w:tcW w:w="7660" w:type="dxa"/>
            <w:vAlign w:val="bottom"/>
            <w:gridSpan w:val="12"/>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2">
              <w:r>
                <w:rPr>
                  <w:rFonts w:ascii="Arial" w:cs="Arial" w:eastAsia="Arial" w:hAnsi="Arial"/>
                  <w:sz w:val="18"/>
                  <w:szCs w:val="18"/>
                  <w:color w:val="auto"/>
                  <w:w w:val="89"/>
                </w:rPr>
                <w:t>53</w:t>
              </w:r>
            </w:hyperlink>
          </w:p>
        </w:tc>
      </w:tr>
      <w:tr>
        <w:trPr>
          <w:trHeight w:val="358"/>
        </w:trPr>
        <w:tc>
          <w:tcPr>
            <w:tcW w:w="1042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1A. Risk Factors</w:t>
              </w:r>
            </w:hyperlink>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58"/>
        </w:trPr>
        <w:tc>
          <w:tcPr>
            <w:tcW w:w="502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53">
              <w:r>
                <w:rPr>
                  <w:rFonts w:ascii="Arial" w:cs="Arial" w:eastAsia="Arial" w:hAnsi="Arial"/>
                  <w:sz w:val="18"/>
                  <w:szCs w:val="18"/>
                  <w:color w:val="0000FF"/>
                  <w:w w:val="90"/>
                </w:rPr>
                <w:t>ITEM 2. Unregistered Sales of Equity Securities and Use of Proceeds</w:t>
              </w:r>
            </w:hyperlink>
          </w:p>
        </w:tc>
        <w:tc>
          <w:tcPr>
            <w:tcW w:w="5400" w:type="dxa"/>
            <w:vAlign w:val="bottom"/>
            <w:gridSpan w:val="8"/>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r>
      <w:tr>
        <w:trPr>
          <w:trHeight w:val="358"/>
        </w:trPr>
        <w:tc>
          <w:tcPr>
            <w:tcW w:w="10420" w:type="dxa"/>
            <w:vAlign w:val="bottom"/>
            <w:gridSpan w:val="18"/>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5. Other Information</w:t>
              </w:r>
            </w:hyperlink>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53</w:t>
              </w:r>
            </w:hyperlink>
          </w:p>
        </w:tc>
      </w:tr>
      <w:tr>
        <w:trPr>
          <w:trHeight w:val="358"/>
        </w:trPr>
        <w:tc>
          <w:tcPr>
            <w:tcW w:w="12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6"/>
              </w:rPr>
            </w:pPr>
            <w:hyperlink w:anchor="page53">
              <w:r>
                <w:rPr>
                  <w:rFonts w:ascii="Arial" w:cs="Arial" w:eastAsia="Arial" w:hAnsi="Arial"/>
                  <w:sz w:val="18"/>
                  <w:szCs w:val="18"/>
                  <w:color w:val="0000FF"/>
                  <w:w w:val="96"/>
                </w:rPr>
                <w:t>ITEM 6. Exhibits</w:t>
              </w:r>
            </w:hyperlink>
          </w:p>
        </w:tc>
        <w:tc>
          <w:tcPr>
            <w:tcW w:w="700" w:type="dxa"/>
            <w:vAlign w:val="bottom"/>
            <w:tcBorders>
              <w:top w:val="single" w:sz="8" w:color="0000FF"/>
            </w:tcBorders>
            <w:gridSpan w:val="2"/>
          </w:tcPr>
          <w:p>
            <w:pPr>
              <w:spacing w:after="0"/>
              <w:rPr>
                <w:sz w:val="24"/>
                <w:szCs w:val="24"/>
                <w:color w:val="auto"/>
              </w:rPr>
            </w:pPr>
          </w:p>
        </w:tc>
        <w:tc>
          <w:tcPr>
            <w:tcW w:w="8440" w:type="dxa"/>
            <w:vAlign w:val="bottom"/>
            <w:gridSpan w:val="14"/>
          </w:tcPr>
          <w:p>
            <w:pPr>
              <w:spacing w:after="0"/>
              <w:rPr>
                <w:sz w:val="24"/>
                <w:szCs w:val="24"/>
                <w:color w:val="auto"/>
              </w:rPr>
            </w:pPr>
          </w:p>
        </w:tc>
        <w:tc>
          <w:tcPr>
            <w:tcW w:w="780" w:type="dxa"/>
            <w:vAlign w:val="bottom"/>
          </w:tcPr>
          <w:p>
            <w:pPr>
              <w:jc w:val="center"/>
              <w:spacing w:after="0"/>
              <w:rPr>
                <w:rFonts w:ascii="Arial" w:cs="Arial" w:eastAsia="Arial" w:hAnsi="Arial"/>
                <w:sz w:val="18"/>
                <w:szCs w:val="18"/>
                <w:color w:val="auto"/>
                <w:w w:val="89"/>
              </w:rPr>
            </w:pPr>
            <w:hyperlink w:anchor="page53">
              <w:r>
                <w:rPr>
                  <w:rFonts w:ascii="Arial" w:cs="Arial" w:eastAsia="Arial" w:hAnsi="Arial"/>
                  <w:sz w:val="18"/>
                  <w:szCs w:val="18"/>
                  <w:color w:val="auto"/>
                  <w:w w:val="89"/>
                </w:rPr>
                <w:t>54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183"/>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0"/>
        </w:trPr>
        <w:tc>
          <w:tcPr>
            <w:tcW w:w="8000" w:type="dxa"/>
            <w:vAlign w:val="bottom"/>
            <w:shd w:val="clear" w:color="auto" w:fill="CCEEFF"/>
          </w:tcPr>
          <w:p>
            <w:pPr>
              <w:ind w:left="37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68,726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121,569</w:t>
            </w:r>
          </w:p>
        </w:tc>
      </w:tr>
      <w:tr>
        <w:trPr>
          <w:trHeight w:val="186"/>
        </w:trPr>
        <w:tc>
          <w:tcPr>
            <w:tcW w:w="8000" w:type="dxa"/>
            <w:vAlign w:val="bottom"/>
          </w:tcPr>
          <w:p>
            <w:pPr>
              <w:ind w:left="260"/>
              <w:spacing w:after="0"/>
              <w:rPr>
                <w:sz w:val="20"/>
                <w:szCs w:val="20"/>
                <w:color w:val="auto"/>
              </w:rPr>
            </w:pPr>
            <w:r>
              <w:rPr>
                <w:rFonts w:ascii="Arial" w:cs="Arial" w:eastAsia="Arial" w:hAnsi="Arial"/>
                <w:sz w:val="14"/>
                <w:szCs w:val="14"/>
                <w:color w:val="auto"/>
              </w:rPr>
              <w:t>Receivables, net of allowance for doubtful accounts of $13,203 and $14,946 in 2021 and 2020, respectively</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257,412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240,854</w:t>
            </w: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22,055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18,147</w:t>
            </w: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348,193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380,570</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3,642,397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3,615,505</w:t>
            </w:r>
          </w:p>
        </w:tc>
      </w:tr>
      <w:tr>
        <w:trPr>
          <w:trHeight w:val="186"/>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Less accumulated depreciation and amortization</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(2,376,903)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(2,333,656)</w:t>
            </w:r>
          </w:p>
        </w:tc>
      </w:tr>
      <w:tr>
        <w:trPr>
          <w:trHeight w:val="183"/>
        </w:trPr>
        <w:tc>
          <w:tcPr>
            <w:tcW w:w="8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property, plant and equipment</w:t>
            </w:r>
          </w:p>
        </w:tc>
        <w:tc>
          <w:tcPr>
            <w:tcW w:w="2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1,265,494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1,281,849</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jc w:val="both"/>
        <w:ind w:left="20"/>
        <w:spacing w:after="0" w:line="279" w:lineRule="auto"/>
        <w:rPr>
          <w:sz w:val="20"/>
          <w:szCs w:val="20"/>
          <w:color w:val="auto"/>
        </w:rPr>
      </w:pPr>
      <w:r>
        <w:rPr>
          <w:rFonts w:ascii="Arial" w:cs="Arial" w:eastAsia="Arial" w:hAnsi="Arial"/>
          <w:sz w:val="14"/>
          <w:szCs w:val="14"/>
          <w:color w:val="auto"/>
        </w:rPr>
        <w:t>Operating lease right of use assets Financing lease right of use assets Goodwill</w:t>
      </w:r>
    </w:p>
    <w:p>
      <w:pPr>
        <w:ind w:left="20"/>
        <w:spacing w:after="0"/>
        <w:rPr>
          <w:sz w:val="20"/>
          <w:szCs w:val="20"/>
          <w:color w:val="auto"/>
        </w:rPr>
      </w:pPr>
      <w:r>
        <w:rPr>
          <w:rFonts w:ascii="Arial" w:cs="Arial" w:eastAsia="Arial" w:hAnsi="Arial"/>
          <w:sz w:val="14"/>
          <w:szCs w:val="14"/>
          <w:color w:val="auto"/>
        </w:rPr>
        <w:t>Intangible assets, net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assets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56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1,227,554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1,222,013</w:t>
            </w:r>
          </w:p>
        </w:tc>
      </w:tr>
      <w:tr>
        <w:trPr>
          <w:trHeight w:val="184"/>
        </w:trPr>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18,317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19,670</w:t>
            </w:r>
          </w:p>
        </w:tc>
      </w:tr>
      <w:tr>
        <w:trPr>
          <w:trHeight w:val="189"/>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1,912,399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1,912,328</w:t>
            </w:r>
          </w:p>
        </w:tc>
      </w:tr>
      <w:tr>
        <w:trPr>
          <w:trHeight w:val="189"/>
        </w:trPr>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879,145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914,446</w:t>
            </w:r>
          </w:p>
        </w:tc>
      </w:tr>
      <w:tr>
        <w:trPr>
          <w:trHeight w:val="195"/>
        </w:trPr>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64,196</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60,565</w:t>
            </w:r>
          </w:p>
        </w:tc>
      </w:tr>
      <w:tr>
        <w:trPr>
          <w:trHeight w:val="182"/>
        </w:trPr>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5,715,298</w:t>
            </w:r>
          </w:p>
        </w:tc>
        <w:tc>
          <w:tcPr>
            <w:tcW w:w="120" w:type="dxa"/>
            <w:vAlign w:val="bottom"/>
          </w:tcPr>
          <w:p>
            <w:pPr>
              <w:spacing w:after="0"/>
              <w:rPr>
                <w:sz w:val="15"/>
                <w:szCs w:val="15"/>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5,791,441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-603885</wp:posOffset>
            </wp:positionV>
            <wp:extent cx="7132320" cy="120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-363855</wp:posOffset>
            </wp:positionV>
            <wp:extent cx="71323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-1543685</wp:posOffset>
            </wp:positionH>
            <wp:positionV relativeFrom="paragraph">
              <wp:posOffset>-123825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-86995</wp:posOffset>
            </wp:positionV>
            <wp:extent cx="205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1980" w:space="460"/>
            <w:col w:w="88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Trade accounts payable</w:t>
            </w: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10,769</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12,017</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Current maturities of long-term debt, net of deferred financing costs of $673 and $445 in 2021 and 2020, respectively</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122,195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122,434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Current 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176,431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195,439</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financing lease liabilities</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89,172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105,288</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income</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144,878</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111,363</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liabilities</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544,776</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547,872</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net of deferred financing costs of $38,624 and $39,672 in 2021 and 2020, respectively</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2,661,486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2,764,082</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989,086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993,776</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lease liabilities</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18,608</w:t>
            </w:r>
          </w:p>
        </w:tc>
        <w:tc>
          <w:tcPr>
            <w:tcW w:w="0" w:type="dxa"/>
            <w:vAlign w:val="bottom"/>
          </w:tcPr>
          <w:p>
            <w:pPr>
              <w:spacing w:after="0"/>
              <w:rPr>
                <w:sz w:val="1"/>
                <w:szCs w:val="1"/>
                <w:color w:val="auto"/>
              </w:rPr>
            </w:pPr>
          </w:p>
        </w:tc>
      </w:tr>
      <w:tr>
        <w:trPr>
          <w:trHeight w:val="186"/>
        </w:trPr>
        <w:tc>
          <w:tcPr>
            <w:tcW w:w="8000" w:type="dxa"/>
            <w:vAlign w:val="bottom"/>
          </w:tcPr>
          <w:p>
            <w:pPr>
              <w:ind w:left="20"/>
              <w:spacing w:after="0"/>
              <w:rPr>
                <w:sz w:val="20"/>
                <w:szCs w:val="20"/>
                <w:color w:val="auto"/>
              </w:rPr>
            </w:pPr>
            <w:r>
              <w:rPr>
                <w:rFonts w:ascii="Arial" w:cs="Arial" w:eastAsia="Arial" w:hAnsi="Arial"/>
                <w:sz w:val="14"/>
                <w:szCs w:val="14"/>
                <w:color w:val="auto"/>
              </w:rPr>
              <w:t>Deferred income tax liabilities</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6,488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4,854</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retirement obligation</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223,876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222,876</w:t>
            </w:r>
          </w:p>
        </w:tc>
        <w:tc>
          <w:tcPr>
            <w:tcW w:w="0" w:type="dxa"/>
            <w:vAlign w:val="bottom"/>
          </w:tcPr>
          <w:p>
            <w:pPr>
              <w:spacing w:after="0"/>
              <w:rPr>
                <w:sz w:val="1"/>
                <w:szCs w:val="1"/>
                <w:color w:val="auto"/>
              </w:rPr>
            </w:pPr>
          </w:p>
        </w:tc>
      </w:tr>
      <w:tr>
        <w:trPr>
          <w:trHeight w:val="186"/>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liabilities</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40,039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36,605</w:t>
            </w:r>
          </w:p>
        </w:tc>
        <w:tc>
          <w:tcPr>
            <w:tcW w:w="0" w:type="dxa"/>
            <w:vAlign w:val="bottom"/>
          </w:tcPr>
          <w:p>
            <w:pPr>
              <w:spacing w:after="0"/>
              <w:rPr>
                <w:sz w:val="1"/>
                <w:szCs w:val="1"/>
                <w:color w:val="auto"/>
              </w:rPr>
            </w:pPr>
          </w:p>
        </w:tc>
      </w:tr>
      <w:tr>
        <w:trPr>
          <w:trHeight w:val="186"/>
        </w:trPr>
        <w:tc>
          <w:tcPr>
            <w:tcW w:w="800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4,483,693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4,588,673</w:t>
            </w:r>
          </w:p>
        </w:tc>
        <w:tc>
          <w:tcPr>
            <w:tcW w:w="0" w:type="dxa"/>
            <w:vAlign w:val="bottom"/>
          </w:tcPr>
          <w:p>
            <w:pPr>
              <w:spacing w:after="0"/>
              <w:rPr>
                <w:sz w:val="1"/>
                <w:szCs w:val="1"/>
                <w:color w:val="auto"/>
              </w:rPr>
            </w:pPr>
          </w:p>
        </w:tc>
      </w:tr>
      <w:tr>
        <w:trPr>
          <w:trHeight w:val="166"/>
        </w:trPr>
        <w:tc>
          <w:tcPr>
            <w:tcW w:w="800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8000" w:type="dxa"/>
            <w:vAlign w:val="bottom"/>
            <w:shd w:val="clear" w:color="auto" w:fill="CCEEFF"/>
          </w:tcPr>
          <w:p>
            <w:pPr>
              <w:ind w:left="260"/>
              <w:spacing w:after="0" w:line="139" w:lineRule="exact"/>
              <w:rPr>
                <w:sz w:val="20"/>
                <w:szCs w:val="20"/>
                <w:color w:val="auto"/>
              </w:rPr>
            </w:pPr>
            <w:r>
              <w:rPr>
                <w:rFonts w:ascii="Arial" w:cs="Arial" w:eastAsia="Arial" w:hAnsi="Arial"/>
                <w:sz w:val="14"/>
                <w:szCs w:val="14"/>
                <w:color w:val="auto"/>
                <w:w w:val="99"/>
              </w:rPr>
              <w:t>Series AA preferred stock, par value $0.001, $63.80 cumulative dividends, 5,720 shares authorized; 5,720 shares issued and</w:t>
            </w:r>
          </w:p>
        </w:tc>
        <w:tc>
          <w:tcPr>
            <w:tcW w:w="5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0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outstanding at 2021 and 2020</w:t>
            </w:r>
          </w:p>
        </w:tc>
        <w:tc>
          <w:tcPr>
            <w:tcW w:w="5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000" w:type="dxa"/>
            <w:vAlign w:val="bottom"/>
          </w:tcPr>
          <w:p>
            <w:pPr>
              <w:ind w:left="260"/>
              <w:spacing w:after="0" w:line="135" w:lineRule="exact"/>
              <w:rPr>
                <w:sz w:val="20"/>
                <w:szCs w:val="20"/>
                <w:color w:val="auto"/>
              </w:rPr>
            </w:pPr>
            <w:r>
              <w:rPr>
                <w:rFonts w:ascii="Arial" w:cs="Arial" w:eastAsia="Arial" w:hAnsi="Arial"/>
                <w:sz w:val="14"/>
                <w:szCs w:val="14"/>
                <w:color w:val="auto"/>
                <w:w w:val="91"/>
              </w:rPr>
              <w:t>Class A common stock, par value $0.001, 362,500,000 shares authorized; 87,447,504 and 87,111,327 shares issued at 2021 and 2020,</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86"/>
        </w:trPr>
        <w:tc>
          <w:tcPr>
            <w:tcW w:w="8000" w:type="dxa"/>
            <w:vAlign w:val="bottom"/>
          </w:tcPr>
          <w:p>
            <w:pPr>
              <w:ind w:left="520"/>
              <w:spacing w:after="0"/>
              <w:rPr>
                <w:sz w:val="20"/>
                <w:szCs w:val="20"/>
                <w:color w:val="auto"/>
              </w:rPr>
            </w:pPr>
            <w:r>
              <w:rPr>
                <w:rFonts w:ascii="Arial" w:cs="Arial" w:eastAsia="Arial" w:hAnsi="Arial"/>
                <w:sz w:val="14"/>
                <w:szCs w:val="14"/>
                <w:color w:val="auto"/>
              </w:rPr>
              <w:t>respectively; 86,762,533 and 86,491,646 outstanding at 2021 and 2020, respectively</w:t>
            </w: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w w:val="92"/>
              </w:rPr>
              <w:t>Class B common stock, par value $0.001, 37,500,000 shares authorized, 14,420,085 shares issued and outstanding at 2021 and 2020</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1,991,836</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1,963,850</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comprehensive income</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186"/>
        </w:trPr>
        <w:tc>
          <w:tcPr>
            <w:tcW w:w="8000" w:type="dxa"/>
            <w:vAlign w:val="bottom"/>
          </w:tcPr>
          <w:p>
            <w:pPr>
              <w:ind w:left="220"/>
              <w:spacing w:after="0"/>
              <w:rPr>
                <w:sz w:val="20"/>
                <w:szCs w:val="20"/>
                <w:color w:val="auto"/>
              </w:rPr>
            </w:pPr>
            <w:r>
              <w:rPr>
                <w:rFonts w:ascii="Arial" w:cs="Arial" w:eastAsia="Arial" w:hAnsi="Arial"/>
                <w:sz w:val="14"/>
                <w:szCs w:val="14"/>
                <w:color w:val="auto"/>
              </w:rPr>
              <w:t>Accumulated deficit</w:t>
            </w: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(711,267)</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(717,331)</w:t>
            </w:r>
          </w:p>
        </w:tc>
        <w:tc>
          <w:tcPr>
            <w:tcW w:w="0" w:type="dxa"/>
            <w:vAlign w:val="bottom"/>
          </w:tcPr>
          <w:p>
            <w:pPr>
              <w:spacing w:after="0"/>
              <w:rPr>
                <w:sz w:val="1"/>
                <w:szCs w:val="1"/>
                <w:color w:val="auto"/>
              </w:rPr>
            </w:pPr>
          </w:p>
        </w:tc>
      </w:tr>
      <w:tr>
        <w:trPr>
          <w:trHeight w:val="192"/>
        </w:trPr>
        <w:tc>
          <w:tcPr>
            <w:tcW w:w="8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Cost of shares held in treasury, 684,971 and 619,681 shares at 2021 and 2020, respectively</w:t>
            </w: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(50,503)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(44,786)</w:t>
            </w:r>
          </w:p>
        </w:tc>
        <w:tc>
          <w:tcPr>
            <w:tcW w:w="0" w:type="dxa"/>
            <w:vAlign w:val="bottom"/>
          </w:tcPr>
          <w:p>
            <w:pPr>
              <w:spacing w:after="0"/>
              <w:rPr>
                <w:sz w:val="1"/>
                <w:szCs w:val="1"/>
                <w:color w:val="auto"/>
              </w:rPr>
            </w:pPr>
          </w:p>
        </w:tc>
      </w:tr>
      <w:tr>
        <w:trPr>
          <w:trHeight w:val="179"/>
        </w:trPr>
        <w:tc>
          <w:tcPr>
            <w:tcW w:w="800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Stockholders’ equity</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1,231,605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1,202,768</w:t>
            </w: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5,715,298</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5,791,441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445,052</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347,652</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815,933</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754,221</w:t>
            </w:r>
          </w:p>
        </w:tc>
        <w:tc>
          <w:tcPr>
            <w:tcW w:w="0" w:type="dxa"/>
            <w:vAlign w:val="bottom"/>
          </w:tcPr>
          <w:p>
            <w:pPr>
              <w:spacing w:after="0"/>
              <w:rPr>
                <w:sz w:val="1"/>
                <w:szCs w:val="1"/>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w w:val="93"/>
              </w:rPr>
              <w:t>Direct advertising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140,448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134,059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271,663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283,553</w:t>
            </w:r>
          </w:p>
        </w:tc>
        <w:tc>
          <w:tcPr>
            <w:tcW w:w="0" w:type="dxa"/>
            <w:vAlign w:val="bottom"/>
          </w:tcPr>
          <w:p>
            <w:pPr>
              <w:spacing w:after="0"/>
              <w:rPr>
                <w:sz w:val="1"/>
                <w:szCs w:val="1"/>
                <w:color w:val="auto"/>
              </w:rPr>
            </w:pPr>
          </w:p>
        </w:tc>
      </w:tr>
      <w:tr>
        <w:trPr>
          <w:trHeight w:val="175"/>
        </w:trPr>
        <w:tc>
          <w:tcPr>
            <w:tcW w:w="5620" w:type="dxa"/>
            <w:vAlign w:val="bottom"/>
            <w:shd w:val="clear" w:color="auto" w:fill="CFF0FC"/>
          </w:tcPr>
          <w:p>
            <w:pPr>
              <w:ind w:left="220"/>
              <w:spacing w:after="0" w:line="176" w:lineRule="exact"/>
              <w:rPr>
                <w:sz w:val="20"/>
                <w:szCs w:val="20"/>
                <w:color w:val="auto"/>
              </w:rPr>
            </w:pPr>
            <w:r>
              <w:rPr>
                <w:rFonts w:ascii="Arial" w:cs="Arial" w:eastAsia="Arial" w:hAnsi="Arial"/>
                <w:sz w:val="18"/>
                <w:szCs w:val="18"/>
                <w:color w:val="auto"/>
                <w:w w:val="99"/>
              </w:rPr>
              <w:t>General and administrative expenses (exclusive of depreciation and</w:t>
            </w:r>
          </w:p>
        </w:tc>
        <w:tc>
          <w:tcPr>
            <w:tcW w:w="24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75,834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67,408</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148,483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149,612</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Corporate expenses (exclusive of depreciation and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35,241</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121,371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Gain on disposition of assets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296,066</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281,200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578,024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591,198</w:t>
            </w:r>
          </w:p>
        </w:tc>
        <w:tc>
          <w:tcPr>
            <w:tcW w:w="0" w:type="dxa"/>
            <w:vAlign w:val="bottom"/>
          </w:tcPr>
          <w:p>
            <w:pPr>
              <w:spacing w:after="0"/>
              <w:rPr>
                <w:sz w:val="1"/>
                <w:szCs w:val="1"/>
                <w:color w:val="auto"/>
              </w:rPr>
            </w:pP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148,986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237,909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163,023</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18,184</w:t>
            </w: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26,359</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35,437</w:t>
            </w: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54,513</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71,990</w:t>
            </w: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26,177</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35,263</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89,805</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122,809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162,148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73,218</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119,609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157,938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71,922</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dividends declared and paid on preferred stock</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income applicable to common stock</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71,740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Pr>
          <w:p>
            <w:pPr>
              <w:ind w:left="220"/>
              <w:spacing w:after="0" w:line="203" w:lineRule="exact"/>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4"/>
              </w:rPr>
              <w:t>Weighted average common shares used in computing earnings per share:</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 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101,125,855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100,765,681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9"/>
              </w:rPr>
              <w:t>101,047,295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100,677,510</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common shares outstanding diluted</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101,328,939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100,861,881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101,239,848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100,818,347</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b w:val="1"/>
                <w:bCs w:val="1"/>
                <w:color w:val="auto"/>
              </w:rPr>
              <w:t>Statements of Comprehensive Income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119,609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157,938</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71,922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119,909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740" w:type="dxa"/>
            <w:vAlign w:val="bottom"/>
          </w:tcPr>
          <w:p>
            <w:pPr>
              <w:jc w:val="center"/>
              <w:ind w:left="177"/>
              <w:spacing w:after="0"/>
              <w:rPr>
                <w:sz w:val="20"/>
                <w:szCs w:val="20"/>
                <w:color w:val="auto"/>
              </w:rPr>
            </w:pPr>
            <w:r>
              <w:rPr>
                <w:rFonts w:ascii="Arial" w:cs="Arial" w:eastAsia="Arial" w:hAnsi="Arial"/>
                <w:sz w:val="11"/>
                <w:szCs w:val="11"/>
                <w:b w:val="1"/>
                <w:bCs w:val="1"/>
                <w:color w:val="auto"/>
                <w:w w:val="88"/>
              </w:rPr>
              <w:t>Series AA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Treasury</w:t>
            </w:r>
          </w:p>
        </w:tc>
        <w:tc>
          <w:tcPr>
            <w:tcW w:w="200" w:type="dxa"/>
            <w:vAlign w:val="bottom"/>
          </w:tcPr>
          <w:p>
            <w:pPr>
              <w:spacing w:after="0"/>
              <w:rPr>
                <w:sz w:val="10"/>
                <w:szCs w:val="1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Add’l</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97"/>
              <w:spacing w:after="0" w:line="108" w:lineRule="exact"/>
              <w:rPr>
                <w:sz w:val="20"/>
                <w:szCs w:val="20"/>
                <w:color w:val="auto"/>
              </w:rPr>
            </w:pPr>
            <w:r>
              <w:rPr>
                <w:rFonts w:ascii="Arial" w:cs="Arial" w:eastAsia="Arial" w:hAnsi="Arial"/>
                <w:sz w:val="11"/>
                <w:szCs w:val="11"/>
                <w:b w:val="1"/>
                <w:bCs w:val="1"/>
                <w:color w:val="auto"/>
                <w:w w:val="95"/>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4"/>
              </w:rPr>
              <w:t>Paid in</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ind w:right="30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40" w:type="dxa"/>
            <w:vAlign w:val="bottom"/>
          </w:tcPr>
          <w:p>
            <w:pPr>
              <w:jc w:val="center"/>
              <w:ind w:left="177"/>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Income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(44,786)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1,963,850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(717,331)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1,202,768</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149,000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13,376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13,376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82,101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5,224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5,224</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31,824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2,172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2,172</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Purchase of 65,290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(5,717)</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(5,717)</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38,329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38,329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($0.75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(75,818)</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(75,818)</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2021</w:t>
            </w:r>
          </w:p>
        </w:tc>
        <w:tc>
          <w:tcPr>
            <w:tcW w:w="74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(50,503)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1,985,682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(754,911)</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1,181,507</w:t>
            </w: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4,685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38,265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2,575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2,575</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30,302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2,068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119,609</w:t>
            </w: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Dividends/distributions to common</w:t>
            </w: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180"/>
              <w:spacing w:after="0" w:line="135" w:lineRule="exact"/>
              <w:rPr>
                <w:sz w:val="20"/>
                <w:szCs w:val="20"/>
                <w:color w:val="auto"/>
              </w:rPr>
            </w:pPr>
            <w:r>
              <w:rPr>
                <w:rFonts w:ascii="Arial" w:cs="Arial" w:eastAsia="Arial" w:hAnsi="Arial"/>
                <w:sz w:val="14"/>
                <w:szCs w:val="14"/>
                <w:color w:val="auto"/>
              </w:rPr>
              <w:t>shareholders ($0.75 per common</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(75,874)</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(75,874)</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($15.95 per preferred share)</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(50,503)</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1,991,836</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(711,267)</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1,231,605</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740" w:type="dxa"/>
            <w:vAlign w:val="bottom"/>
          </w:tcPr>
          <w:p>
            <w:pPr>
              <w:jc w:val="center"/>
              <w:ind w:left="177"/>
              <w:spacing w:after="0"/>
              <w:rPr>
                <w:sz w:val="20"/>
                <w:szCs w:val="20"/>
                <w:color w:val="auto"/>
              </w:rPr>
            </w:pPr>
            <w:r>
              <w:rPr>
                <w:rFonts w:ascii="Arial" w:cs="Arial" w:eastAsia="Arial" w:hAnsi="Arial"/>
                <w:sz w:val="11"/>
                <w:szCs w:val="11"/>
                <w:b w:val="1"/>
                <w:bCs w:val="1"/>
                <w:color w:val="auto"/>
                <w:w w:val="88"/>
              </w:rPr>
              <w:t>Series AA</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A</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Class B</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Treasury</w:t>
            </w:r>
          </w:p>
        </w:tc>
        <w:tc>
          <w:tcPr>
            <w:tcW w:w="200" w:type="dxa"/>
            <w:vAlign w:val="bottom"/>
          </w:tcPr>
          <w:p>
            <w:pPr>
              <w:spacing w:after="0"/>
              <w:rPr>
                <w:sz w:val="10"/>
                <w:szCs w:val="10"/>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4"/>
              </w:rPr>
              <w:t>Add’l</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Accumulated</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Accumulated</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740" w:type="dxa"/>
            <w:vAlign w:val="bottom"/>
          </w:tcPr>
          <w:p>
            <w:pPr>
              <w:jc w:val="center"/>
              <w:ind w:left="197"/>
              <w:spacing w:after="0" w:line="108" w:lineRule="exact"/>
              <w:rPr>
                <w:sz w:val="20"/>
                <w:szCs w:val="20"/>
                <w:color w:val="auto"/>
              </w:rPr>
            </w:pPr>
            <w:r>
              <w:rPr>
                <w:rFonts w:ascii="Arial" w:cs="Arial" w:eastAsia="Arial" w:hAnsi="Arial"/>
                <w:sz w:val="11"/>
                <w:szCs w:val="11"/>
                <w:b w:val="1"/>
                <w:bCs w:val="1"/>
                <w:color w:val="auto"/>
                <w:w w:val="95"/>
              </w:rPr>
              <w:t>PREF</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right"/>
              <w:ind w:right="37"/>
              <w:spacing w:after="0" w:line="108" w:lineRule="exact"/>
              <w:rPr>
                <w:sz w:val="20"/>
                <w:szCs w:val="20"/>
                <w:color w:val="auto"/>
              </w:rPr>
            </w:pPr>
            <w:r>
              <w:rPr>
                <w:rFonts w:ascii="Arial" w:cs="Arial" w:eastAsia="Arial" w:hAnsi="Arial"/>
                <w:sz w:val="11"/>
                <w:szCs w:val="11"/>
                <w:b w:val="1"/>
                <w:bCs w:val="1"/>
                <w:color w:val="auto"/>
              </w:rPr>
              <w:t>CMN</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gridSpan w:val="2"/>
          </w:tcPr>
          <w:p>
            <w:pPr>
              <w:jc w:val="center"/>
              <w:ind w:right="320"/>
              <w:spacing w:after="0" w:line="108" w:lineRule="exact"/>
              <w:rPr>
                <w:sz w:val="20"/>
                <w:szCs w:val="20"/>
                <w:color w:val="auto"/>
              </w:rPr>
            </w:pPr>
            <w:r>
              <w:rPr>
                <w:rFonts w:ascii="Arial" w:cs="Arial" w:eastAsia="Arial" w:hAnsi="Arial"/>
                <w:sz w:val="11"/>
                <w:szCs w:val="11"/>
                <w:b w:val="1"/>
                <w:bCs w:val="1"/>
                <w:color w:val="auto"/>
                <w:w w:val="94"/>
              </w:rPr>
              <w:t>Paid in</w:t>
            </w:r>
          </w:p>
        </w:tc>
        <w:tc>
          <w:tcPr>
            <w:tcW w:w="120" w:type="dxa"/>
            <w:vAlign w:val="bottom"/>
          </w:tcPr>
          <w:p>
            <w:pPr>
              <w:spacing w:after="0"/>
              <w:rPr>
                <w:sz w:val="9"/>
                <w:szCs w:val="9"/>
                <w:color w:val="auto"/>
              </w:rPr>
            </w:pPr>
          </w:p>
        </w:tc>
        <w:tc>
          <w:tcPr>
            <w:tcW w:w="9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vMerge w:val="restart"/>
          </w:tcPr>
          <w:p>
            <w:pPr>
              <w:jc w:val="right"/>
              <w:ind w:right="30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740" w:type="dxa"/>
            <w:vAlign w:val="bottom"/>
          </w:tcPr>
          <w:p>
            <w:pPr>
              <w:jc w:val="center"/>
              <w:ind w:left="177"/>
              <w:spacing w:after="0"/>
              <w:rPr>
                <w:sz w:val="20"/>
                <w:szCs w:val="20"/>
                <w:color w:val="auto"/>
              </w:rPr>
            </w:pPr>
            <w:r>
              <w:rPr>
                <w:rFonts w:ascii="Arial" w:cs="Arial" w:eastAsia="Arial" w:hAnsi="Arial"/>
                <w:sz w:val="11"/>
                <w:szCs w:val="11"/>
                <w:b w:val="1"/>
                <w:bCs w:val="1"/>
                <w:color w:val="auto"/>
                <w:w w:val="86"/>
              </w:rPr>
              <w:t>Stock</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37"/>
              <w:spacing w:after="0"/>
              <w:rPr>
                <w:sz w:val="20"/>
                <w:szCs w:val="20"/>
                <w:color w:val="auto"/>
              </w:rPr>
            </w:pPr>
            <w:r>
              <w:rPr>
                <w:rFonts w:ascii="Arial" w:cs="Arial" w:eastAsia="Arial" w:hAnsi="Arial"/>
                <w:sz w:val="11"/>
                <w:szCs w:val="11"/>
                <w:b w:val="1"/>
                <w:bCs w:val="1"/>
                <w:color w:val="auto"/>
              </w:rPr>
              <w:t>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ind w:left="180"/>
              <w:spacing w:after="0"/>
              <w:rPr>
                <w:sz w:val="20"/>
                <w:szCs w:val="20"/>
                <w:color w:val="auto"/>
              </w:rPr>
            </w:pPr>
            <w:r>
              <w:rPr>
                <w:rFonts w:ascii="Arial" w:cs="Arial" w:eastAsia="Arial" w:hAnsi="Arial"/>
                <w:sz w:val="11"/>
                <w:szCs w:val="11"/>
                <w:b w:val="1"/>
                <w:bCs w:val="1"/>
                <w:color w:val="auto"/>
              </w:rPr>
              <w:t>Stock</w:t>
            </w:r>
          </w:p>
        </w:tc>
        <w:tc>
          <w:tcPr>
            <w:tcW w:w="200" w:type="dxa"/>
            <w:vAlign w:val="bottom"/>
          </w:tcPr>
          <w:p>
            <w:pPr>
              <w:spacing w:after="0"/>
              <w:rPr>
                <w:sz w:val="12"/>
                <w:szCs w:val="1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Income (Loss)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Deficit</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31, 2019</w:t>
            </w:r>
          </w:p>
        </w:tc>
        <w:tc>
          <w:tcPr>
            <w:tcW w:w="740" w:type="dxa"/>
            <w:vAlign w:val="bottom"/>
            <w:shd w:val="clear" w:color="auto" w:fill="CCEEFF"/>
          </w:tcPr>
          <w:p>
            <w:pPr>
              <w:jc w:val="right"/>
              <w:ind w:right="577"/>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(34,294)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1,922,222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(708,408)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1,180,306</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Issuance of 279,116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24,956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24,956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14,609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58,734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2,560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2,560</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w w:val="98"/>
              </w:rPr>
              <w:t>Purchase of 110,520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(10,068)</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40,493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40,493</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($1.00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(100,687)</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(100,687)</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2020</w:t>
            </w:r>
          </w:p>
        </w:tc>
        <w:tc>
          <w:tcPr>
            <w:tcW w:w="74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(44,362)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1,951,651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(768,693)</w:t>
            </w: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1,137,784</w:t>
            </w:r>
          </w:p>
        </w:tc>
        <w:tc>
          <w:tcPr>
            <w:tcW w:w="0" w:type="dxa"/>
            <w:vAlign w:val="bottom"/>
          </w:tcPr>
          <w:p>
            <w:pPr>
              <w:spacing w:after="0"/>
              <w:rPr>
                <w:sz w:val="1"/>
                <w:szCs w:val="1"/>
                <w:color w:val="auto"/>
              </w:rPr>
            </w:pPr>
          </w:p>
        </w:tc>
      </w:tr>
      <w:tr>
        <w:trPr>
          <w:trHeight w:val="179"/>
        </w:trPr>
        <w:tc>
          <w:tcPr>
            <w:tcW w:w="2460" w:type="dxa"/>
            <w:vAlign w:val="bottom"/>
          </w:tcPr>
          <w:p>
            <w:pPr>
              <w:ind w:left="20"/>
              <w:spacing w:after="0"/>
              <w:rPr>
                <w:sz w:val="20"/>
                <w:szCs w:val="20"/>
                <w:color w:val="auto"/>
              </w:rPr>
            </w:pPr>
            <w:r>
              <w:rPr>
                <w:rFonts w:ascii="Arial" w:cs="Arial" w:eastAsia="Arial" w:hAnsi="Arial"/>
                <w:sz w:val="14"/>
                <w:szCs w:val="14"/>
                <w:color w:val="auto"/>
              </w:rPr>
              <w:t>Non-cash compensation</w:t>
            </w:r>
          </w:p>
        </w:tc>
        <w:tc>
          <w:tcPr>
            <w:tcW w:w="740" w:type="dxa"/>
            <w:vAlign w:val="bottom"/>
          </w:tcPr>
          <w:p>
            <w:pPr>
              <w:spacing w:after="0"/>
              <w:rPr>
                <w:sz w:val="15"/>
                <w:szCs w:val="15"/>
                <w:color w:val="auto"/>
              </w:rPr>
            </w:pP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916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11,008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through stock awards</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Exercise of 13,642 shares of stock</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31,114 shares of common</w:t>
            </w:r>
          </w:p>
        </w:tc>
        <w:tc>
          <w:tcPr>
            <w:tcW w:w="7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stock through employee purchase plan</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Purchase of 1,196 shares of treasury</w:t>
            </w:r>
          </w:p>
        </w:tc>
        <w:tc>
          <w:tcPr>
            <w:tcW w:w="74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1"/>
                <w:szCs w:val="11"/>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rPr>
              <w:t>stock</w:t>
            </w:r>
          </w:p>
        </w:tc>
        <w:tc>
          <w:tcPr>
            <w:tcW w:w="74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31,429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31,429</w:t>
            </w:r>
          </w:p>
        </w:tc>
        <w:tc>
          <w:tcPr>
            <w:tcW w:w="0" w:type="dxa"/>
            <w:vAlign w:val="bottom"/>
          </w:tcPr>
          <w:p>
            <w:pPr>
              <w:spacing w:after="0"/>
              <w:rPr>
                <w:sz w:val="1"/>
                <w:szCs w:val="1"/>
                <w:color w:val="auto"/>
              </w:rPr>
            </w:pPr>
          </w:p>
        </w:tc>
      </w:tr>
      <w:tr>
        <w:trPr>
          <w:trHeight w:val="138"/>
        </w:trPr>
        <w:tc>
          <w:tcPr>
            <w:tcW w:w="24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Dividends/distributions to common</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shareholders ($0.50 per common</w:t>
            </w:r>
          </w:p>
        </w:tc>
        <w:tc>
          <w:tcPr>
            <w:tcW w:w="740" w:type="dxa"/>
            <w:vAlign w:val="bottom"/>
            <w:shd w:val="clear" w:color="auto" w:fill="CCEEFF"/>
          </w:tcPr>
          <w:p>
            <w:pPr>
              <w:spacing w:after="0"/>
              <w:rPr>
                <w:sz w:val="11"/>
                <w:szCs w:val="11"/>
                <w:color w:val="auto"/>
              </w:rPr>
            </w:pPr>
          </w:p>
        </w:tc>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(50,396)</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(50,396)</w:t>
            </w:r>
          </w:p>
        </w:tc>
        <w:tc>
          <w:tcPr>
            <w:tcW w:w="0" w:type="dxa"/>
            <w:vAlign w:val="bottom"/>
          </w:tcPr>
          <w:p>
            <w:pPr>
              <w:spacing w:after="0"/>
              <w:rPr>
                <w:sz w:val="1"/>
                <w:szCs w:val="1"/>
                <w:color w:val="auto"/>
              </w:rPr>
            </w:pPr>
          </w:p>
        </w:tc>
      </w:tr>
      <w:tr>
        <w:trPr>
          <w:trHeight w:val="189"/>
        </w:trPr>
        <w:tc>
          <w:tcPr>
            <w:tcW w:w="2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w:t>
            </w:r>
          </w:p>
        </w:tc>
        <w:tc>
          <w:tcPr>
            <w:tcW w:w="7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180"/>
              <w:spacing w:after="0"/>
              <w:rPr>
                <w:sz w:val="20"/>
                <w:szCs w:val="20"/>
                <w:color w:val="auto"/>
              </w:rPr>
            </w:pPr>
            <w:r>
              <w:rPr>
                <w:rFonts w:ascii="Arial" w:cs="Arial" w:eastAsia="Arial" w:hAnsi="Arial"/>
                <w:sz w:val="14"/>
                <w:szCs w:val="14"/>
                <w:color w:val="auto"/>
                <w:w w:val="93"/>
              </w:rPr>
              <w:t>Dividends ($15.95 per preferred share)</w:t>
            </w:r>
          </w:p>
        </w:tc>
        <w:tc>
          <w:tcPr>
            <w:tcW w:w="74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2020</w:t>
            </w:r>
          </w:p>
        </w:tc>
        <w:tc>
          <w:tcPr>
            <w:tcW w:w="74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1,955,612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(787,751)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1,123,371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Six Months Ended</w:t>
      </w:r>
    </w:p>
    <w:p>
      <w:pPr>
        <w:jc w:val="center"/>
        <w:ind w:left="842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r>
      <w:tr>
        <w:trPr>
          <w:trHeight w:val="157"/>
        </w:trPr>
        <w:tc>
          <w:tcPr>
            <w:tcW w:w="84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157,938</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71,922</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121,371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126,311</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Stock-based compensation</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6,162</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Amortization included in interest expense</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2,962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2,878</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Gain on disposition of assets and investments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Loss on extinguishment of debt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21,604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18,184</w:t>
            </w:r>
          </w:p>
        </w:tc>
      </w:tr>
      <w:tr>
        <w:trPr>
          <w:trHeight w:val="183"/>
        </w:trPr>
        <w:tc>
          <w:tcPr>
            <w:tcW w:w="84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Deferred tax expense (benefit)</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Provision for doubtful accounts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8,331</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Changes in operating assets and liabilities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(Increase) decrease in: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Receivables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(17,626)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13,772</w:t>
            </w: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Prepaid expenses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623</w:t>
            </w: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Other assets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(7,179)</w:t>
            </w:r>
          </w:p>
        </w:tc>
      </w:tr>
      <w:tr>
        <w:trPr>
          <w:trHeight w:val="168"/>
        </w:trPr>
        <w:tc>
          <w:tcPr>
            <w:tcW w:w="8440" w:type="dxa"/>
            <w:vAlign w:val="bottom"/>
          </w:tcPr>
          <w:p>
            <w:pPr>
              <w:ind w:left="460"/>
              <w:spacing w:after="0"/>
              <w:rPr>
                <w:sz w:val="20"/>
                <w:szCs w:val="20"/>
                <w:color w:val="auto"/>
              </w:rPr>
            </w:pPr>
            <w:r>
              <w:rPr>
                <w:rFonts w:ascii="Arial" w:cs="Arial" w:eastAsia="Arial" w:hAnsi="Arial"/>
                <w:sz w:val="13"/>
                <w:szCs w:val="13"/>
                <w:color w:val="auto"/>
              </w:rPr>
              <w:t>(Decrease) increase in:</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Trade accounts payable</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r>
      <w:tr>
        <w:trPr>
          <w:trHeight w:val="168"/>
        </w:trPr>
        <w:tc>
          <w:tcPr>
            <w:tcW w:w="8440" w:type="dxa"/>
            <w:vAlign w:val="bottom"/>
          </w:tcPr>
          <w:p>
            <w:pPr>
              <w:ind w:left="980"/>
              <w:spacing w:after="0"/>
              <w:rPr>
                <w:sz w:val="20"/>
                <w:szCs w:val="20"/>
                <w:color w:val="auto"/>
              </w:rPr>
            </w:pPr>
            <w:r>
              <w:rPr>
                <w:rFonts w:ascii="Arial" w:cs="Arial" w:eastAsia="Arial" w:hAnsi="Arial"/>
                <w:sz w:val="13"/>
                <w:szCs w:val="13"/>
                <w:color w:val="auto"/>
              </w:rPr>
              <w:t>Accrued expenses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(9,182)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(12,012)</w:t>
            </w:r>
          </w:p>
        </w:tc>
      </w:tr>
      <w:tr>
        <w:trPr>
          <w:trHeight w:val="183"/>
        </w:trPr>
        <w:tc>
          <w:tcPr>
            <w:tcW w:w="8440" w:type="dxa"/>
            <w:vAlign w:val="bottom"/>
            <w:shd w:val="clear" w:color="auto" w:fill="CCEEFF"/>
          </w:tcPr>
          <w:p>
            <w:pPr>
              <w:ind w:left="980"/>
              <w:spacing w:after="0"/>
              <w:rPr>
                <w:sz w:val="20"/>
                <w:szCs w:val="20"/>
                <w:color w:val="auto"/>
              </w:rPr>
            </w:pPr>
            <w:r>
              <w:rPr>
                <w:rFonts w:ascii="Arial" w:cs="Arial" w:eastAsia="Arial" w:hAnsi="Arial"/>
                <w:sz w:val="13"/>
                <w:szCs w:val="13"/>
                <w:color w:val="auto"/>
              </w:rPr>
              <w:t>Operating lease liabilities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(8,735)</w:t>
            </w:r>
          </w:p>
        </w:tc>
      </w:tr>
      <w:tr>
        <w:trPr>
          <w:trHeight w:val="169"/>
        </w:trPr>
        <w:tc>
          <w:tcPr>
            <w:tcW w:w="8440" w:type="dxa"/>
            <w:vAlign w:val="bottom"/>
            <w:tcBorders>
              <w:bottom w:val="single" w:sz="8" w:color="CCEEFF"/>
            </w:tcBorders>
          </w:tcPr>
          <w:p>
            <w:pPr>
              <w:ind w:left="980"/>
              <w:spacing w:after="0"/>
              <w:rPr>
                <w:sz w:val="20"/>
                <w:szCs w:val="20"/>
                <w:color w:val="auto"/>
              </w:rPr>
            </w:pPr>
            <w:r>
              <w:rPr>
                <w:rFonts w:ascii="Arial" w:cs="Arial" w:eastAsia="Arial" w:hAnsi="Arial"/>
                <w:sz w:val="13"/>
                <w:szCs w:val="13"/>
                <w:color w:val="auto"/>
              </w:rPr>
              <w:t>Other liabilities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31,675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(4,723)</w:t>
            </w:r>
          </w:p>
        </w:tc>
      </w:tr>
      <w:tr>
        <w:trPr>
          <w:trHeight w:val="176"/>
        </w:trPr>
        <w:tc>
          <w:tcPr>
            <w:tcW w:w="8440" w:type="dxa"/>
            <w:vAlign w:val="bottom"/>
            <w:shd w:val="clear" w:color="auto" w:fill="CCEEFF"/>
          </w:tcPr>
          <w:p>
            <w:pPr>
              <w:ind w:left="1180"/>
              <w:spacing w:after="0"/>
              <w:rPr>
                <w:sz w:val="20"/>
                <w:szCs w:val="20"/>
                <w:color w:val="auto"/>
              </w:rPr>
            </w:pPr>
            <w:r>
              <w:rPr>
                <w:rFonts w:ascii="Arial" w:cs="Arial" w:eastAsia="Arial" w:hAnsi="Arial"/>
                <w:sz w:val="13"/>
                <w:szCs w:val="13"/>
                <w:color w:val="auto"/>
              </w:rPr>
              <w:t>Net cash provided by operating activities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285,257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210,677</w:t>
            </w:r>
          </w:p>
        </w:tc>
      </w:tr>
      <w:tr>
        <w:trPr>
          <w:trHeight w:val="148"/>
        </w:trPr>
        <w:tc>
          <w:tcPr>
            <w:tcW w:w="8440" w:type="dxa"/>
            <w:vAlign w:val="bottom"/>
          </w:tcPr>
          <w:p>
            <w:pPr>
              <w:spacing w:after="0" w:line="141" w:lineRule="exact"/>
              <w:rPr>
                <w:sz w:val="20"/>
                <w:szCs w:val="20"/>
                <w:color w:val="auto"/>
              </w:rPr>
            </w:pPr>
            <w:r>
              <w:rPr>
                <w:rFonts w:ascii="Arial" w:cs="Arial" w:eastAsia="Arial" w:hAnsi="Arial"/>
                <w:sz w:val="13"/>
                <w:szCs w:val="13"/>
                <w:color w:val="auto"/>
              </w:rPr>
              <w:t>Cash flows from investing activities:</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Acquisitions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(26,153)</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Capital expenditures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(41,416)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(36,274)</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disposition of assets and investments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3,982</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4,750</w:t>
            </w:r>
          </w:p>
        </w:tc>
      </w:tr>
      <w:tr>
        <w:trPr>
          <w:trHeight w:val="163"/>
        </w:trPr>
        <w:tc>
          <w:tcPr>
            <w:tcW w:w="8440" w:type="dxa"/>
            <w:vAlign w:val="bottom"/>
            <w:tcBorders>
              <w:bottom w:val="single" w:sz="8" w:color="CCEEFF"/>
            </w:tcBorders>
          </w:tcPr>
          <w:p>
            <w:pPr>
              <w:ind w:left="1180"/>
              <w:spacing w:after="0"/>
              <w:rPr>
                <w:sz w:val="20"/>
                <w:szCs w:val="20"/>
                <w:color w:val="auto"/>
              </w:rPr>
            </w:pPr>
            <w:r>
              <w:rPr>
                <w:rFonts w:ascii="Arial" w:cs="Arial" w:eastAsia="Arial" w:hAnsi="Arial"/>
                <w:sz w:val="13"/>
                <w:szCs w:val="13"/>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(64,670)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(57,677)</w:t>
            </w:r>
          </w:p>
        </w:tc>
      </w:tr>
      <w:tr>
        <w:trPr>
          <w:trHeight w:val="162"/>
        </w:trPr>
        <w:tc>
          <w:tcPr>
            <w:tcW w:w="844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Cash flows from financing activities:</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Cash used for purchase of treasury stock</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(5,717)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(10,124)</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proceeds from issuance of common stock</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12,039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5,648</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Principal payments on long-term debt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(182)</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Borrowings on long-term debt</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Principal payments on financing leases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Payments on revolving credit facility</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(805,000)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revolving credit facility</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655,000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Redemption of senior notes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(668,688)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(519,139)</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Proceeds received from note offering</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550,000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1,400,000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accounts receivable securitization program</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(32,500)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(175,000)</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received from senior credit facility term loans</w:t>
            </w:r>
          </w:p>
        </w:tc>
        <w:tc>
          <w:tcPr>
            <w:tcW w:w="2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598,500</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Payments on senior credit facility term loans</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(978,097)</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Debt issuance costs</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(30,112)</w:t>
            </w:r>
          </w:p>
        </w:tc>
      </w:tr>
      <w:tr>
        <w:trPr>
          <w:trHeight w:val="168"/>
        </w:trPr>
        <w:tc>
          <w:tcPr>
            <w:tcW w:w="8440" w:type="dxa"/>
            <w:vAlign w:val="bottom"/>
          </w:tcPr>
          <w:p>
            <w:pPr>
              <w:ind w:left="200"/>
              <w:spacing w:after="0"/>
              <w:rPr>
                <w:sz w:val="20"/>
                <w:szCs w:val="20"/>
                <w:color w:val="auto"/>
              </w:rPr>
            </w:pPr>
            <w:r>
              <w:rPr>
                <w:rFonts w:ascii="Arial" w:cs="Arial" w:eastAsia="Arial" w:hAnsi="Arial"/>
                <w:sz w:val="13"/>
                <w:szCs w:val="13"/>
                <w:color w:val="auto"/>
              </w:rPr>
              <w:t>Distributions to non-controlling interest</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(882)</w:t>
            </w:r>
          </w:p>
        </w:tc>
      </w:tr>
      <w:tr>
        <w:trPr>
          <w:trHeight w:val="183"/>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Dividends/distributions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(151,874)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(151,265)</w:t>
            </w:r>
          </w:p>
        </w:tc>
      </w:tr>
      <w:tr>
        <w:trPr>
          <w:trHeight w:val="163"/>
        </w:trPr>
        <w:tc>
          <w:tcPr>
            <w:tcW w:w="8440" w:type="dxa"/>
            <w:vAlign w:val="bottom"/>
            <w:tcBorders>
              <w:bottom w:val="single" w:sz="8" w:color="CCEEFF"/>
            </w:tcBorders>
          </w:tcPr>
          <w:p>
            <w:pPr>
              <w:ind w:left="1180"/>
              <w:spacing w:after="0"/>
              <w:rPr>
                <w:sz w:val="20"/>
                <w:szCs w:val="20"/>
                <w:color w:val="auto"/>
              </w:rPr>
            </w:pPr>
            <w:r>
              <w:rPr>
                <w:rFonts w:ascii="Arial" w:cs="Arial" w:eastAsia="Arial" w:hAnsi="Arial"/>
                <w:sz w:val="13"/>
                <w:szCs w:val="13"/>
                <w:color w:val="auto"/>
              </w:rPr>
              <w:t>Net cash used in financing activities</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(273,643)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(1,903)</w:t>
            </w:r>
          </w:p>
        </w:tc>
      </w:tr>
      <w:tr>
        <w:trPr>
          <w:trHeight w:val="175"/>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Effect of exchange rate changes in cash and cash equivalents</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(192)</w:t>
            </w:r>
          </w:p>
        </w:tc>
      </w:tr>
      <w:tr>
        <w:trPr>
          <w:trHeight w:val="161"/>
        </w:trPr>
        <w:tc>
          <w:tcPr>
            <w:tcW w:w="8440" w:type="dxa"/>
            <w:vAlign w:val="bottom"/>
          </w:tcPr>
          <w:p>
            <w:pPr>
              <w:ind w:left="200"/>
              <w:spacing w:after="0"/>
              <w:rPr>
                <w:sz w:val="20"/>
                <w:szCs w:val="20"/>
                <w:color w:val="auto"/>
              </w:rPr>
            </w:pPr>
            <w:r>
              <w:rPr>
                <w:rFonts w:ascii="Arial" w:cs="Arial" w:eastAsia="Arial" w:hAnsi="Arial"/>
                <w:sz w:val="13"/>
                <w:szCs w:val="13"/>
                <w:color w:val="auto"/>
              </w:rPr>
              <w:t>Net (decrease) increase in cash and cash equivalents</w:t>
            </w: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(52,843)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150,905</w:t>
            </w:r>
          </w:p>
        </w:tc>
      </w:tr>
      <w:tr>
        <w:trPr>
          <w:trHeight w:val="177"/>
        </w:trPr>
        <w:tc>
          <w:tcPr>
            <w:tcW w:w="84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and cash equivalents at beginning of period</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121,569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26,188</w:t>
            </w:r>
          </w:p>
        </w:tc>
      </w:tr>
      <w:tr>
        <w:trPr>
          <w:trHeight w:val="176"/>
        </w:trPr>
        <w:tc>
          <w:tcPr>
            <w:tcW w:w="8440" w:type="dxa"/>
            <w:vAlign w:val="bottom"/>
          </w:tcPr>
          <w:p>
            <w:pPr>
              <w:ind w:left="200"/>
              <w:spacing w:after="0"/>
              <w:rPr>
                <w:sz w:val="20"/>
                <w:szCs w:val="20"/>
                <w:color w:val="auto"/>
              </w:rPr>
            </w:pPr>
            <w:r>
              <w:rPr>
                <w:rFonts w:ascii="Arial" w:cs="Arial" w:eastAsia="Arial" w:hAnsi="Arial"/>
                <w:sz w:val="13"/>
                <w:szCs w:val="13"/>
                <w:color w:val="auto"/>
              </w:rPr>
              <w:t>Cash and cash equivalents at end of period</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68,726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177,093</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43"/>
        </w:trPr>
        <w:tc>
          <w:tcPr>
            <w:tcW w:w="84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Supplemental disclosures of cash flow information:</w:t>
            </w: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75"/>
        </w:trPr>
        <w:tc>
          <w:tcPr>
            <w:tcW w:w="84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62,966</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68,784</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4"/>
        </w:trPr>
        <w:tc>
          <w:tcPr>
            <w:tcW w:w="8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Cash paid for foreign, state and federal income taxes</w:t>
            </w: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4,886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the Company’s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the Company’s consolidated financial statements and the notes thereto included in the 2020 Combined Form 10-K. Subsequent events, if any, are evaluated through the date on which the financial statements are issued.</w:t>
      </w:r>
    </w:p>
    <w:p>
      <w:pPr>
        <w:spacing w:after="0" w:line="300"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Advertising revenues</w:t>
      </w:r>
      <w:r>
        <w:rPr>
          <w:rFonts w:ascii="Arial" w:cs="Arial" w:eastAsia="Arial" w:hAnsi="Arial"/>
          <w:sz w:val="16"/>
          <w:szCs w:val="16"/>
          <w:color w:val="auto"/>
        </w:rPr>
        <w:t>: The majority of our revenues are derived from contracts for advertising space on billboard, logo and transit displays.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do not meet the criteria of a lease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are accounted for under ASC 606, </w:t>
      </w:r>
      <w:r>
        <w:rPr>
          <w:rFonts w:ascii="Arial" w:cs="Arial" w:eastAsia="Arial" w:hAnsi="Arial"/>
          <w:sz w:val="16"/>
          <w:szCs w:val="16"/>
          <w:i w:val="1"/>
          <w:iCs w:val="1"/>
          <w:color w:val="auto"/>
        </w:rPr>
        <w:t>Revenue</w:t>
      </w:r>
      <w:r>
        <w:rPr>
          <w:rFonts w:ascii="Arial" w:cs="Arial" w:eastAsia="Arial" w:hAnsi="Arial"/>
          <w:sz w:val="16"/>
          <w:szCs w:val="16"/>
          <w:color w:val="auto"/>
        </w:rPr>
        <w:t>. The majority of our advertising space contracts do not meet the definition of a lease under ASC 842 and are therefore accounted for under ASC 606. The contract revenues are recognized ratably over their contract life. Costs to fulfill a contract, which include our costs to install advertising copy onto billboards, are capitalized and amortized to direct advertising expenses (exclusive of depreciation and amortization) in the Condensed Consolidated Statements of Income and Comprehensive Income.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Our other component of revenue primarily consists of production services which includes creating and printing the advertising copy.</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for production contracts is recognized under ASC 606. Contract revenues for production services are recognized upon satisfaction of the contract which is typically less than one week.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Our contracts with customers may include multiple performance obligations. For such</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allocate revenue to each performance obligation based on the relative standalone selling price. We determine standalone selling prices based on the prices charged to customers using expected cost plus margin.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Deferred revenues: </w:t>
      </w:r>
      <w:r>
        <w:rPr>
          <w:rFonts w:ascii="Arial" w:cs="Arial" w:eastAsia="Arial" w:hAnsi="Arial"/>
          <w:sz w:val="17"/>
          <w:szCs w:val="17"/>
          <w:color w:val="auto"/>
        </w:rPr>
        <w:t>We record deferred revenues when cash payments are received or due in advance of our performance obligation. The term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invoicing and when a payment is due is not significant. For certain services we require payment before the product or services are delivered to the customer. The balance of deferred income is considered short-term and will be recognized in revenue within twelve months.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Practical expedients and exemptions: </w:t>
      </w:r>
      <w:r>
        <w:rPr>
          <w:rFonts w:ascii="Arial" w:cs="Arial" w:eastAsia="Arial" w:hAnsi="Arial"/>
          <w:sz w:val="18"/>
          <w:szCs w:val="18"/>
          <w:color w:val="auto"/>
        </w:rPr>
        <w:t>The Company is utilizing the following practical expedients and exemptions from ASC 606. We generally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sales commissions when incurred because the amortization period is one year or less. These costs are recorded within direct advertising expenses (exclusive of depreciation and amortization). We do not disclose the value of unsatisfied performance obligations as the majority of our contracts with customers have an original expected length of less than one year. For contracts with customers which exceed one year, the future amount to be invoiced to the customer corresponds directly with the value to be received by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disaggregated revenue by source for the three and six months ended June 30, 2021 and 2020.</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advertising</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405,284</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312,095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739,323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667,400</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Logo advertising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39,100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42,445</w:t>
            </w:r>
          </w:p>
        </w:tc>
      </w:tr>
      <w:tr>
        <w:trPr>
          <w:trHeight w:val="230"/>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 advertising</w:t>
            </w: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44,376</w:t>
            </w: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445,052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347,652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815,933</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754,221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months ended June 30, 2021 and 2020, we had operating lease costs of $72,880 and $78,331, respectively, and variable lease costs of $18,749 and $10,300, respectively. During the six months ended June 30, 2021 and 2020, we had operating lease costs of $145,350 and $158,734, respectively, and variable lease costs of $33,993 and $27,744, respectively. These operating lease costs are recorded in direct advertising expenses (exclusive of depreciation and amortization). For the three months ended June 30, 2021 and 2020, we recorded a gain of $48 and a loss of $266, respectively, in gain on disposition of assets related to the amendment and termination of lease agreements. For the six months ended June 30, 2021 and 2020, we recorded a gain of $54 and a loss of $317, respectively, in gain on disposition of assets related to the amendment and termination of lease agreements. Cash payments of $170,619 and $161,460 were made reducing our operating lease liabilities for the six months ended June 30, 2021 and 2020, respectively, and are included in cash flows provided by operating activities in the Condensed Consolidated Statements of Cash Flows.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elected the short-term lease exemption which applies to certain of our vehicle agreements. This election allows the Company to not recognize lease right of use assets ("ROU assets") or lease liabilities for agreements with a term of twelve months or less. We recorded $1,511 and $1,249 in direct advertising expenses (exclusive of depreciation and amortization) for these agreements during the three months ended June 30, 2021 and 2020, respectively. We recorded $2,891 and $2,507 in direct advertising expenses (exclusive of depreciation and amortization) for these agreements during the six months ended June 30, 2021 and 2020, respectively.</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operating leases have a weighted-average remaining lease term of 11.8 years. The weighted-average discount rate of our operating leases is 4.6%. Also, during the periods ended June 30, 2021 and 2020, we obtained $9,871 and $9,991, respectively, of leased assets in exchange for new operating lease liabilities, which includes liabilities obtained through acquisitions.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tcPr>
          <w:p>
            <w:pPr>
              <w:spacing w:after="0"/>
              <w:rPr>
                <w:sz w:val="20"/>
                <w:szCs w:val="20"/>
                <w:color w:val="auto"/>
              </w:rPr>
            </w:pPr>
            <w:r>
              <w:rPr>
                <w:rFonts w:ascii="Arial" w:cs="Arial" w:eastAsia="Arial" w:hAnsi="Arial"/>
                <w:sz w:val="18"/>
                <w:szCs w:val="18"/>
                <w:color w:val="auto"/>
              </w:rPr>
              <w:t>The following is a summary of the maturities of our operating lease liabilities as of June 30, 2021:</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21"/>
        </w:trPr>
        <w:tc>
          <w:tcPr>
            <w:tcW w:w="9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100,767</w:t>
            </w: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202,240</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171,960</w:t>
            </w:r>
          </w:p>
        </w:tc>
      </w:tr>
      <w:tr>
        <w:trPr>
          <w:trHeight w:val="229"/>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152,575</w:t>
            </w:r>
          </w:p>
        </w:tc>
      </w:tr>
      <w:tr>
        <w:trPr>
          <w:trHeight w:val="230"/>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126,659</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799,937</w:t>
            </w:r>
          </w:p>
        </w:tc>
      </w:tr>
      <w:tr>
        <w:trPr>
          <w:trHeight w:val="223"/>
        </w:trPr>
        <w:tc>
          <w:tcPr>
            <w:tcW w:w="9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undiscounted operating lease payments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1,554,138</w:t>
            </w:r>
          </w:p>
        </w:tc>
      </w:tr>
      <w:tr>
        <w:trPr>
          <w:trHeight w:val="230"/>
        </w:trPr>
        <w:tc>
          <w:tcPr>
            <w:tcW w:w="9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(388,621)</w:t>
            </w:r>
          </w:p>
        </w:tc>
      </w:tr>
      <w:tr>
        <w:trPr>
          <w:trHeight w:val="248"/>
        </w:trPr>
        <w:tc>
          <w:tcPr>
            <w:tcW w:w="9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1,165,517</w:t>
            </w:r>
          </w:p>
        </w:tc>
      </w:tr>
      <w:tr>
        <w:trPr>
          <w:trHeight w:val="20"/>
        </w:trPr>
        <w:tc>
          <w:tcPr>
            <w:tcW w:w="99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June 30, 2021, $713 of amortization expense and $148 of interest expense relating to our financing lease liabilities were recorded in depreciation and amortization and interest expense, respectively, in the Condensed Consolidated Statements of Income and Comprehensive Income. During the six months ended June 30, 2021, $1,426 of amortization expense and $298 of interest expense relating to our financing lease liabilities were recorded in depreciation and amortization and interest expense, respectively, in the Condensed Consolidated Statements of Income and Comprehensive Income. Cash payments of $666 were made reducing our financing lease liabilities for the six months ended June 30, 2021 and are included in cash flows used in financing activities in the Condensed Consolidated Statements of Cash Flows. We had no expenses relating to the financing lease liabilities for the six months ended June 30, 2020. Our financing leases have a weighted-average remaining lease term of 6.4 years and a weighted-average discount rate of 3.5%.</w:t>
      </w:r>
    </w:p>
    <w:p>
      <w:pPr>
        <w:spacing w:after="0" w:line="30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Equity Incentive Plan. </w:t>
      </w:r>
      <w:r>
        <w:rPr>
          <w:rFonts w:ascii="Arial" w:cs="Arial" w:eastAsia="Arial" w:hAnsi="Arial"/>
          <w:sz w:val="18"/>
          <w:szCs w:val="18"/>
          <w:color w:val="auto"/>
        </w:rPr>
        <w:t>Lamar Advertising’s 1996 Equity Incentive Plan, as amended, (the “Incentive Plan”) has reserved 17.5 million shares of Class A</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for issuance to directors and employees, including shares underlying granted options and common stock reserved for issuance under its performance-based incentive program. Options granted under the plan expire ten years from the grant date with vesting terms ranging from three to five years and include 1) options that vest in one-fifth</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increments beginning on the grant date and continuing on each of the first four anniversaries of the grant date and 2) options that cliff-vest on the fifth anniversary of the grant date. All grants are made at fair market value based on the closing price of our Class A common stock as reported on the Nasdaq Global Select Market on the date of grant.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a Black-Scholes-Merton option pricing model to estimate the fair value of share-based awards. The Black-Scholes-Merton option pricing model incorporates various and highly subjective assumptions, including expected term and expected volatility. The Company granted options for an aggregate of 18,000 shares of its Class A common stock during the six months ended June 30, 2021. At June 30, 2021 a total of 2,328,935 shares were available for future grant.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Stock Purchase Plan. </w:t>
      </w:r>
      <w:r>
        <w:rPr>
          <w:rFonts w:ascii="Arial" w:cs="Arial" w:eastAsia="Arial" w:hAnsi="Arial"/>
          <w:sz w:val="16"/>
          <w:szCs w:val="16"/>
          <w:color w:val="auto"/>
        </w:rPr>
        <w:t>Lamar Advertising’s 2009 Employee Stock Purchase Plan (the “2009 ESPP”), approved by our shareholders on May 28, 2009,</w:t>
      </w:r>
      <w:r>
        <w:rPr>
          <w:rFonts w:ascii="Arial" w:cs="Arial" w:eastAsia="Arial" w:hAnsi="Arial"/>
          <w:sz w:val="16"/>
          <w:szCs w:val="16"/>
          <w:i w:val="1"/>
          <w:iCs w:val="1"/>
          <w:color w:val="auto"/>
        </w:rPr>
        <w:t xml:space="preserve"> </w:t>
      </w:r>
      <w:r>
        <w:rPr>
          <w:rFonts w:ascii="Arial" w:cs="Arial" w:eastAsia="Arial" w:hAnsi="Arial"/>
          <w:sz w:val="16"/>
          <w:szCs w:val="16"/>
          <w:color w:val="auto"/>
        </w:rPr>
        <w:t>expired by its terms on June 30, 2019. On May 30, 2019, our shareholders approved Lamar Advertising’s 2019 Employee Stock Purchase Plan (the “2019 ESPP”). The 2019 ESPP became effective upon the expiration of the 2009 ESPP. The number of shares of Class A common stock available under the 2019 ESPP was automatically increased by 86,490 shares on January 1, 2021 pursuant to the automatic increase provisions of the 2019 ESPP.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2019 ESPP share activity for the six months ended June 30,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8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Shares</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Available for future purchases, January 1, 2021</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369,771</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Additional shares reserved under 2019 ESPP</w:t>
            </w:r>
          </w:p>
        </w:tc>
        <w:tc>
          <w:tcPr>
            <w:tcW w:w="1340" w:type="dxa"/>
            <w:vAlign w:val="bottom"/>
          </w:tcPr>
          <w:p>
            <w:pPr>
              <w:jc w:val="right"/>
              <w:spacing w:after="0"/>
              <w:rPr>
                <w:sz w:val="20"/>
                <w:szCs w:val="20"/>
                <w:color w:val="auto"/>
              </w:rPr>
            </w:pPr>
            <w:r>
              <w:rPr>
                <w:rFonts w:ascii="Arial" w:cs="Arial" w:eastAsia="Arial" w:hAnsi="Arial"/>
                <w:sz w:val="18"/>
                <w:szCs w:val="18"/>
                <w:color w:val="auto"/>
              </w:rPr>
              <w:t>86,490</w:t>
            </w:r>
          </w:p>
        </w:tc>
      </w:tr>
      <w:tr>
        <w:trPr>
          <w:trHeight w:val="229"/>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(62,126)</w:t>
            </w:r>
          </w:p>
        </w:tc>
      </w:tr>
      <w:tr>
        <w:trPr>
          <w:trHeight w:val="223"/>
        </w:trPr>
        <w:tc>
          <w:tcPr>
            <w:tcW w:w="9880" w:type="dxa"/>
            <w:vAlign w:val="bottom"/>
          </w:tcPr>
          <w:p>
            <w:pPr>
              <w:ind w:left="20"/>
              <w:spacing w:after="0"/>
              <w:rPr>
                <w:sz w:val="20"/>
                <w:szCs w:val="20"/>
                <w:color w:val="auto"/>
              </w:rPr>
            </w:pPr>
            <w:r>
              <w:rPr>
                <w:rFonts w:ascii="Arial" w:cs="Arial" w:eastAsia="Arial" w:hAnsi="Arial"/>
                <w:sz w:val="18"/>
                <w:szCs w:val="18"/>
                <w:color w:val="auto"/>
              </w:rPr>
              <w:t>Available for future purchases, June 30, 2021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394,135</w:t>
            </w:r>
          </w:p>
        </w:tc>
      </w:tr>
      <w:tr>
        <w:trPr>
          <w:trHeight w:val="20"/>
        </w:trPr>
        <w:tc>
          <w:tcPr>
            <w:tcW w:w="98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Performance-based stock compensation. </w:t>
      </w:r>
      <w:r>
        <w:rPr>
          <w:rFonts w:ascii="Arial" w:cs="Arial" w:eastAsia="Arial" w:hAnsi="Arial"/>
          <w:sz w:val="17"/>
          <w:szCs w:val="17"/>
          <w:color w:val="auto"/>
        </w:rPr>
        <w:t>Unrestricted shares of our Class A common stock may be awarded to key officers, employees and directors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Incentive Plan. The number of shares to be issued, if any, will be dependent on the level of achievement of performance measures for key officers and employees, as determined by the Company’s Compensation Committee based on our 2021 results. Any shares issued based on the achievement of performance goals will be issued in the first quarter of 2022. The shares subject to these awards can range from a minimum of 0% to a maximum of 100% of the target number of shares depending on the level at which the goals are attained. For the six months ended June 30, 2021, the Company has recorded $6,858 as stock-based compensation expense related to performance-based awards.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Restricted stock compensation. </w:t>
      </w:r>
      <w:r>
        <w:rPr>
          <w:rFonts w:ascii="Arial" w:cs="Arial" w:eastAsia="Arial" w:hAnsi="Arial"/>
          <w:sz w:val="18"/>
          <w:szCs w:val="18"/>
          <w:color w:val="auto"/>
        </w:rPr>
        <w:t>Annually, each non-employee director automatically receives a restricted stock award of our Class A common stock upon</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or re-election. The awards vest 50% on grant date and 50% on the last day of the directors' one year term. The Company recorded $474 in stock-based compensation expense related to these awards for the six months ended June 30, 2021.</w:t>
      </w:r>
    </w:p>
    <w:p>
      <w:pPr>
        <w:spacing w:after="0" w:line="29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Depreciation and Amortization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includes all categories of depreciation and amortization on a separate line in its Condensed Consolidated Statements of Income and Comprehensive Income. The amounts of depreciation and amortization expense excluded from the following operating expenses in its Condensed Consolidated Statements of Income and Comprehensive Income are: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3"/>
              </w:rPr>
              <w:t>2020</w:t>
            </w:r>
          </w:p>
        </w:tc>
      </w:tr>
      <w:tr>
        <w:trPr>
          <w:trHeight w:val="224"/>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Direct advertising expenses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56,276</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60,142</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112,748</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118,839</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w:t>
            </w:r>
          </w:p>
        </w:tc>
      </w:tr>
      <w:tr>
        <w:trPr>
          <w:trHeight w:val="223"/>
        </w:trPr>
        <w:tc>
          <w:tcPr>
            <w:tcW w:w="5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121,371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126,311</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intangible assets at June 30, 2021 and December 31,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Estimated</w:t>
            </w:r>
          </w:p>
        </w:tc>
        <w:tc>
          <w:tcPr>
            <w:tcW w:w="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40"/>
        </w:trPr>
        <w:tc>
          <w:tcPr>
            <w:tcW w:w="420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3"/>
                <w:szCs w:val="3"/>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3"/>
                <w:szCs w:val="3"/>
                <w:color w:val="auto"/>
              </w:rPr>
            </w:pPr>
          </w:p>
        </w:tc>
        <w:tc>
          <w:tcPr>
            <w:tcW w:w="11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line="20" w:lineRule="exact"/>
              <w:rPr>
                <w:sz w:val="1"/>
                <w:szCs w:val="1"/>
                <w:color w:val="auto"/>
              </w:rPr>
            </w:pPr>
          </w:p>
        </w:tc>
      </w:tr>
      <w:tr>
        <w:trPr>
          <w:trHeight w:val="135"/>
        </w:trPr>
        <w:tc>
          <w:tcPr>
            <w:tcW w:w="4200" w:type="dxa"/>
            <w:vAlign w:val="bottom"/>
          </w:tcPr>
          <w:p>
            <w:pPr>
              <w:spacing w:after="0"/>
              <w:rPr>
                <w:sz w:val="11"/>
                <w:szCs w:val="11"/>
                <w:color w:val="auto"/>
              </w:rPr>
            </w:pPr>
          </w:p>
        </w:tc>
        <w:tc>
          <w:tcPr>
            <w:tcW w:w="1560" w:type="dxa"/>
            <w:vAlign w:val="bottom"/>
            <w:gridSpan w:val="3"/>
          </w:tcPr>
          <w:p>
            <w:pPr>
              <w:jc w:val="center"/>
              <w:ind w:right="150"/>
              <w:spacing w:after="0" w:line="135" w:lineRule="exact"/>
              <w:rPr>
                <w:sz w:val="20"/>
                <w:szCs w:val="20"/>
                <w:color w:val="auto"/>
              </w:rPr>
            </w:pPr>
            <w:r>
              <w:rPr>
                <w:rFonts w:ascii="Arial" w:cs="Arial" w:eastAsia="Arial" w:hAnsi="Arial"/>
                <w:sz w:val="14"/>
                <w:szCs w:val="14"/>
                <w:b w:val="1"/>
                <w:bCs w:val="1"/>
                <w:color w:val="auto"/>
                <w:w w:val="96"/>
              </w:rPr>
              <w:t>Life</w:t>
            </w: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560" w:type="dxa"/>
            <w:vAlign w:val="bottom"/>
            <w:gridSpan w:val="3"/>
          </w:tcPr>
          <w:p>
            <w:pPr>
              <w:jc w:val="center"/>
              <w:ind w:right="150"/>
              <w:spacing w:after="0"/>
              <w:rPr>
                <w:sz w:val="20"/>
                <w:szCs w:val="20"/>
                <w:color w:val="auto"/>
              </w:rPr>
            </w:pPr>
            <w:r>
              <w:rPr>
                <w:rFonts w:ascii="Arial" w:cs="Arial" w:eastAsia="Arial" w:hAnsi="Arial"/>
                <w:sz w:val="14"/>
                <w:szCs w:val="14"/>
                <w:b w:val="1"/>
                <w:bCs w:val="1"/>
                <w:color w:val="auto"/>
                <w:w w:val="92"/>
              </w:rPr>
              <w:t>(Years)</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11"/>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Amortizable intangible assets:</w:t>
            </w: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Customer lists and contracts</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7—10  $</w:t>
            </w:r>
          </w:p>
        </w:tc>
        <w:tc>
          <w:tcPr>
            <w:tcW w:w="1180" w:type="dxa"/>
            <w:vAlign w:val="bottom"/>
          </w:tcPr>
          <w:p>
            <w:pPr>
              <w:jc w:val="right"/>
              <w:spacing w:after="0"/>
              <w:rPr>
                <w:sz w:val="20"/>
                <w:szCs w:val="20"/>
                <w:color w:val="auto"/>
              </w:rPr>
            </w:pPr>
            <w:r>
              <w:rPr>
                <w:rFonts w:ascii="Arial" w:cs="Arial" w:eastAsia="Arial" w:hAnsi="Arial"/>
                <w:sz w:val="18"/>
                <w:szCs w:val="18"/>
                <w:color w:val="auto"/>
              </w:rPr>
              <w:t>648,088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574,844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645,739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563,135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Non-competition agreements</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3—15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66,488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64,784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66,156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64,647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Site locations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2,429,550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1,636,461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2,412,745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1,593,805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w:t>
            </w:r>
          </w:p>
        </w:tc>
        <w:tc>
          <w:tcPr>
            <w:tcW w:w="15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rPr>
              <w:t>2—15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39,012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38,625</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3,194,246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2,315,101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3,174,658</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2,260,212</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Unamortizable intangible assets:</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2,165,935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2,165,864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253,536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Asset Retirement Obligations</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Company’s asset retirement obligations include the costs associated with the removal of its structures, resurfacing of the land and retirement cost, if applicable, related to the Company’s outdoor advertising portfolio. The following table reflects information related to our asset retirement obligations: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222,876</w:t>
            </w:r>
          </w:p>
        </w:tc>
      </w:tr>
      <w:tr>
        <w:trPr>
          <w:trHeight w:val="230"/>
        </w:trPr>
        <w:tc>
          <w:tcPr>
            <w:tcW w:w="9880" w:type="dxa"/>
            <w:vAlign w:val="bottom"/>
          </w:tcPr>
          <w:p>
            <w:pPr>
              <w:ind w:left="20"/>
              <w:spacing w:after="0"/>
              <w:rPr>
                <w:sz w:val="20"/>
                <w:szCs w:val="20"/>
                <w:color w:val="auto"/>
              </w:rPr>
            </w:pPr>
            <w:r>
              <w:rPr>
                <w:rFonts w:ascii="Arial" w:cs="Arial" w:eastAsia="Arial" w:hAnsi="Arial"/>
                <w:sz w:val="18"/>
                <w:szCs w:val="18"/>
                <w:color w:val="auto"/>
              </w:rPr>
              <w:t>Additions to asset retirement obligations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30"/>
        </w:trPr>
        <w:tc>
          <w:tcPr>
            <w:tcW w:w="9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expense</w:t>
            </w: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2,029</w:t>
            </w:r>
          </w:p>
        </w:tc>
      </w:tr>
      <w:tr>
        <w:trPr>
          <w:trHeight w:val="229"/>
        </w:trPr>
        <w:tc>
          <w:tcPr>
            <w:tcW w:w="9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Liabilities settled</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w:t>
            </w:r>
          </w:p>
        </w:tc>
      </w:tr>
      <w:tr>
        <w:trPr>
          <w:trHeight w:val="248"/>
        </w:trPr>
        <w:tc>
          <w:tcPr>
            <w:tcW w:w="9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 2021</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223,876</w:t>
            </w:r>
          </w:p>
        </w:tc>
      </w:tr>
      <w:tr>
        <w:trPr>
          <w:trHeight w:val="20"/>
        </w:trPr>
        <w:tc>
          <w:tcPr>
            <w:tcW w:w="98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Distribution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Media’s ability to make distributions to Lamar Advertising is restricted under both the terms of the indentures relating to Lamar Media’s outstanding notes and by the terms of its senior credit facility. As of June 30, 2021 and December 31, 2020, Lamar Media was permitted under the terms of its outstanding notes to make transfers to Lamar Advertising in the form of cash dividends, loans or advances in amounts up to $3,755,580 and $3,625,712,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2021, Lamar Media’s senior credit facility allows it to make transfers to Lamar Advertising in any taxable year up to the amount of Lamar Advertising’s taxable income (without any deduction for dividends paid). In addition, as of June 30, 2021, transfers to Lamar Advertising are permitted under Lamar Media’s senior credit facility and as defined therein up to the available cumulative credit, as long as no default has occurred and is continuing and, after giving effect to such distributions, (i) the total debt ratio is less than 7.0 to 1 and (ii) the secured debt ratio does not exceed 4.5 to 1. As of June 30, 2021, the total debt ratio was less than 7.0 to 1 and Lamar Media’s secured debt ratio was less than 4.5 to 1, and the available cumulative credit was $2,526,060.</w:t>
      </w:r>
    </w:p>
    <w:p>
      <w:pPr>
        <w:spacing w:after="0" w:line="30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calculation of basic earnings per share excludes any dilutive effect of stock options, while diluted earnings per share includes the dilutive effect of stock options. There were no dilutive shares excluded from this calculation resulting from their anti-dilutive effect for the three and six months ended June 30, 2021 or 2020.</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 at June 30, 2021 and December 31, 2020:</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588,154</w:t>
            </w:r>
          </w:p>
        </w:tc>
        <w:tc>
          <w:tcPr>
            <w:tcW w:w="0" w:type="dxa"/>
            <w:vAlign w:val="bottom"/>
          </w:tcPr>
          <w:p>
            <w:pPr>
              <w:spacing w:after="0"/>
              <w:rPr>
                <w:sz w:val="1"/>
                <w:szCs w:val="1"/>
                <w:color w:val="auto"/>
              </w:rPr>
            </w:pPr>
          </w:p>
        </w:tc>
      </w:tr>
      <w:tr>
        <w:trPr>
          <w:trHeight w:val="229"/>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121,827</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592,462</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tcPr>
          <w:p>
            <w:pPr>
              <w:ind w:left="20"/>
              <w:spacing w:after="0"/>
              <w:rPr>
                <w:sz w:val="20"/>
                <w:szCs w:val="20"/>
                <w:color w:val="auto"/>
              </w:rPr>
            </w:pPr>
            <w:r>
              <w:rPr>
                <w:rFonts w:ascii="Arial" w:cs="Arial" w:eastAsia="Arial" w:hAnsi="Arial"/>
                <w:sz w:val="18"/>
                <w:szCs w:val="18"/>
                <w:color w:val="auto"/>
              </w:rPr>
              <w:t>5/8%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542,225</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549,319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541,750</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394,696</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2,822,978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39,297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2,783,681</w:t>
            </w: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(122,195)</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2,700,110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2,661,486</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1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Deferred</w:t>
            </w: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3"/>
              </w:rPr>
              <w:t>Debt, net of</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Arial" w:cs="Arial" w:eastAsia="Arial" w:hAnsi="Arial"/>
                <w:sz w:val="14"/>
                <w:szCs w:val="14"/>
                <w:b w:val="1"/>
                <w:bCs w:val="1"/>
                <w:color w:val="auto"/>
                <w:w w:val="92"/>
              </w:rPr>
              <w:t>deferred</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financing costs</w:t>
            </w:r>
          </w:p>
        </w:tc>
        <w:tc>
          <w:tcPr>
            <w:tcW w:w="160" w:type="dxa"/>
            <w:vAlign w:val="bottom"/>
          </w:tcPr>
          <w:p>
            <w:pPr>
              <w:spacing w:after="0"/>
              <w:rPr>
                <w:sz w:val="16"/>
                <w:szCs w:val="16"/>
                <w:color w:val="auto"/>
              </w:rPr>
            </w:pPr>
          </w:p>
        </w:tc>
        <w:tc>
          <w:tcPr>
            <w:tcW w:w="116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financing costs</w:t>
            </w:r>
          </w:p>
        </w:tc>
        <w:tc>
          <w:tcPr>
            <w:tcW w:w="0" w:type="dxa"/>
            <w:vAlign w:val="bottom"/>
          </w:tcPr>
          <w:p>
            <w:pPr>
              <w:spacing w:after="0"/>
              <w:rPr>
                <w:sz w:val="1"/>
                <w:szCs w:val="1"/>
                <w:color w:val="auto"/>
              </w:rPr>
            </w:pPr>
          </w:p>
        </w:tc>
      </w:tr>
      <w:tr>
        <w:trPr>
          <w:trHeight w:val="224"/>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586,897</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Accounts Receivable Securitization Program</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122,055</w:t>
            </w:r>
          </w:p>
        </w:tc>
        <w:tc>
          <w:tcPr>
            <w:tcW w:w="0" w:type="dxa"/>
            <w:vAlign w:val="bottom"/>
          </w:tcPr>
          <w:p>
            <w:pPr>
              <w:spacing w:after="0"/>
              <w:rPr>
                <w:sz w:val="1"/>
                <w:szCs w:val="1"/>
                <w:color w:val="auto"/>
              </w:rPr>
            </w:pPr>
          </w:p>
        </w:tc>
      </w:tr>
      <w:tr>
        <w:trPr>
          <w:trHeight w:val="230"/>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3</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591,969</w:t>
            </w: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4%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541,369</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7/8% Senior Notes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394,414</w:t>
            </w:r>
          </w:p>
        </w:tc>
        <w:tc>
          <w:tcPr>
            <w:tcW w:w="0" w:type="dxa"/>
            <w:vAlign w:val="bottom"/>
          </w:tcPr>
          <w:p>
            <w:pPr>
              <w:spacing w:after="0"/>
              <w:rPr>
                <w:sz w:val="1"/>
                <w:szCs w:val="1"/>
                <w:color w:val="auto"/>
              </w:rPr>
            </w:pPr>
          </w:p>
        </w:tc>
      </w:tr>
      <w:tr>
        <w:trPr>
          <w:trHeight w:val="230"/>
        </w:trPr>
        <w:tc>
          <w:tcPr>
            <w:tcW w:w="14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6880" w:type="dxa"/>
            <w:vAlign w:val="bottom"/>
          </w:tcPr>
          <w:p>
            <w:pPr>
              <w:ind w:left="20"/>
              <w:spacing w:after="0"/>
              <w:rPr>
                <w:sz w:val="20"/>
                <w:szCs w:val="20"/>
                <w:color w:val="auto"/>
              </w:rPr>
            </w:pPr>
            <w:r>
              <w:rPr>
                <w:rFonts w:ascii="Arial" w:cs="Arial" w:eastAsia="Arial" w:hAnsi="Arial"/>
                <w:sz w:val="18"/>
                <w:szCs w:val="18"/>
                <w:color w:val="auto"/>
              </w:rPr>
              <w:t>3/4% Senior Notes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653,631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647,056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notes with various rates and terms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2,926,633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40,117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2,886,516</w:t>
            </w: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2,803,754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Credit Facility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6, 2020, Lamar Media entered into a Fourth Amended and Restated Credit Agreement (the “Fourth Amended and Restated 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senior credit facility, as established by the Fourth Amended and Restated Credit Agreement (the “senior credit facility”), consists of (i) a new $750,000 senior secured revolving credit facility which will mature on February 6, 2025 (the “revolving credit facility”), (ii) a new $600,000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of 4.50 to 1.00, as well as certain other conditions including lender approval. Lamar Media borrowed all $600,000 in Term B loans on February 6, 2020. The entire amount of the Term B loans will be payable at maturity. The net proceeds from the Term B loans, together with</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revolving portion of the senior credit facility and a portion of the proceeds of the issuance of the 3 3/4% Senior Notes due 2028 and 4% Senior Notes due 2030 (both as described below), were used to repay all outstanding amounts under the Third Amended and Restated Credit Agreement, and all revolving commitments under that facility were terminated. As a result of refinancing our credit facility the Company incurred a loss on debt extinguishment of $5,608 for the six months ended June 30,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B loans mature on February 6, 2027 with no required amortization payments. 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there were no borrowings outstanding under the revolving credit facility. Availability under the revolving credit facility is reduced by the amount of any letters of credit outstanding. Lamar Media had $14,434 in letters of credit outstanding as of June 30, 2021 resulting in $735,566 of availability under its revolving credit facility. Revolving credit loans may be requested under the revolving credit facility at any time prior to its maturity on February 6, 2025.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terms of Lamar Media’s senior credit facility and the indentures relating to Lamar Media’s outstanding notes restrict, among other things, the ability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Advertising and Lamar Media to:</w:t>
      </w:r>
    </w:p>
    <w:p>
      <w:pPr>
        <w:spacing w:after="0" w:line="103"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or repay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investments;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senior credit facility contains provisions that allow Lamar Media to conduct its affairs in a manner that allows Lamar Advertising to qualify and remain qualified as a REIT, including by allowing Lamar Media to make distributions to Lamar Advertising required for the Company to qualify and remain qualified for taxation as a REIT, subject to certain restrictions.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Media’s ability to make distributions to Lamar Advertising is also restricted under the terms of these agreements. Under Lamar Media’s senior credit facility, the Company must maintain a specified secured debt ratio as long as a revolving credit commitment, revolving loan or letter of credit remains outstanding, and in addition, must satisfy a total debt ratio in order to incur debt, make distributions or make certain investments.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Advertising and Lamar Media were in compliance with all of the terms of their indentures and the senior credit facility provisions during the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Program</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18, 2018, Lamar Media entered into a $175,000 Receivable Financing Agreement (the “Receivable Financing Agreement”) with its wholly-owned special purpose entities, Lamar QRS Receivables, LLC and Lamar TRS Receivables, LLC (the “Special Purpose Subsidiaries”) maturing on December 17, 2021 (the "Accounts Receivable Securitization Program"). The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Securitization Program is limited to the availability of eligible accounts receivable collateralizing the borrowings under the agreements governing the Accounts Receivable Securitization Program.</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two separate Purchase and Sale Agreements dated December 18, 2018, each of which is among Lamar Media as initial Servicer, certain of Lamar Media’s subsidiaries and a Special Purpose Subsidiary, the subsidiaries sold substantially all of their existing and future accounts receivable balances to the Special Purpose Subsidiaries. The Special Purpose Subsidiaries use the accounts receivable balances to collateralize loans pursuant to the Accounts Receivable Securitization Program. Lamar Media retains the responsibility of servicing the accounts receivable balances pledged as collateral under the Accounts Receivable Securitization Program and provides a performance guaranty.</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30, 2020, Lamar Media and the Special Purpose Subsidiaries entered into the Third Amendment (the “Third Amendment”) to the Receivables Financing Agreement. The Third Amendment increased the maximum three month average Delinquency Ratio, Dilution Ratio and Days’ Sales Outstanding to 11.00% (from 8.00%), 7.00% (from 4.00%) and 75 days (from 65 days), respectively, for each of the months of June, July and August 2020. The Third Amendment did not modify any other financial covenant. Additionally, the Third Amendment established a new Minimum Funding Threshold, which requires the Special Purpose Subsidiaries to maintain minimum borrowings under the Accounts Receivable Securitization Program on any day equal to the lesser of (i) 50.00%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23, 2020, Lamar Media and the Special Purpose Subsidiaries entered into the Fourth Amendment (the “Fourth Amendment”) to the Receivables Financing Agreement. The Fourth Amendment increased the maximum three month average Delinquency Ratio generally to 13.00% (and up to 16.00% for up to two additional periods upon written notice from Lamar Media), and increased the maximum three month average Dilution Ratio to 5.00% for the remaining term of the Accounts Receivable Securitization Program. Additionally, the Fourth Amendment increased the Minimum Funding Threshold which, as amended, requires the Special Purpose Subsidiaries to maintain minimum borrowings under the Accounts Receivable Securitization Program on any day equal to the lesser of (i) 70.00% of the aggregate Commitment of all Lenders or (ii) the Borrowing Base, though the Special Purpose Subsidiaries had the right to borrow less than the Minimum Funding Threshold during certain periods prior to December 21, 2020 at their election.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24, 2021, Lamar Media and the Special Purpose Subsidiaries entered into the Fifth Amendment (the "Fifth Amendment") to the Receivables Financing Agreement. The Fifth Amendment extended the maturity date of the Accounts Receivable Securitization Program to July 21, 2024. Additionally, the Fifth Amendment decreased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June 30, 2021 there was $122,500 outstanding aggregate borrowings under the Accounts Receivable Securitization Program. Lamar Media had an additional $52,500 available for borrowing under the Accounts Receivable Securitization Program as of June 30, 2021. The commitment fees based on the amount of unused commitments under the Accounts Receivable Securitization Program were immaterial during the six months ended June 30, 2021.</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July 21, 2024.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Accounts Receivable Securitization Program is accounted for as a collateralized financing activity, rather than a sale of assets, and therefore: (i) accounts receivable balances pledged as collateral are presented as assets and the borrowings are presented as liabilities on our Condensed Consolidated Balance Sheets, (ii) our Condensed Consolidated Statements of Income and Comprehensive Income reflect the associated charges for bad debt expense (a component of general and administrative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expenses) related to the pledged accounts receivable and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 3/4% Senior Notes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28, 2016, Lamar Media completed an institutional private placement of $400,000 aggregate principal amount of 5 3/4% Senior Notes due 2026 (the “Original 5 3/4% Notes”). The institutional private placement on January 28, 2016 resulted in net proceeds to Lamar Media of approximately $394,500.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 2019, Lamar Media completed an institutional private placement of an additional $250,000 aggregate principal amount under its 5 3/4% Notes (the “Additional 5 3/4% Notes", and together with the Original 5 3/4% Notes, the "5 3/4% Notes”). Other than with respect to the date of issuance, issue price and CUSIP number, the Additional 5 3/4% Notes have the same terms as the Original 5 3/4% Notes. The net proceeds after underwriting fees and expenses, was approximately $251,500.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3, 2021, Lamar Media redeemed in full all $650,000 aggregate principal amount 5 3/4% Notes. The 5 3/4% Notes redemption was completed using the proceeds received from the 3 5/8% Notes offering completed on January 22, 2021 (as described below), together with cash on hand and borrowings under the revolving credit facility and Accounts Receivable Securitization Program. The 5 3/4% Notes were redeemed at a redemption price equal to 102.875% of the aggregate principal amount of the outstanding notes, plus accrued and unpaid interest to (but not including) the redemption date. During the six months ended June 30, 2021, the Company recorded a loss on debt extinguishment of approximately $21,604 related to the note redemption, of which $18,700 was in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$400,000 aggregate principal amount of 4% Senior Notes due 2030 (the “Original 4% Notes”). The institutional private placement on February 6, 2020 resulted in net proceeds to Lamar Media of approximately $395,000.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2020, Lamar Media completed an institutional private placement of an additional $150,000 aggregate principal amount of its 4% Notes (the “Additional 4% Notes”, and together with the Original 4% Notes, the "4% Notes"). Other than with respect to the date of issuance and issue price, the Additional 4% Notes have the same terms as the Original 4% Notes. The institutional private placement on August 19, 2020 resulted in net proceeds to Lamar Media of approximately $146,900.</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Lamar Media may redeem up to 40% of the aggregate principal amount of the 4% Notes, at any time and from time to time, at a price equal to 104% of the aggregate principal amount redeemed, plus accrued and unpaid interest thereon, with the net cash proceeds of certain public equity offerings completed before February 15, 2023, provided that following the redemption, at least 60% of the 4% Notes that were originally issued remain outstanding and any such redemption occurs within 120 days following the closing of any such public equity offering. At any time prior to February 15, 2025, Lamar Media may redeem some or all of the 4% Notes at a price equal to 100% of the aggregate principal amount, plus accrued and unpaid interest thereon and a make-whole premium. On or after February 15, 2025, Lamar Media may redeem the 4% Notes, in whole or in part, in cash at redemption prices specified in the 4% Notes. In addition, if the Company or Lamar Media undergoes a change of control, Lamar Media may be required to make an offer to purchase each holder’s 4% Notes at a price equal to 101% of the principal amount of the 4% Notes, plus accrued and unpaid interest, up to but not including the repurchase date.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3/4%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6, 2020, Lamar Media completed an institutional private placement of $600,000 aggregate principal amount of 3 3/4% Senior Notes due 2028 (the “3 3/4% Notes”). The institutional private placement on February 6, 2020 resulted in net proceeds to Lamar Media of approximately $592,500.</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may redeem up to 40% of the aggregate principal amount of 3 3/4% Notes, at any time and from time to time, at a price equal to 103.75% of the aggregate principal amount redeemed, plus accrued and unpaid interest thereon, with the net cash</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proceeds of certain public equity offerings completed before February 15, 2023, provided that following the redemption, at least 60% of the 3 3/4% Notes that were originally issued remain outstanding and any such redemption occurs within 120 days following the closing of any such public equity offering. At any time prior to February 15, 2023, Lamar Media may redeem some or all of the 3 3/4% Notes at a price equal to 100% of the aggregate principal amount, plus accrued and unpaid interest thereon and a make-whole premium. On or after February 15, 2023, Lamar Media may redeem the 3 3/4% Notes, in whole or in part, in cash at redemption prices specified in the 3 3/4% Notes. In addition, if the Company or Lamar Media undergoes a change of control, Lamar Media may be required to make an offer to purchase each holder’s 3 3/4% Notes at a price equal to 101% of the principal amount of the 3 3/4% Notes, plus accrued and unpaid interest, up to but not including the repurchase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 7/8% Senior Notes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13, 2020, Lamar Media completed an institutional private placement of $400,000 aggregate principal amount of 4 7/8% Senior Notes due 2029 (the “4 7/8% Notes”). The institutional private placement on May 13, 2020 resulted in net proceeds to Lamar Media of approximately $395,000.</w:t>
      </w:r>
    </w:p>
    <w:p>
      <w:pPr>
        <w:spacing w:after="0" w:line="1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4 7/8% Notes, at any time and from time to time, at a price equal to 104.875% of the aggregate principal amount redeemed, plus accrued and unpaid interest thereon, with the net cash proceeds of certain public equity offerings completed before May 15, 2023, provided that following the redemption, at least 60% of the 4 7/8% Notes that were originally issued remain outstanding and any such redemption occurs within 120 days following the closing of any such public equity offering. At any time prior to January 15, 2024, Lamar Media may redeem some or all of the 4 7/8% Notes at a price equal to 100% of the aggregate principal amount, plus accrued and unpaid interest thereon and a make-whole premium. On or after January 15, 2024, Lamar Media may redeem the 4 7/8% Notes, in whole or in part, in cash at redemption prices specified in the 4 7/8% Notes. In addition, if the Company or Lamar Media undergoes a change of control, Lamar Media may be required to make an offer to purchase each holder’s 4 7/8% Notes at a price equal to 101% of the principal amount of the 4 7/8%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 5/8% Senior Notes</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January 22, 2021, Lamar Media completed an institutional private placement of $550,000 aggregate principal amount of 3 5/8% Senior Notes due 2031 (the “3 5/8% Notes”). The institutional private placement on January 22, 2021 resulted in net proceeds to Lamar Media of approximately $542,500.</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Lamar Media may redeem up to 40% of the aggregate principal amount of the 3 5/8% Notes, at any time and from time to time, at a price equal to 103.625% of the aggregate principal amount so redeemed, plus accrued and unpaid interest thereon, with the net cash proceeds of certain public equity offerings completed before January 15, 2024 provided that following the redemption, at least 60% of the 3 5/8% Notes that were originally issued remain outstanding and any such redemption occurs within 120 days following the closing of any such public equity offering. At any time prior to January 15, 2026, Lamar Media may redeem some or all of the 3 5/8% Notes at a price equal to 100% of the aggregate principal amount, plus accrued and unpaid interest thereon and a make-whole premium. On or after January 15, 2026, Lamar Media may redeem the 3 5/8% Notes, in whole or in part, in cash at redemption prices specified in the 3 5/8% Notes. In addition, if the Company or Lamar Media undergoes a change of control, Lamar Media may be required to make an offer to purchase each holder's 3 5/8% Notes at a price equal to 101% of the principal amount of the 3 5/8% Notes, plus accrued and unpaid interest, up to but not including the repurchase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Repurchase Program</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16, 2020, the Company’s Board of Directors authorized Lamar Media to repurchase up to $250,000 in outstanding senior or senior subordinated notes and other indebtedness outstanding from time to time under its Fourth Amended and Restated Credit Agreement. The repurchase program will expire on September 30, 2021 unless extended by the Board of Directors. There were no repurchases under the program as of June 30, 2021.</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2021 and December 31, 2020, the Company’s financial instruments included cash and cash equivalents, marketable securities, accounts receivable, investments, accounts payable and borrowings. The fair values of cash and cash equivalents, accounts receivable, accounts payable and short-term borrowings and current portion of long-term debt approximated carrying values because of the short-term nature of these instruments. Investment contracts are reported at fair values. Fair values for investments held at cost are not readily available, but are estimated to approximate fair value. The estimated fair value of the Company’s long-term debt (including current maturities) was $2,829,942 which exceeds the carrying amount of $2,822,978 as of June 30, 2021. The majority of the fair value is determined using observed prices of publicly traded debt (level 1 in the fair value hierarchy) and the remaining is valued based on quoted prices for similar debt (level 2 in the fair value hierarchy).</w:t>
      </w:r>
    </w:p>
    <w:p>
      <w:pPr>
        <w:spacing w:after="0" w:line="285"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New Accounting Pronouncements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pacing w:after="0" w:line="295"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Dividends/Distributions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three months ended June 30, 2021 and 2020, the Company declared and paid cash distributions in an aggregate amount of $75,874 or $0.75 per share and $50,396 or $0.50 per share, respectively. During the six months ended June 30, 2021 and 2020, the Company declared and paid cash distributions in an aggregate amount of $151,692 or $1.50 per share and $151,083 or $1.50 per share, respectively.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 During the three and six months ended June 30, 2021 and 2020, the Company paid cash dividend distributions to holders of its Series AA Preferred Stock in an aggregate amount of $91 or $15.95 per share and $182 or $31.90 for each period, respectively.</w:t>
      </w:r>
    </w:p>
    <w:p>
      <w:pPr>
        <w:spacing w:after="0" w:line="276"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Information about Geographic Areas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from external customers attributable to foreign countries totaled $10,617 and $11,022 for the six months ended June 30, 2021 and 2020, respectively. Net carrying value of long-lived assets located in foreign countries totaled $10,345 and $8,727 as of June 30, 2021 and December 31, 2020, respectively. All other revenues from external customers and long-lived assets relate to domestic operations.</w:t>
      </w:r>
    </w:p>
    <w:p>
      <w:pPr>
        <w:spacing w:after="0" w:line="292" w:lineRule="exact"/>
        <w:rPr>
          <w:sz w:val="20"/>
          <w:szCs w:val="20"/>
          <w:color w:val="auto"/>
        </w:rPr>
      </w:pPr>
    </w:p>
    <w:p>
      <w:pPr>
        <w:ind w:left="280" w:hanging="272"/>
        <w:spacing w:after="0"/>
        <w:tabs>
          <w:tab w:leader="none" w:pos="2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Stockholders’ Equity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 2018, the Company entered into an equity distribution agreement (the “Sales Agreement”) with J.P. Morgan Securities LLC, Wells Fargo Securities LLC, and SunTrust Robinson Humphrey, Inc. as its sales agents. Under the terms of the Sales Agreement, the Company could have, from time to time, issued and sold shares of its Class A common stock, having an aggregate offering price of up to $400,000, through the sales agents party thereto as either agents or principals. The Sales Agreement expired by its terms on May 1, 2021 and as of that date, 842,412 shares of our Class A common stock were sold under the Sales Agreement.</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 Sales Agreement with substantially similar terms. Under the terms of the 2021 Sales Agreement, the Company may, from time</w:t>
      </w:r>
    </w:p>
    <w:p>
      <w:pPr>
        <w:sectPr>
          <w:pgSz w:w="11900" w:h="16838" w:orient="portrait"/>
          <w:cols w:equalWidth="0" w:num="1">
            <w:col w:w="11240"/>
          </w:cols>
          <w:pgMar w:left="320" w:top="44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time, issue and sell shares of its Class A common stock, having an aggregate offering price of up to $400,000, through the Sales Agents as either agents or principals.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directly through a market maker other than on an exchange. The Company has no obligation to sell any of the Class A Common stock under the 2021 Sales Agreement and may at any time suspend solicitations and offers under the 2021 Sales Agreement.</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no shares of our Class A common stock have been sold under the 2021 Sales Agreement and accordingly $400,000 remained available to be sold under the 2021 Sales Agreement as of June 30, 2021.</w:t>
      </w:r>
    </w:p>
    <w:p>
      <w:pPr>
        <w:spacing w:after="0" w:line="157"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August 6, 2018, the Company filed an automatically effective shelf registration statement that registered the offer and sale of an indeterminate amount of additional shares of our Class A common stock. There were no shares issued under this shelf registration during the six months ended June 30, 2021 and the year ended December 31, 2020. In anticipation of the upcoming expiration of the existing shelf registration statement in August 2021, on June 21, 2021, the Company filed a new automatically effective shelf registration statement that allows Lamar Advertising to offer and sell an indeterminate amount of additional shares of its Class A common stock on similar terms as the prior registration statement. During the six months ended June 30, 2021, the Company did not issue any shares under this shelf registration.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16, 2020, the Company’s Board of Directors authorized the repurchase of up to $250,000 of the Company’s Class A common stock. The repurchase program will expire on September 30, 2021 unless extended by the Board of Directors. There were no repurchases under the program as of June 30, 2021.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40" w:type="dxa"/>
            <w:vAlign w:val="bottom"/>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8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00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121,069</w:t>
            </w:r>
          </w:p>
        </w:tc>
        <w:tc>
          <w:tcPr>
            <w:tcW w:w="0" w:type="dxa"/>
            <w:vAlign w:val="bottom"/>
          </w:tcPr>
          <w:p>
            <w:pPr>
              <w:spacing w:after="0"/>
              <w:rPr>
                <w:sz w:val="1"/>
                <w:szCs w:val="1"/>
                <w:color w:val="auto"/>
              </w:rPr>
            </w:pPr>
          </w:p>
        </w:tc>
      </w:tr>
      <w:tr>
        <w:trPr>
          <w:trHeight w:val="213"/>
        </w:trPr>
        <w:tc>
          <w:tcPr>
            <w:tcW w:w="8000" w:type="dxa"/>
            <w:vAlign w:val="bottom"/>
          </w:tcPr>
          <w:p>
            <w:pPr>
              <w:ind w:left="260"/>
              <w:spacing w:after="0"/>
              <w:rPr>
                <w:sz w:val="20"/>
                <w:szCs w:val="20"/>
                <w:color w:val="auto"/>
              </w:rPr>
            </w:pPr>
            <w:r>
              <w:rPr>
                <w:rFonts w:ascii="Arial" w:cs="Arial" w:eastAsia="Arial" w:hAnsi="Arial"/>
                <w:sz w:val="16"/>
                <w:szCs w:val="16"/>
                <w:color w:val="auto"/>
              </w:rPr>
              <w:t>Receivables, net of allowance for doubtful accounts of $13,203 and $14,946 in 2021 and 2020, respectively</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257,412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240,854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18,147</w:t>
            </w:r>
          </w:p>
        </w:tc>
        <w:tc>
          <w:tcPr>
            <w:tcW w:w="0" w:type="dxa"/>
            <w:vAlign w:val="bottom"/>
          </w:tcPr>
          <w:p>
            <w:pPr>
              <w:spacing w:after="0"/>
              <w:rPr>
                <w:sz w:val="1"/>
                <w:szCs w:val="1"/>
                <w:color w:val="auto"/>
              </w:rPr>
            </w:pPr>
          </w:p>
        </w:tc>
      </w:tr>
      <w:tr>
        <w:trPr>
          <w:trHeight w:val="206"/>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347,693</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380,070</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3,642,397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3,615,505</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(2,376,903)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(2,333,656)</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1,265,494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1,281,849</w:t>
            </w:r>
          </w:p>
        </w:tc>
        <w:tc>
          <w:tcPr>
            <w:tcW w:w="0" w:type="dxa"/>
            <w:vAlign w:val="bottom"/>
          </w:tcPr>
          <w:p>
            <w:pPr>
              <w:spacing w:after="0"/>
              <w:rPr>
                <w:sz w:val="1"/>
                <w:szCs w:val="1"/>
                <w:color w:val="auto"/>
              </w:rPr>
            </w:pPr>
          </w:p>
        </w:tc>
      </w:tr>
      <w:tr>
        <w:trPr>
          <w:trHeight w:val="206"/>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right of use assets</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1,227,554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1,222,013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right of use assets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19,670</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1,902,247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1,902,177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913,978</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54,950</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5,698,835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5,774,707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Trade 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10,769</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12,017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3"/>
              </w:rPr>
              <w:t>Current maturities of long-term debt, net of deferred financing costs of $673 and $445 in 2021 and 2020, respectively</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122,195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122,434</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Current 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176,431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195,439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81,891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98,478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111,363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537,495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541,062</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net of deferred financing costs of $38,624 and $39,672 in 2021 and 2020, respectively</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2,661,486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2,764,082</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989,086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993,776</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lease liabilities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18,608</w:t>
            </w:r>
          </w:p>
        </w:tc>
        <w:tc>
          <w:tcPr>
            <w:tcW w:w="0" w:type="dxa"/>
            <w:vAlign w:val="bottom"/>
          </w:tcPr>
          <w:p>
            <w:pPr>
              <w:spacing w:after="0"/>
              <w:rPr>
                <w:sz w:val="1"/>
                <w:szCs w:val="1"/>
                <w:color w:val="auto"/>
              </w:rPr>
            </w:pPr>
          </w:p>
        </w:tc>
      </w:tr>
      <w:tr>
        <w:trPr>
          <w:trHeight w:val="213"/>
        </w:trPr>
        <w:tc>
          <w:tcPr>
            <w:tcW w:w="800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retirement obligation</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223,876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222,876</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36,605</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4,476,412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4,581,863</w:t>
            </w:r>
          </w:p>
        </w:tc>
        <w:tc>
          <w:tcPr>
            <w:tcW w:w="0" w:type="dxa"/>
            <w:vAlign w:val="bottom"/>
          </w:tcPr>
          <w:p>
            <w:pPr>
              <w:spacing w:after="0"/>
              <w:rPr>
                <w:sz w:val="1"/>
                <w:szCs w:val="1"/>
                <w:color w:val="auto"/>
              </w:rPr>
            </w:pPr>
          </w:p>
        </w:tc>
      </w:tr>
      <w:tr>
        <w:trPr>
          <w:trHeight w:val="193"/>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60"/>
              <w:spacing w:after="0"/>
              <w:rPr>
                <w:sz w:val="20"/>
                <w:szCs w:val="20"/>
                <w:color w:val="auto"/>
              </w:rPr>
            </w:pPr>
            <w:r>
              <w:rPr>
                <w:rFonts w:ascii="Arial" w:cs="Arial" w:eastAsia="Arial" w:hAnsi="Arial"/>
                <w:sz w:val="16"/>
                <w:szCs w:val="16"/>
                <w:color w:val="auto"/>
                <w:w w:val="97"/>
              </w:rPr>
              <w:t>Common stock, par value $0.01, 3,000 shares authorized, 100 shares issued and outstanding at 2021 and 2020</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00" w:type="dxa"/>
            <w:vAlign w:val="bottom"/>
          </w:tcPr>
          <w:p>
            <w:pPr>
              <w:ind w:left="220"/>
              <w:spacing w:after="0"/>
              <w:rPr>
                <w:sz w:val="20"/>
                <w:szCs w:val="20"/>
                <w:color w:val="auto"/>
              </w:rPr>
            </w:pPr>
            <w:r>
              <w:rPr>
                <w:rFonts w:ascii="Arial" w:cs="Arial" w:eastAsia="Arial" w:hAnsi="Arial"/>
                <w:sz w:val="16"/>
                <w:szCs w:val="16"/>
                <w:color w:val="auto"/>
              </w:rPr>
              <w:t>Additional paid-in-capital</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3,062,342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3,034,357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comprehensive income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(1,841,357)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(1,842,447)</w:t>
            </w:r>
          </w:p>
        </w:tc>
        <w:tc>
          <w:tcPr>
            <w:tcW w:w="0" w:type="dxa"/>
            <w:vAlign w:val="bottom"/>
          </w:tcPr>
          <w:p>
            <w:pPr>
              <w:spacing w:after="0"/>
              <w:rPr>
                <w:sz w:val="1"/>
                <w:szCs w:val="1"/>
                <w:color w:val="auto"/>
              </w:rPr>
            </w:pPr>
          </w:p>
        </w:tc>
      </w:tr>
      <w:tr>
        <w:trPr>
          <w:trHeight w:val="213"/>
        </w:trPr>
        <w:tc>
          <w:tcPr>
            <w:tcW w:w="80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1,222,423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1,192,844</w:t>
            </w:r>
          </w:p>
        </w:tc>
        <w:tc>
          <w:tcPr>
            <w:tcW w:w="0" w:type="dxa"/>
            <w:vAlign w:val="bottom"/>
          </w:tcPr>
          <w:p>
            <w:pPr>
              <w:spacing w:after="0"/>
              <w:rPr>
                <w:sz w:val="1"/>
                <w:szCs w:val="1"/>
                <w:color w:val="auto"/>
              </w:rPr>
            </w:pPr>
          </w:p>
        </w:tc>
      </w:tr>
      <w:tr>
        <w:trPr>
          <w:trHeight w:val="206"/>
        </w:trPr>
        <w:tc>
          <w:tcPr>
            <w:tcW w:w="8000" w:type="dxa"/>
            <w:vAlign w:val="bottom"/>
          </w:tcPr>
          <w:p>
            <w:pPr>
              <w:ind w:left="4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5,698,835</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5,774,707</w:t>
            </w:r>
          </w:p>
        </w:tc>
        <w:tc>
          <w:tcPr>
            <w:tcW w:w="0" w:type="dxa"/>
            <w:vAlign w:val="bottom"/>
          </w:tcPr>
          <w:p>
            <w:pPr>
              <w:spacing w:after="0"/>
              <w:rPr>
                <w:sz w:val="1"/>
                <w:szCs w:val="1"/>
                <w:color w:val="auto"/>
              </w:rPr>
            </w:pPr>
          </w:p>
        </w:tc>
      </w:tr>
      <w:tr>
        <w:trPr>
          <w:trHeight w:val="24"/>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11"/>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Statements of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445,052</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347,652</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815,933</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754,221</w:t>
            </w:r>
          </w:p>
        </w:tc>
        <w:tc>
          <w:tcPr>
            <w:tcW w:w="0" w:type="dxa"/>
            <w:vAlign w:val="bottom"/>
          </w:tcPr>
          <w:p>
            <w:pPr>
              <w:spacing w:after="0"/>
              <w:rPr>
                <w:sz w:val="1"/>
                <w:szCs w:val="1"/>
                <w:color w:val="auto"/>
              </w:rPr>
            </w:pPr>
          </w:p>
        </w:tc>
      </w:tr>
      <w:tr>
        <w:trPr>
          <w:trHeight w:val="21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 (income)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60"/>
              <w:spacing w:after="0"/>
              <w:rPr>
                <w:sz w:val="20"/>
                <w:szCs w:val="20"/>
                <w:color w:val="auto"/>
              </w:rPr>
            </w:pPr>
            <w:r>
              <w:rPr>
                <w:rFonts w:ascii="Arial" w:cs="Arial" w:eastAsia="Arial" w:hAnsi="Arial"/>
                <w:sz w:val="18"/>
                <w:szCs w:val="18"/>
                <w:color w:val="auto"/>
                <w:w w:val="93"/>
              </w:rPr>
              <w:t>Direct advertising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271,663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283,553</w:t>
            </w:r>
          </w:p>
        </w:tc>
        <w:tc>
          <w:tcPr>
            <w:tcW w:w="0" w:type="dxa"/>
            <w:vAlign w:val="bottom"/>
          </w:tcPr>
          <w:p>
            <w:pPr>
              <w:spacing w:after="0"/>
              <w:rPr>
                <w:sz w:val="1"/>
                <w:szCs w:val="1"/>
                <w:color w:val="auto"/>
              </w:rPr>
            </w:pPr>
          </w:p>
        </w:tc>
      </w:tr>
      <w:tr>
        <w:trPr>
          <w:trHeight w:val="176"/>
        </w:trPr>
        <w:tc>
          <w:tcPr>
            <w:tcW w:w="5640" w:type="dxa"/>
            <w:vAlign w:val="bottom"/>
            <w:shd w:val="clear" w:color="auto" w:fill="CFF0FC"/>
          </w:tcPr>
          <w:p>
            <w:pPr>
              <w:ind w:left="260"/>
              <w:spacing w:after="0" w:line="176" w:lineRule="exact"/>
              <w:rPr>
                <w:sz w:val="20"/>
                <w:szCs w:val="20"/>
                <w:color w:val="auto"/>
              </w:rPr>
            </w:pPr>
            <w:r>
              <w:rPr>
                <w:rFonts w:ascii="Arial" w:cs="Arial" w:eastAsia="Arial" w:hAnsi="Arial"/>
                <w:sz w:val="18"/>
                <w:szCs w:val="18"/>
                <w:color w:val="auto"/>
                <w:w w:val="99"/>
              </w:rPr>
              <w:t>General and administrative expenses (exclusive of depreciation and</w:t>
            </w:r>
          </w:p>
        </w:tc>
        <w:tc>
          <w:tcPr>
            <w:tcW w:w="30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75,519</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67,408</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148,168</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149,612</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w:t>
            </w:r>
          </w:p>
        </w:tc>
        <w:tc>
          <w:tcPr>
            <w:tcW w:w="30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expenses (exclusive of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38,157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35,012</w:t>
            </w:r>
          </w:p>
        </w:tc>
        <w:tc>
          <w:tcPr>
            <w:tcW w:w="0" w:type="dxa"/>
            <w:vAlign w:val="bottom"/>
          </w:tcPr>
          <w:p>
            <w:pPr>
              <w:spacing w:after="0"/>
              <w:rPr>
                <w:sz w:val="1"/>
                <w:szCs w:val="1"/>
                <w:color w:val="auto"/>
              </w:rPr>
            </w:pPr>
          </w:p>
        </w:tc>
      </w:tr>
      <w:tr>
        <w:trPr>
          <w:trHeight w:val="229"/>
        </w:trPr>
        <w:tc>
          <w:tcPr>
            <w:tcW w:w="5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60,622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63,998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121,371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126,311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Gain on disposition of assets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295,642</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281,095</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577,463</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590,969</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149,410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238,470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163,252</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18,184</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26,359</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35,437</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54,513</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71,990</w:t>
            </w:r>
          </w:p>
        </w:tc>
        <w:tc>
          <w:tcPr>
            <w:tcW w:w="0" w:type="dxa"/>
            <w:vAlign w:val="bottom"/>
          </w:tcPr>
          <w:p>
            <w:pPr>
              <w:spacing w:after="0"/>
              <w:rPr>
                <w:sz w:val="1"/>
                <w:szCs w:val="1"/>
                <w:color w:val="auto"/>
              </w:rPr>
            </w:pPr>
          </w:p>
        </w:tc>
      </w:tr>
      <w:tr>
        <w:trPr>
          <w:trHeight w:val="223"/>
        </w:trPr>
        <w:tc>
          <w:tcPr>
            <w:tcW w:w="56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26,177</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35,263</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75,761</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89,805</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Income before income tax expense (benefit)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123,233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162,709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73,447</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4,210</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158,499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72,151</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Statements of Comprehensive Income</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120,033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158,499</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72,151</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120,333</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159,003</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71,293</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00" w:type="dxa"/>
            <w:vAlign w:val="bottom"/>
            <w:vMerge w:val="restart"/>
          </w:tcPr>
          <w:p>
            <w:pPr>
              <w:jc w:val="center"/>
              <w:ind w:left="237"/>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center"/>
              <w:ind w:left="237"/>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2020</w:t>
            </w:r>
          </w:p>
        </w:tc>
        <w:tc>
          <w:tcPr>
            <w:tcW w:w="1000" w:type="dxa"/>
            <w:vAlign w:val="bottom"/>
            <w:tcBorders>
              <w:top w:val="single" w:sz="8" w:color="auto"/>
            </w:tcBorders>
            <w:shd w:val="clear" w:color="auto" w:fill="CFF0FC"/>
          </w:tcPr>
          <w:p>
            <w:pPr>
              <w:jc w:val="right"/>
              <w:ind w:right="79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3,034,357</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(1,842,447)</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21,831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21,831</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38,466</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(81,535)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(1,885,516)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1,171,810</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120,033</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(75,874)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(75,874)</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2021</w:t>
            </w:r>
          </w:p>
        </w:tc>
        <w:tc>
          <w:tcPr>
            <w:tcW w:w="1000" w:type="dxa"/>
            <w:vAlign w:val="bottom"/>
            <w:tcBorders>
              <w:top w:val="single" w:sz="8" w:color="auto"/>
              <w:bottom w:val="single" w:sz="8" w:color="auto"/>
            </w:tcBorders>
            <w:shd w:val="clear" w:color="auto" w:fill="CFF0FC"/>
          </w:tcPr>
          <w:p>
            <w:pPr>
              <w:jc w:val="right"/>
              <w:ind w:right="79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3,062,342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(1,841,357)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1,222,423</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160" w:type="dxa"/>
            <w:vAlign w:val="bottom"/>
          </w:tcPr>
          <w:p>
            <w:pPr>
              <w:spacing w:after="0"/>
              <w:rPr>
                <w:sz w:val="24"/>
                <w:szCs w:val="24"/>
                <w:color w:val="auto"/>
              </w:rPr>
            </w:pPr>
          </w:p>
        </w:tc>
        <w:tc>
          <w:tcPr>
            <w:tcW w:w="1000" w:type="dxa"/>
            <w:vAlign w:val="bottom"/>
            <w:vMerge w:val="restart"/>
          </w:tcPr>
          <w:p>
            <w:pPr>
              <w:jc w:val="center"/>
              <w:ind w:left="237"/>
              <w:spacing w:after="0"/>
              <w:rPr>
                <w:sz w:val="20"/>
                <w:szCs w:val="20"/>
                <w:color w:val="auto"/>
              </w:rPr>
            </w:pPr>
            <w:r>
              <w:rPr>
                <w:rFonts w:ascii="Arial" w:cs="Arial" w:eastAsia="Arial" w:hAnsi="Arial"/>
                <w:sz w:val="14"/>
                <w:szCs w:val="14"/>
                <w:b w:val="1"/>
                <w:bCs w:val="1"/>
                <w:color w:val="auto"/>
                <w:w w:val="92"/>
              </w:rPr>
              <w:t>Common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0" w:type="dxa"/>
            <w:vAlign w:val="bottom"/>
          </w:tcPr>
          <w:p>
            <w:pPr>
              <w:jc w:val="center"/>
              <w:ind w:left="237"/>
              <w:spacing w:after="0"/>
              <w:rPr>
                <w:sz w:val="20"/>
                <w:szCs w:val="20"/>
                <w:color w:val="auto"/>
              </w:rPr>
            </w:pPr>
            <w:r>
              <w:rPr>
                <w:rFonts w:ascii="Arial" w:cs="Arial" w:eastAsia="Arial" w:hAnsi="Arial"/>
                <w:sz w:val="14"/>
                <w:szCs w:val="14"/>
                <w:b w:val="1"/>
                <w:bCs w:val="1"/>
                <w:color w:val="auto"/>
                <w:w w:val="94"/>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Deficit</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December 31, 2019</w:t>
            </w:r>
          </w:p>
        </w:tc>
        <w:tc>
          <w:tcPr>
            <w:tcW w:w="1000" w:type="dxa"/>
            <w:vAlign w:val="bottom"/>
            <w:tcBorders>
              <w:top w:val="single" w:sz="8" w:color="auto"/>
            </w:tcBorders>
            <w:shd w:val="clear" w:color="auto" w:fill="CFF0FC"/>
          </w:tcPr>
          <w:p>
            <w:pPr>
              <w:jc w:val="right"/>
              <w:ind w:right="79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2,992,729</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(1,823,883)</w:t>
            </w: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1,169,531</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29,429</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40,617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40,617</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(110,755)</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3,022,158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(1,894,021)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1,127,224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Contribution from parent</w:t>
            </w: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29"/>
        </w:trPr>
        <w:tc>
          <w:tcPr>
            <w:tcW w:w="4160" w:type="dxa"/>
            <w:vAlign w:val="bottom"/>
          </w:tcPr>
          <w:p>
            <w:pPr>
              <w:ind w:left="220"/>
              <w:spacing w:after="0"/>
              <w:rPr>
                <w:sz w:val="20"/>
                <w:szCs w:val="20"/>
                <w:color w:val="auto"/>
              </w:rPr>
            </w:pPr>
            <w:r>
              <w:rPr>
                <w:rFonts w:ascii="Arial" w:cs="Arial" w:eastAsia="Arial" w:hAnsi="Arial"/>
                <w:sz w:val="18"/>
                <w:szCs w:val="18"/>
                <w:color w:val="auto"/>
              </w:rPr>
              <w:t>Foreign currency translations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31,534</w:t>
            </w: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Arial" w:cs="Arial" w:eastAsia="Arial" w:hAnsi="Arial"/>
                <w:sz w:val="18"/>
                <w:szCs w:val="18"/>
                <w:color w:val="auto"/>
              </w:rPr>
              <w:t>Dividend to parent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(50,453)</w:t>
            </w:r>
          </w:p>
        </w:tc>
        <w:tc>
          <w:tcPr>
            <w:tcW w:w="0" w:type="dxa"/>
            <w:vAlign w:val="bottom"/>
          </w:tcPr>
          <w:p>
            <w:pPr>
              <w:spacing w:after="0"/>
              <w:rPr>
                <w:sz w:val="1"/>
                <w:szCs w:val="1"/>
                <w:color w:val="auto"/>
              </w:rPr>
            </w:pPr>
          </w:p>
        </w:tc>
      </w:tr>
      <w:tr>
        <w:trPr>
          <w:trHeight w:val="248"/>
        </w:trPr>
        <w:tc>
          <w:tcPr>
            <w:tcW w:w="416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June 30, 2020</w:t>
            </w:r>
          </w:p>
        </w:tc>
        <w:tc>
          <w:tcPr>
            <w:tcW w:w="1000" w:type="dxa"/>
            <w:vAlign w:val="bottom"/>
            <w:tcBorders>
              <w:top w:val="single" w:sz="8" w:color="auto"/>
              <w:bottom w:val="single" w:sz="8" w:color="auto"/>
            </w:tcBorders>
            <w:shd w:val="clear" w:color="auto" w:fill="CFF0FC"/>
          </w:tcPr>
          <w:p>
            <w:pPr>
              <w:jc w:val="right"/>
              <w:ind w:right="797"/>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3,026,120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(1,912,940)</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1,113,007</w:t>
            </w: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1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2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1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Six Months Ended</w:t>
      </w:r>
    </w:p>
    <w:p>
      <w:pPr>
        <w:jc w:val="center"/>
        <w:ind w:left="838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844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Cash flows from operating activities: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158,499</w:t>
            </w:r>
          </w:p>
        </w:tc>
        <w:tc>
          <w:tcPr>
            <w:tcW w:w="12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72,151</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121,371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126,311</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6,162</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Amortization included in interest expense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2,962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2,878</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Gain on disposition of assets and investments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(3,519)</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Loss on extinguishment of debt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21,604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18,184</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Deferred tax expense (benefit)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(1,313)</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Provision for doubtful accounts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8,331</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(Increase) decrease in: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Receivables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(17,626)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13,772</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Prepaid expenses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623</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Other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(7,179)</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(Decrease) increase in:</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Trade accounts payable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8"/>
        </w:trPr>
        <w:tc>
          <w:tcPr>
            <w:tcW w:w="8440" w:type="dxa"/>
            <w:vAlign w:val="bottom"/>
          </w:tcPr>
          <w:p>
            <w:pPr>
              <w:ind w:left="480"/>
              <w:spacing w:after="0"/>
              <w:rPr>
                <w:sz w:val="20"/>
                <w:szCs w:val="20"/>
                <w:color w:val="auto"/>
              </w:rPr>
            </w:pPr>
            <w:r>
              <w:rPr>
                <w:rFonts w:ascii="Arial" w:cs="Arial" w:eastAsia="Arial" w:hAnsi="Arial"/>
                <w:sz w:val="13"/>
                <w:szCs w:val="13"/>
                <w:color w:val="auto"/>
              </w:rPr>
              <w:t>Accrued expenses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(9,182)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(12,012)</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480"/>
              <w:spacing w:after="0"/>
              <w:rPr>
                <w:sz w:val="20"/>
                <w:szCs w:val="20"/>
                <w:color w:val="auto"/>
              </w:rPr>
            </w:pPr>
            <w:r>
              <w:rPr>
                <w:rFonts w:ascii="Arial" w:cs="Arial" w:eastAsia="Arial" w:hAnsi="Arial"/>
                <w:sz w:val="13"/>
                <w:szCs w:val="13"/>
                <w:color w:val="auto"/>
              </w:rPr>
              <w:t>Operating lease liabilities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(29,039)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(8,735)</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480"/>
              <w:spacing w:after="0"/>
              <w:rPr>
                <w:sz w:val="20"/>
                <w:szCs w:val="20"/>
                <w:color w:val="auto"/>
              </w:rPr>
            </w:pPr>
            <w:r>
              <w:rPr>
                <w:rFonts w:ascii="Arial" w:cs="Arial" w:eastAsia="Arial" w:hAnsi="Arial"/>
                <w:sz w:val="13"/>
                <w:szCs w:val="13"/>
                <w:color w:val="auto"/>
              </w:rPr>
              <w:t>Other liabilities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14,986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(32,876)</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000"/>
              <w:spacing w:after="0" w:line="147" w:lineRule="exact"/>
              <w:rPr>
                <w:sz w:val="20"/>
                <w:szCs w:val="20"/>
                <w:color w:val="auto"/>
              </w:rPr>
            </w:pPr>
            <w:r>
              <w:rPr>
                <w:rFonts w:ascii="Arial" w:cs="Arial" w:eastAsia="Arial" w:hAnsi="Arial"/>
                <w:sz w:val="13"/>
                <w:szCs w:val="13"/>
                <w:color w:val="auto"/>
              </w:rPr>
              <w:t>Net cash provided by operating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269,129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182,753</w:t>
            </w:r>
          </w:p>
        </w:tc>
        <w:tc>
          <w:tcPr>
            <w:tcW w:w="0" w:type="dxa"/>
            <w:vAlign w:val="bottom"/>
          </w:tcPr>
          <w:p>
            <w:pPr>
              <w:spacing w:after="0"/>
              <w:rPr>
                <w:sz w:val="1"/>
                <w:szCs w:val="1"/>
                <w:color w:val="auto"/>
              </w:rPr>
            </w:pPr>
          </w:p>
        </w:tc>
      </w:tr>
      <w:tr>
        <w:trPr>
          <w:trHeight w:val="148"/>
        </w:trPr>
        <w:tc>
          <w:tcPr>
            <w:tcW w:w="8440" w:type="dxa"/>
            <w:vAlign w:val="bottom"/>
          </w:tcPr>
          <w:p>
            <w:pPr>
              <w:ind w:left="20"/>
              <w:spacing w:after="0" w:line="141" w:lineRule="exact"/>
              <w:rPr>
                <w:sz w:val="20"/>
                <w:szCs w:val="20"/>
                <w:color w:val="auto"/>
              </w:rPr>
            </w:pPr>
            <w:r>
              <w:rPr>
                <w:rFonts w:ascii="Arial" w:cs="Arial" w:eastAsia="Arial" w:hAnsi="Arial"/>
                <w:sz w:val="13"/>
                <w:szCs w:val="13"/>
                <w:color w:val="auto"/>
              </w:rPr>
              <w:t>Cash flows from investing activities: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(26,153)</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Capital expenditures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(41,416)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(36,274)</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from disposition of assets and investments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3,982</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4,750</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1000"/>
              <w:spacing w:after="0" w:line="141" w:lineRule="exact"/>
              <w:rPr>
                <w:sz w:val="20"/>
                <w:szCs w:val="20"/>
                <w:color w:val="auto"/>
              </w:rPr>
            </w:pPr>
            <w:r>
              <w:rPr>
                <w:rFonts w:ascii="Arial" w:cs="Arial" w:eastAsia="Arial" w:hAnsi="Arial"/>
                <w:sz w:val="13"/>
                <w:szCs w:val="13"/>
                <w:color w:val="auto"/>
              </w:rPr>
              <w:t>Net cash used in investing activities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(64,670)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(57,677)</w:t>
            </w:r>
          </w:p>
        </w:tc>
        <w:tc>
          <w:tcPr>
            <w:tcW w:w="0" w:type="dxa"/>
            <w:vAlign w:val="bottom"/>
          </w:tcPr>
          <w:p>
            <w:pPr>
              <w:spacing w:after="0"/>
              <w:rPr>
                <w:sz w:val="1"/>
                <w:szCs w:val="1"/>
                <w:color w:val="auto"/>
              </w:rPr>
            </w:pPr>
          </w:p>
        </w:tc>
      </w:tr>
      <w:tr>
        <w:trPr>
          <w:trHeight w:val="162"/>
        </w:trPr>
        <w:tc>
          <w:tcPr>
            <w:tcW w:w="8440" w:type="dxa"/>
            <w:vAlign w:val="bottom"/>
            <w:shd w:val="clear" w:color="auto" w:fill="CCEEFF"/>
          </w:tcPr>
          <w:p>
            <w:pPr>
              <w:ind w:left="20"/>
              <w:spacing w:after="0" w:line="147" w:lineRule="exact"/>
              <w:rPr>
                <w:sz w:val="20"/>
                <w:szCs w:val="20"/>
                <w:color w:val="auto"/>
              </w:rPr>
            </w:pPr>
            <w:r>
              <w:rPr>
                <w:rFonts w:ascii="Arial" w:cs="Arial" w:eastAsia="Arial" w:hAnsi="Arial"/>
                <w:sz w:val="13"/>
                <w:szCs w:val="13"/>
                <w:color w:val="auto"/>
              </w:rPr>
              <w:t>Cash flows from financing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Principal payments on long-term debt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Borrowings on long-term debt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8,750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Principal payments on financing leases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(666)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Payments on revolving credit facility</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(805,000)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Proceeds received from revolving credit facility</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25,000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655,000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Redemption of senior notes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(668,688)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(519,139)</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Proceeds received from note offering</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550,000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1,400,000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accounts receivable securitization program</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32,500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Payments on accounts receivable securitization program</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(32,500)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(175,000)</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Proceeds received from senior credit facility term loans</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598,500</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Payments on senior credit facility term loans</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(978,097)</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Debt issuance costs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(30,112)</w:t>
            </w:r>
          </w:p>
        </w:tc>
        <w:tc>
          <w:tcPr>
            <w:tcW w:w="0" w:type="dxa"/>
            <w:vAlign w:val="bottom"/>
          </w:tcPr>
          <w:p>
            <w:pPr>
              <w:spacing w:after="0"/>
              <w:rPr>
                <w:sz w:val="1"/>
                <w:szCs w:val="1"/>
                <w:color w:val="auto"/>
              </w:rPr>
            </w:pPr>
          </w:p>
        </w:tc>
      </w:tr>
      <w:tr>
        <w:trPr>
          <w:trHeight w:val="168"/>
        </w:trPr>
        <w:tc>
          <w:tcPr>
            <w:tcW w:w="8440" w:type="dxa"/>
            <w:vAlign w:val="bottom"/>
          </w:tcPr>
          <w:p>
            <w:pPr>
              <w:ind w:left="220"/>
              <w:spacing w:after="0"/>
              <w:rPr>
                <w:sz w:val="20"/>
                <w:szCs w:val="20"/>
                <w:color w:val="auto"/>
              </w:rPr>
            </w:pPr>
            <w:r>
              <w:rPr>
                <w:rFonts w:ascii="Arial" w:cs="Arial" w:eastAsia="Arial" w:hAnsi="Arial"/>
                <w:sz w:val="13"/>
                <w:szCs w:val="13"/>
                <w:color w:val="auto"/>
              </w:rPr>
              <w:t>Distributions to non-controlling interest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83"/>
        </w:trPr>
        <w:tc>
          <w:tcPr>
            <w:tcW w:w="84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Contributions from parent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33,391</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Dividend to parent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(157,409)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(161,208)</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1000"/>
              <w:spacing w:after="0" w:line="147" w:lineRule="exact"/>
              <w:rPr>
                <w:sz w:val="20"/>
                <w:szCs w:val="20"/>
                <w:color w:val="auto"/>
              </w:rPr>
            </w:pPr>
            <w:r>
              <w:rPr>
                <w:rFonts w:ascii="Arial" w:cs="Arial" w:eastAsia="Arial" w:hAnsi="Arial"/>
                <w:sz w:val="13"/>
                <w:szCs w:val="13"/>
                <w:color w:val="auto"/>
              </w:rPr>
              <w:t>Net cash (used in) provided by financing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(257,515)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26,021</w:t>
            </w:r>
          </w:p>
        </w:tc>
        <w:tc>
          <w:tcPr>
            <w:tcW w:w="0" w:type="dxa"/>
            <w:vAlign w:val="bottom"/>
          </w:tcPr>
          <w:p>
            <w:pPr>
              <w:spacing w:after="0"/>
              <w:rPr>
                <w:sz w:val="1"/>
                <w:szCs w:val="1"/>
                <w:color w:val="auto"/>
              </w:rPr>
            </w:pPr>
          </w:p>
        </w:tc>
      </w:tr>
      <w:tr>
        <w:trPr>
          <w:trHeight w:val="163"/>
        </w:trPr>
        <w:tc>
          <w:tcPr>
            <w:tcW w:w="8440" w:type="dxa"/>
            <w:vAlign w:val="bottom"/>
            <w:tcBorders>
              <w:bottom w:val="single" w:sz="8" w:color="CCEEFF"/>
            </w:tcBorders>
          </w:tcPr>
          <w:p>
            <w:pPr>
              <w:ind w:left="220"/>
              <w:spacing w:after="0" w:line="141" w:lineRule="exact"/>
              <w:rPr>
                <w:sz w:val="20"/>
                <w:szCs w:val="20"/>
                <w:color w:val="auto"/>
              </w:rPr>
            </w:pPr>
            <w:r>
              <w:rPr>
                <w:rFonts w:ascii="Arial" w:cs="Arial" w:eastAsia="Arial" w:hAnsi="Arial"/>
                <w:sz w:val="13"/>
                <w:szCs w:val="13"/>
                <w:color w:val="auto"/>
              </w:rPr>
              <w:t>Effect of exchange rate changes in cash and cash equivalents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75"/>
        </w:trPr>
        <w:tc>
          <w:tcPr>
            <w:tcW w:w="8440" w:type="dxa"/>
            <w:vAlign w:val="bottom"/>
            <w:shd w:val="clear" w:color="auto" w:fill="CCEEFF"/>
          </w:tcPr>
          <w:p>
            <w:pPr>
              <w:ind w:left="220"/>
              <w:spacing w:after="0" w:line="147" w:lineRule="exact"/>
              <w:rPr>
                <w:sz w:val="20"/>
                <w:szCs w:val="20"/>
                <w:color w:val="auto"/>
              </w:rPr>
            </w:pPr>
            <w:r>
              <w:rPr>
                <w:rFonts w:ascii="Arial" w:cs="Arial" w:eastAsia="Arial" w:hAnsi="Arial"/>
                <w:sz w:val="13"/>
                <w:szCs w:val="13"/>
                <w:color w:val="auto"/>
              </w:rPr>
              <w:t>Net (decrease) increase in cash and cash equivalents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(52,843)</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150,905</w:t>
            </w:r>
          </w:p>
        </w:tc>
        <w:tc>
          <w:tcPr>
            <w:tcW w:w="0" w:type="dxa"/>
            <w:vAlign w:val="bottom"/>
          </w:tcPr>
          <w:p>
            <w:pPr>
              <w:spacing w:after="0"/>
              <w:rPr>
                <w:sz w:val="1"/>
                <w:szCs w:val="1"/>
                <w:color w:val="auto"/>
              </w:rPr>
            </w:pPr>
          </w:p>
        </w:tc>
      </w:tr>
      <w:tr>
        <w:trPr>
          <w:trHeight w:val="169"/>
        </w:trPr>
        <w:tc>
          <w:tcPr>
            <w:tcW w:w="844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Cash and cash equivalents at beginning of period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121,069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25,688</w:t>
            </w:r>
          </w:p>
        </w:tc>
        <w:tc>
          <w:tcPr>
            <w:tcW w:w="0" w:type="dxa"/>
            <w:vAlign w:val="bottom"/>
          </w:tcPr>
          <w:p>
            <w:pPr>
              <w:spacing w:after="0"/>
              <w:rPr>
                <w:sz w:val="1"/>
                <w:szCs w:val="1"/>
                <w:color w:val="auto"/>
              </w:rPr>
            </w:pPr>
          </w:p>
        </w:tc>
      </w:tr>
      <w:tr>
        <w:trPr>
          <w:trHeight w:val="194"/>
        </w:trPr>
        <w:tc>
          <w:tcPr>
            <w:tcW w:w="8440" w:type="dxa"/>
            <w:vAlign w:val="bottom"/>
            <w:tcBorders>
              <w:bottom w:val="single" w:sz="8" w:color="CCEEFF"/>
            </w:tcBorders>
            <w:shd w:val="clear" w:color="auto" w:fill="CCEEFF"/>
          </w:tcPr>
          <w:p>
            <w:pPr>
              <w:ind w:left="220"/>
              <w:spacing w:after="0" w:line="147" w:lineRule="exact"/>
              <w:rPr>
                <w:sz w:val="20"/>
                <w:szCs w:val="20"/>
                <w:color w:val="auto"/>
              </w:rPr>
            </w:pPr>
            <w:r>
              <w:rPr>
                <w:rFonts w:ascii="Arial" w:cs="Arial" w:eastAsia="Arial" w:hAnsi="Arial"/>
                <w:sz w:val="13"/>
                <w:szCs w:val="13"/>
                <w:color w:val="auto"/>
              </w:rPr>
              <w:t>Cash and cash equivalents at end of period</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68,226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176,593</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844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8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Cash paid for interest</w:t>
            </w: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62,966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68,784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3"/>
                <w:szCs w:val="13"/>
                <w:color w:val="auto"/>
              </w:rPr>
              <w:t>Cash paid for foreign, state and federal income taxes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40" w:type="dxa"/>
            <w:vAlign w:val="bottom"/>
            <w:vMerge w:val="continue"/>
          </w:tcPr>
          <w:p>
            <w:pPr>
              <w:spacing w:after="0"/>
              <w:rPr>
                <w:sz w:val="13"/>
                <w:szCs w:val="13"/>
                <w:color w:val="auto"/>
              </w:rPr>
            </w:pPr>
          </w:p>
        </w:tc>
        <w:tc>
          <w:tcPr>
            <w:tcW w:w="30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4,886</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5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color w:val="auto"/>
              </w:rPr>
              <w:t>3,175</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31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included in the foregoing interim condensed consolidated financial statements is unaudited. In the opinion of management all adjustments, consisting of normal recurring adjustments, necessary for a fair presentation of Lamar Media’s financial position and results of operations for the interim periods presented have been reflected herein. The results of operations for interim periods are not necessarily indicative of the results to be expected for the entire year. These interim condensed consolidated financial statements should be read in conjunction with Lamar Media’s consolidated financial statements and the notes thereto included in the 2020 Combined Form 10-K.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notes are not provided for the accompanying condensed consolidated financial statements as the information in notes 1, 2, 3, 4, 5, 6, 7, 8, 10, 11, 12, and 14 to the condensed consolidated financial statements of Lamar Advertising included elsewhere in this report is substantially equivalent to that required for the condensed consolidated financial statements of Lamar Media. Earnings per share data is not provided for Lamar Media, as it is a wholly owned subsidiary of the Company.</w:t>
      </w:r>
    </w:p>
    <w:p>
      <w:pPr>
        <w:spacing w:after="0" w:line="29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Summarized Financial Information of Subsidiaries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Separate condensed consolidating financial information for Lamar Media, subsidiary guarantors and non-guarantor subsidiaries is presented below. Lamar Media and its subsidiary guarantors have fully and unconditionally guaranteed Lamar Media’s obligations with respect to its publicly issued notes. All guarantees are joint and several. As a result of these guarantee arrangements, we are required to present the following condensed consolidating financial information. The following condensed consolidating financial information should be read in conjunction with the accompanying consolidated financial statements and notes. The condensed consolidating financial information is provided as an alternative to providing separate financial statements for guarantor subsidiaries. Separate financial statements of Lamar Media’s subsidiary guarantors are not included because the guarantees are full and unconditional and the subsidiary guarantors are 100% owned and jointly and severally liable for Lamar Media’s outstanding publicly issued notes. The accounts for all companies reflected herein are presented using the equity method of accounting for 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as of June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Lamar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rPr>
              <w:t>Media Corp.</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26,228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260,375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1,250,719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1,265,494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1,195,378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2,763,265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2,780,924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4,012,691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271,447</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145,032</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(4,352,000)</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4,073,781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5,507,037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121,827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176,431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22,168</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368,672</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146,655</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537,495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2,659,287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965,682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989,086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169,903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246,895</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292,870</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(421,323)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2,851,358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1,583,448</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462,929</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(421,323)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4,476,412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1,222,423</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3,923,589</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(3,930,677)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1,222,423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4,073,781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5,507,037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470,017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(4,352,000)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5,698,835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99"/>
              </w:rPr>
              <w:t>26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Balance Sheet as of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5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7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249,921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380,070</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Net property, plant and equipment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1,268,765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1,281,849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1,200,115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1,222,013</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Intangibles and goodwill, net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2,798,343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2,816,155</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3,912,122</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258,433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132,448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74,620</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shd w:val="clear" w:color="auto" w:fill="CFF0FC"/>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122,055</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122,434</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188,712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195,439</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170,320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19,286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223,189</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33,583</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359,411</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148,068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541,062</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2,761,705</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2,764,082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979,785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993,776</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34,668</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245,891</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266,968</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(264,584)</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282,943</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tcPr>
          <w:p>
            <w:pPr>
              <w:ind w:left="6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2,829,956</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1,587,464</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429,027</w:t>
            </w: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(264,584)</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4,581,863</w:t>
            </w:r>
          </w:p>
        </w:tc>
        <w:tc>
          <w:tcPr>
            <w:tcW w:w="0" w:type="dxa"/>
            <w:vAlign w:val="bottom"/>
          </w:tcPr>
          <w:p>
            <w:pPr>
              <w:spacing w:after="0"/>
              <w:rPr>
                <w:sz w:val="1"/>
                <w:szCs w:val="1"/>
                <w:color w:val="auto"/>
              </w:rPr>
            </w:pPr>
          </w:p>
        </w:tc>
      </w:tr>
      <w:tr>
        <w:trPr>
          <w:trHeight w:val="22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3,957,663</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(3,963,799)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1,192,844</w:t>
            </w:r>
          </w:p>
        </w:tc>
        <w:tc>
          <w:tcPr>
            <w:tcW w:w="0" w:type="dxa"/>
            <w:vAlign w:val="bottom"/>
          </w:tcPr>
          <w:p>
            <w:pPr>
              <w:spacing w:after="0"/>
              <w:rPr>
                <w:sz w:val="1"/>
                <w:szCs w:val="1"/>
                <w:color w:val="auto"/>
              </w:rPr>
            </w:pPr>
          </w:p>
        </w:tc>
      </w:tr>
      <w:tr>
        <w:trPr>
          <w:trHeight w:val="223"/>
        </w:trPr>
        <w:tc>
          <w:tcPr>
            <w:tcW w:w="420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4,022,800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5,545,127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(4,228,383)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5,774,707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212"/>
        </w:trPr>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Statement of Income</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445,052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140,448</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(1)</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75,519</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20,534</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60,622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disposition of assets</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286,975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295,642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149,410</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(146,005)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(146,005)</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123,233</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120,033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Statement of Comprehensive Income</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146,766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(146,005)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120,033</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146,766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(146,005)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2020</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Lamar Media Corp.</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42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Consoliated</w:t>
            </w:r>
          </w:p>
        </w:tc>
        <w:tc>
          <w:tcPr>
            <w:tcW w:w="0" w:type="dxa"/>
            <w:vAlign w:val="bottom"/>
          </w:tcPr>
          <w:p>
            <w:pPr>
              <w:spacing w:after="0"/>
              <w:rPr>
                <w:sz w:val="1"/>
                <w:szCs w:val="1"/>
                <w:color w:val="auto"/>
              </w:rPr>
            </w:pPr>
          </w:p>
        </w:tc>
      </w:tr>
      <w:tr>
        <w:trPr>
          <w:trHeight w:val="212"/>
        </w:trPr>
        <w:tc>
          <w:tcPr>
            <w:tcW w:w="4240" w:type="dxa"/>
            <w:vAlign w:val="bottom"/>
          </w:tcPr>
          <w:p>
            <w:pPr>
              <w:ind w:left="1340"/>
              <w:spacing w:after="0"/>
              <w:rPr>
                <w:sz w:val="20"/>
                <w:szCs w:val="20"/>
                <w:color w:val="auto"/>
              </w:rPr>
            </w:pPr>
            <w:r>
              <w:rPr>
                <w:rFonts w:ascii="Arial" w:cs="Arial" w:eastAsia="Arial" w:hAnsi="Arial"/>
                <w:sz w:val="18"/>
                <w:szCs w:val="18"/>
                <w:b w:val="1"/>
                <w:bCs w:val="1"/>
                <w:color w:val="auto"/>
              </w:rPr>
              <w:t>Statement of Income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347,652</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Direct advertising expenses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134,059</w:t>
            </w: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line="23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67,408</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Corporate expenses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16,645</w:t>
            </w:r>
          </w:p>
        </w:tc>
        <w:tc>
          <w:tcPr>
            <w:tcW w:w="0" w:type="dxa"/>
            <w:vAlign w:val="bottom"/>
          </w:tcPr>
          <w:p>
            <w:pPr>
              <w:spacing w:after="0"/>
              <w:rPr>
                <w:sz w:val="1"/>
                <w:szCs w:val="1"/>
                <w:color w:val="auto"/>
              </w:rPr>
            </w:pPr>
          </w:p>
        </w:tc>
      </w:tr>
      <w:tr>
        <w:trPr>
          <w:trHeight w:val="229"/>
        </w:trPr>
        <w:tc>
          <w:tcPr>
            <w:tcW w:w="4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63,998</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4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272,703</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281,095</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66,557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35,258</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4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31,294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line="230" w:lineRule="exact"/>
              <w:rPr>
                <w:sz w:val="20"/>
                <w:szCs w:val="20"/>
                <w:color w:val="auto"/>
              </w:rPr>
            </w:pPr>
            <w:r>
              <w:rPr>
                <w:rFonts w:ascii="Arial" w:cs="Arial" w:eastAsia="Arial" w:hAnsi="Arial"/>
                <w:sz w:val="18"/>
                <w:szCs w:val="18"/>
                <w:color w:val="auto"/>
              </w:rPr>
              <w:t>Income tax expense (benefit)</w:t>
            </w:r>
            <w:r>
              <w:rPr>
                <w:rFonts w:ascii="Arial" w:cs="Arial" w:eastAsia="Arial" w:hAnsi="Arial"/>
                <w:sz w:val="23"/>
                <w:szCs w:val="23"/>
                <w:color w:val="auto"/>
                <w:vertAlign w:val="superscript"/>
              </w:rPr>
              <w:t>(2)</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b w:val="1"/>
                <w:bCs w:val="1"/>
                <w:color w:val="auto"/>
              </w:rPr>
              <w:t>Statement of Comprehensive Income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4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800,596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16,110</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815,933</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261,619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271,663</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148,168</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8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38,157</w:t>
            </w: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121,371</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Gain on disposition of assets</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563,358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14,878</w:t>
            </w: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577,463</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237,238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238,470</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(233,829)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233,829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54,157</w:t>
            </w:r>
          </w:p>
        </w:tc>
        <w:tc>
          <w:tcPr>
            <w:tcW w:w="0" w:type="dxa"/>
            <w:vAlign w:val="bottom"/>
          </w:tcPr>
          <w:p>
            <w:pPr>
              <w:spacing w:after="0"/>
              <w:rPr>
                <w:sz w:val="1"/>
                <w:szCs w:val="1"/>
                <w:color w:val="auto"/>
              </w:rPr>
            </w:pPr>
          </w:p>
        </w:tc>
      </w:tr>
      <w:tr>
        <w:trPr>
          <w:trHeight w:val="223"/>
        </w:trPr>
        <w:tc>
          <w:tcPr>
            <w:tcW w:w="42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(loss) before income tax expense</w:t>
            </w: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158,499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237,264</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(233,829)</w:t>
            </w: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162,709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48"/>
        </w:trPr>
        <w:tc>
          <w:tcPr>
            <w:tcW w:w="4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158,499</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233,381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(233,829)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158,499</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158,499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233,381</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(233,829)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158,499</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Total other comprehensive income,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8"/>
        </w:trPr>
        <w:tc>
          <w:tcPr>
            <w:tcW w:w="42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158,499</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233,381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(233,829)</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159,003</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bottom w:val="single" w:sz="8" w:color="auto"/>
            </w:tcBorders>
          </w:tcPr>
          <w:p>
            <w:pPr>
              <w:spacing w:after="0" w:line="20" w:lineRule="exact"/>
              <w:rPr>
                <w:sz w:val="1"/>
                <w:szCs w:val="1"/>
                <w:color w:val="auto"/>
              </w:rPr>
            </w:pPr>
          </w:p>
        </w:tc>
        <w:tc>
          <w:tcPr>
            <w:tcW w:w="11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income tax expense reflected in each column does not include any tax effect of the equity in earnings from subsidiaries.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Statements of Income and Comprehensive Income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12"/>
        </w:trPr>
        <w:tc>
          <w:tcPr>
            <w:tcW w:w="4200" w:type="dxa"/>
            <w:vAlign w:val="bottom"/>
          </w:tcPr>
          <w:p>
            <w:pPr>
              <w:ind w:left="1300"/>
              <w:spacing w:after="0"/>
              <w:rPr>
                <w:sz w:val="20"/>
                <w:szCs w:val="20"/>
                <w:color w:val="auto"/>
              </w:rPr>
            </w:pPr>
            <w:r>
              <w:rPr>
                <w:rFonts w:ascii="Arial" w:cs="Arial" w:eastAsia="Arial" w:hAnsi="Arial"/>
                <w:sz w:val="18"/>
                <w:szCs w:val="18"/>
                <w:b w:val="1"/>
                <w:bCs w:val="1"/>
                <w:color w:val="auto"/>
              </w:rPr>
              <w:t>Statement of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754,221</w:t>
            </w: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Operating expenses (income)</w:t>
            </w: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Direct advertising expenses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283,553</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General and administrative expenses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149,612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35,012</w:t>
            </w:r>
          </w:p>
        </w:tc>
        <w:tc>
          <w:tcPr>
            <w:tcW w:w="0" w:type="dxa"/>
            <w:vAlign w:val="bottom"/>
          </w:tcPr>
          <w:p>
            <w:pPr>
              <w:spacing w:after="0"/>
              <w:rPr>
                <w:sz w:val="1"/>
                <w:szCs w:val="1"/>
                <w:color w:val="auto"/>
              </w:rPr>
            </w:pPr>
          </w:p>
        </w:tc>
      </w:tr>
      <w:tr>
        <w:trPr>
          <w:trHeight w:val="229"/>
        </w:trPr>
        <w:tc>
          <w:tcPr>
            <w:tcW w:w="42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125,450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126,311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disposition of assets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573,771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590,969</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163,252</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Equity in (earnings) loss of subsidiaries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70,249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71,621</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 expense (benefit)</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73,447</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b w:val="1"/>
                <w:bCs w:val="1"/>
                <w:color w:val="auto"/>
              </w:rPr>
              <w:t>Statement of Comprehensive Income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Total other comprehensive loss, net of tax</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71,293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Caption is exclusive of depreciation and amortization.</w:t>
      </w:r>
    </w:p>
    <w:p>
      <w:pPr>
        <w:spacing w:after="0" w:line="13" w:lineRule="exact"/>
        <w:rPr>
          <w:rFonts w:ascii="Arial" w:cs="Arial" w:eastAsia="Arial" w:hAnsi="Arial"/>
          <w:sz w:val="14"/>
          <w:szCs w:val="14"/>
          <w:color w:val="auto"/>
        </w:rPr>
      </w:pPr>
    </w:p>
    <w:p>
      <w:pPr>
        <w:ind w:left="320" w:hanging="312"/>
        <w:spacing w:after="0"/>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income tax expense (benefit) reflected in each column does not include any tax effect of the equity in earnings from subsidiaries.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Consolidating Statement of Cash Flows for the Six Months Ended June 30, 2021</w:t>
      </w:r>
    </w:p>
    <w:p>
      <w:pPr>
        <w:spacing w:after="0" w:line="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Lamar Media</w:t>
            </w:r>
          </w:p>
        </w:tc>
        <w:tc>
          <w:tcPr>
            <w:tcW w:w="13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Guarantor</w:t>
            </w: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Non-</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tcPr>
          <w:p>
            <w:pPr>
              <w:jc w:val="right"/>
              <w:ind w:right="420"/>
              <w:spacing w:after="0" w:line="135" w:lineRule="exact"/>
              <w:rPr>
                <w:sz w:val="20"/>
                <w:szCs w:val="20"/>
                <w:color w:val="auto"/>
              </w:rPr>
            </w:pPr>
            <w:r>
              <w:rPr>
                <w:rFonts w:ascii="Arial" w:cs="Arial" w:eastAsia="Arial" w:hAnsi="Arial"/>
                <w:sz w:val="14"/>
                <w:szCs w:val="14"/>
                <w:b w:val="1"/>
                <w:bCs w:val="1"/>
                <w:color w:val="auto"/>
              </w:rPr>
              <w:t>Guarantor</w:t>
            </w:r>
          </w:p>
        </w:tc>
        <w:tc>
          <w:tcPr>
            <w:tcW w:w="13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Eliminations</w:t>
            </w: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b w:val="1"/>
                <w:bCs w:val="1"/>
                <w:color w:val="auto"/>
              </w:rPr>
              <w:t>Corp.</w:t>
            </w: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Subsidiaries</w:t>
            </w:r>
          </w:p>
        </w:tc>
        <w:tc>
          <w:tcPr>
            <w:tcW w:w="138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(unaudited)</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0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4040" w:type="dxa"/>
            <w:vAlign w:val="bottom"/>
            <w:gridSpan w:val="2"/>
          </w:tcPr>
          <w:p>
            <w:pPr>
              <w:ind w:left="980"/>
              <w:spacing w:after="0" w:line="176" w:lineRule="exact"/>
              <w:rPr>
                <w:sz w:val="20"/>
                <w:szCs w:val="20"/>
                <w:color w:val="auto"/>
              </w:rPr>
            </w:pPr>
            <w:r>
              <w:rPr>
                <w:rFonts w:ascii="Arial" w:cs="Arial" w:eastAsia="Arial" w:hAnsi="Arial"/>
                <w:sz w:val="18"/>
                <w:szCs w:val="18"/>
                <w:color w:val="auto"/>
                <w:w w:val="93"/>
              </w:rPr>
              <w:t>Net cash provided by (used in) operating</w:t>
            </w:r>
          </w:p>
        </w:tc>
        <w:tc>
          <w:tcPr>
            <w:tcW w:w="13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232,261 $</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346,732 $</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(15,922)$</w:t>
            </w:r>
          </w:p>
        </w:tc>
        <w:tc>
          <w:tcPr>
            <w:tcW w:w="13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(293,942)$</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269,129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1140"/>
              <w:spacing w:after="0"/>
              <w:rPr>
                <w:sz w:val="20"/>
                <w:szCs w:val="20"/>
                <w:color w:val="auto"/>
              </w:rPr>
            </w:pPr>
            <w:r>
              <w:rPr>
                <w:rFonts w:ascii="Arial" w:cs="Arial" w:eastAsia="Arial" w:hAnsi="Arial"/>
                <w:sz w:val="18"/>
                <w:szCs w:val="18"/>
                <w:color w:val="auto"/>
              </w:rPr>
              <w:t>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(27,236)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w w:val="91"/>
              </w:rPr>
              <w:t>Proceeds from disposition of assets and investments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3,982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subsidiaries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w w:val="89"/>
              </w:rPr>
              <w:t>Decrease (increase) in intercompany notes receivable</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4040" w:type="dxa"/>
            <w:vAlign w:val="bottom"/>
            <w:tcBorders>
              <w:top w:val="single" w:sz="8" w:color="CCEEFF"/>
            </w:tcBorders>
            <w:gridSpan w:val="2"/>
            <w:shd w:val="clear" w:color="auto" w:fill="CCEEFF"/>
          </w:tcPr>
          <w:p>
            <w:pPr>
              <w:ind w:left="980"/>
              <w:spacing w:after="0" w:line="156" w:lineRule="exact"/>
              <w:rPr>
                <w:sz w:val="20"/>
                <w:szCs w:val="20"/>
                <w:color w:val="auto"/>
              </w:rPr>
            </w:pPr>
            <w:r>
              <w:rPr>
                <w:rFonts w:ascii="Arial" w:cs="Arial" w:eastAsia="Arial" w:hAnsi="Arial"/>
                <w:sz w:val="18"/>
                <w:szCs w:val="18"/>
                <w:color w:val="auto"/>
                <w:w w:val="94"/>
              </w:rPr>
              <w:t>Net cash (used in) provided by investing</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(25,674)</w:t>
            </w:r>
          </w:p>
        </w:tc>
        <w:tc>
          <w:tcPr>
            <w:tcW w:w="10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(62,162)</w:t>
            </w: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25,674</w:t>
            </w: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(64,670)</w:t>
            </w:r>
          </w:p>
        </w:tc>
        <w:tc>
          <w:tcPr>
            <w:tcW w:w="0" w:type="dxa"/>
            <w:vAlign w:val="bottom"/>
          </w:tcPr>
          <w:p>
            <w:pPr>
              <w:spacing w:after="0"/>
              <w:rPr>
                <w:sz w:val="1"/>
                <w:szCs w:val="1"/>
                <w:color w:val="auto"/>
              </w:rPr>
            </w:pPr>
          </w:p>
        </w:tc>
      </w:tr>
      <w:tr>
        <w:trPr>
          <w:trHeight w:val="235"/>
        </w:trPr>
        <w:tc>
          <w:tcPr>
            <w:tcW w:w="160" w:type="dxa"/>
            <w:vAlign w:val="bottom"/>
          </w:tcPr>
          <w:p>
            <w:pPr>
              <w:spacing w:after="0"/>
              <w:rPr>
                <w:sz w:val="19"/>
                <w:szCs w:val="19"/>
                <w:color w:val="auto"/>
              </w:rPr>
            </w:pPr>
          </w:p>
        </w:tc>
        <w:tc>
          <w:tcPr>
            <w:tcW w:w="390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received from revolving credit facility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Payment on revolving credit facility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Principal payments on financing leases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received from note offering</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Redemption of senior notes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(668,688)</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(668,688)</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90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Payment on accounts receivable securitization</w:t>
            </w:r>
          </w:p>
        </w:tc>
        <w:tc>
          <w:tcPr>
            <w:tcW w:w="14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12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program</w:t>
            </w: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3900" w:type="dxa"/>
            <w:vAlign w:val="bottom"/>
          </w:tcPr>
          <w:p>
            <w:pPr>
              <w:ind w:left="40"/>
              <w:spacing w:after="0" w:line="176" w:lineRule="exact"/>
              <w:rPr>
                <w:sz w:val="20"/>
                <w:szCs w:val="20"/>
                <w:color w:val="auto"/>
              </w:rPr>
            </w:pPr>
            <w:r>
              <w:rPr>
                <w:rFonts w:ascii="Arial" w:cs="Arial" w:eastAsia="Arial" w:hAnsi="Arial"/>
                <w:sz w:val="18"/>
                <w:szCs w:val="18"/>
                <w:color w:val="auto"/>
              </w:rPr>
              <w:t>Proceeds received from accounts receivable</w:t>
            </w:r>
          </w:p>
        </w:tc>
        <w:tc>
          <w:tcPr>
            <w:tcW w:w="14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32,500</w:t>
            </w:r>
          </w:p>
        </w:tc>
        <w:tc>
          <w:tcPr>
            <w:tcW w:w="12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securitization program</w:t>
            </w:r>
          </w:p>
        </w:tc>
        <w:tc>
          <w:tcPr>
            <w:tcW w:w="1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(8,498)</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Intercompany loan (payments) proceeds</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(15,826)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14,264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 interest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Dividends (to) from parent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(157,409)</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(294,691)</w:t>
            </w:r>
          </w:p>
        </w:tc>
        <w:tc>
          <w:tcPr>
            <w:tcW w:w="1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294,691</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(157,409)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Contributions from (to) parent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27,985</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4040" w:type="dxa"/>
            <w:vAlign w:val="bottom"/>
            <w:gridSpan w:val="2"/>
          </w:tcPr>
          <w:p>
            <w:pPr>
              <w:ind w:left="980"/>
              <w:spacing w:after="0" w:line="156" w:lineRule="exact"/>
              <w:rPr>
                <w:sz w:val="20"/>
                <w:szCs w:val="20"/>
                <w:color w:val="auto"/>
              </w:rPr>
            </w:pPr>
            <w:r>
              <w:rPr>
                <w:rFonts w:ascii="Arial" w:cs="Arial" w:eastAsia="Arial" w:hAnsi="Arial"/>
                <w:sz w:val="18"/>
                <w:szCs w:val="18"/>
                <w:color w:val="auto"/>
                <w:w w:val="94"/>
              </w:rPr>
              <w:t>Net cash (used in) provided by financing</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(256,175)</w:t>
            </w:r>
          </w:p>
        </w:tc>
        <w:tc>
          <w:tcPr>
            <w:tcW w:w="100" w:type="dxa"/>
            <w:vAlign w:val="bottom"/>
          </w:tcPr>
          <w:p>
            <w:pPr>
              <w:spacing w:after="0"/>
              <w:rPr>
                <w:sz w:val="13"/>
                <w:szCs w:val="13"/>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(283,388)</w:t>
            </w:r>
          </w:p>
        </w:tc>
        <w:tc>
          <w:tcPr>
            <w:tcW w:w="10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13,780</w:t>
            </w:r>
          </w:p>
        </w:tc>
        <w:tc>
          <w:tcPr>
            <w:tcW w:w="12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268,268</w:t>
            </w:r>
          </w:p>
        </w:tc>
        <w:tc>
          <w:tcPr>
            <w:tcW w:w="120" w:type="dxa"/>
            <w:vAlign w:val="bottom"/>
          </w:tcPr>
          <w:p>
            <w:pPr>
              <w:spacing w:after="0"/>
              <w:rPr>
                <w:sz w:val="13"/>
                <w:szCs w:val="13"/>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(257,515)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tcBorders>
              <w:bottom w:val="single" w:sz="8" w:color="CCEEFF"/>
            </w:tcBorders>
          </w:tcPr>
          <w:p>
            <w:pPr>
              <w:ind w:left="114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900" w:type="dxa"/>
            <w:vAlign w:val="bottom"/>
            <w:shd w:val="clear" w:color="auto" w:fill="CCEEFF"/>
          </w:tcPr>
          <w:p>
            <w:pPr>
              <w:ind w:left="220"/>
              <w:spacing w:after="0" w:line="156" w:lineRule="exact"/>
              <w:rPr>
                <w:sz w:val="20"/>
                <w:szCs w:val="20"/>
                <w:color w:val="auto"/>
              </w:rPr>
            </w:pPr>
            <w:r>
              <w:rPr>
                <w:rFonts w:ascii="Arial" w:cs="Arial" w:eastAsia="Arial" w:hAnsi="Arial"/>
                <w:sz w:val="18"/>
                <w:szCs w:val="18"/>
                <w:color w:val="auto"/>
                <w:w w:val="91"/>
              </w:rPr>
              <w:t>Effect of exchange rate changes in cash and cash</w:t>
            </w:r>
          </w:p>
        </w:tc>
        <w:tc>
          <w:tcPr>
            <w:tcW w:w="140" w:type="dxa"/>
            <w:vAlign w:val="bottom"/>
            <w:shd w:val="clear" w:color="auto" w:fill="CCEEFF"/>
          </w:tcPr>
          <w:p>
            <w:pPr>
              <w:spacing w:after="0"/>
              <w:rPr>
                <w:sz w:val="13"/>
                <w:szCs w:val="13"/>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equivalents</w:t>
            </w:r>
          </w:p>
        </w:tc>
        <w:tc>
          <w:tcPr>
            <w:tcW w:w="14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4040" w:type="dxa"/>
            <w:vAlign w:val="bottom"/>
            <w:gridSpan w:val="2"/>
          </w:tcPr>
          <w:p>
            <w:pPr>
              <w:ind w:left="220"/>
              <w:spacing w:after="0"/>
              <w:rPr>
                <w:sz w:val="20"/>
                <w:szCs w:val="20"/>
                <w:color w:val="auto"/>
              </w:rPr>
            </w:pPr>
            <w:r>
              <w:rPr>
                <w:rFonts w:ascii="Arial" w:cs="Arial" w:eastAsia="Arial" w:hAnsi="Arial"/>
                <w:sz w:val="18"/>
                <w:szCs w:val="18"/>
                <w:color w:val="auto"/>
                <w:w w:val="88"/>
              </w:rPr>
              <w:t>Net (decrease) increase in cash and cash equivalents</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(49,588)</w:t>
            </w:r>
          </w:p>
        </w:tc>
        <w:tc>
          <w:tcPr>
            <w:tcW w:w="10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(52,843)</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Cash and cash equivalents at beginning of period</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110,588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121,069</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61,000 $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2,914 $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4,312 $</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 $</w:t>
            </w:r>
          </w:p>
        </w:tc>
        <w:tc>
          <w:tcPr>
            <w:tcW w:w="1260" w:type="dxa"/>
            <w:vAlign w:val="bottom"/>
          </w:tcPr>
          <w:p>
            <w:pPr>
              <w:jc w:val="right"/>
              <w:spacing w:after="0"/>
              <w:rPr>
                <w:sz w:val="20"/>
                <w:szCs w:val="20"/>
                <w:color w:val="auto"/>
              </w:rPr>
            </w:pPr>
            <w:r>
              <w:rPr>
                <w:rFonts w:ascii="Arial" w:cs="Arial" w:eastAsia="Arial" w:hAnsi="Arial"/>
                <w:sz w:val="18"/>
                <w:szCs w:val="18"/>
                <w:color w:val="auto"/>
              </w:rPr>
              <w:t>68,226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-4799965</wp:posOffset>
            </wp:positionV>
            <wp:extent cx="686625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6625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133350</wp:posOffset>
            </wp:positionH>
            <wp:positionV relativeFrom="paragraph">
              <wp:posOffset>-4396740</wp:posOffset>
            </wp:positionV>
            <wp:extent cx="686625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6625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LAMAR MEDIA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for Share Data)</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Consolidating Statement of Cash Flows for the Six Months Ended June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Lamar Media</w:t>
            </w:r>
          </w:p>
        </w:tc>
        <w:tc>
          <w:tcPr>
            <w:tcW w:w="18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Lamar Media</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00" w:type="dxa"/>
            <w:vAlign w:val="bottom"/>
          </w:tcPr>
          <w:p>
            <w:pPr>
              <w:ind w:left="1160"/>
              <w:spacing w:after="0" w:line="176" w:lineRule="exact"/>
              <w:rPr>
                <w:sz w:val="20"/>
                <w:szCs w:val="20"/>
                <w:color w:val="auto"/>
              </w:rPr>
            </w:pPr>
            <w:r>
              <w:rPr>
                <w:rFonts w:ascii="Arial" w:cs="Arial" w:eastAsia="Arial" w:hAnsi="Arial"/>
                <w:sz w:val="18"/>
                <w:szCs w:val="18"/>
                <w:color w:val="auto"/>
                <w:w w:val="93"/>
              </w:rPr>
              <w:t>Net cash provided by (used in) operating</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165,269</w:t>
            </w:r>
          </w:p>
        </w:tc>
        <w:tc>
          <w:tcPr>
            <w:tcW w:w="12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238,800</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5,429</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(226,745)</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182,753</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(26,153)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(36,274)</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4"/>
              </w:rPr>
              <w:t>Proceeds from disposition of assets and investments</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 subsidiaries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w w:val="92"/>
              </w:rPr>
              <w:t>(Increase) decrease in intercompany notes receivable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181,089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4200" w:type="dxa"/>
            <w:vAlign w:val="bottom"/>
            <w:tcBorders>
              <w:top w:val="single" w:sz="8" w:color="CCEEFF"/>
            </w:tcBorders>
            <w:shd w:val="clear" w:color="auto" w:fill="CCEEFF"/>
          </w:tcPr>
          <w:p>
            <w:pPr>
              <w:ind w:left="1160"/>
              <w:spacing w:after="0" w:line="156" w:lineRule="exact"/>
              <w:rPr>
                <w:sz w:val="20"/>
                <w:szCs w:val="20"/>
                <w:color w:val="auto"/>
              </w:rPr>
            </w:pPr>
            <w:r>
              <w:rPr>
                <w:rFonts w:ascii="Arial" w:cs="Arial" w:eastAsia="Arial" w:hAnsi="Arial"/>
                <w:sz w:val="18"/>
                <w:szCs w:val="18"/>
                <w:color w:val="auto"/>
                <w:w w:val="94"/>
              </w:rPr>
              <w:t>Net cash (used in) provided by investing</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(207,242)</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(56,750)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207,819</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(57,677)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revolving credit facility</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Payment on revolving credit facility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(805,000)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Principal payments on long-term debt</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Borrowings on long-term debt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received from note offering</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Payment on accounts receivable securitization</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(175,000)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(175,000)</w:t>
            </w:r>
          </w:p>
        </w:tc>
        <w:tc>
          <w:tcPr>
            <w:tcW w:w="0" w:type="dxa"/>
            <w:vAlign w:val="bottom"/>
          </w:tcPr>
          <w:p>
            <w:pPr>
              <w:spacing w:after="0"/>
              <w:rPr>
                <w:sz w:val="1"/>
                <w:szCs w:val="1"/>
                <w:color w:val="auto"/>
              </w:rPr>
            </w:pPr>
          </w:p>
        </w:tc>
      </w:tr>
      <w:tr>
        <w:trPr>
          <w:trHeight w:val="229"/>
        </w:trPr>
        <w:tc>
          <w:tcPr>
            <w:tcW w:w="4200" w:type="dxa"/>
            <w:vAlign w:val="bottom"/>
          </w:tcPr>
          <w:p>
            <w:pPr>
              <w:ind w:left="220"/>
              <w:spacing w:after="0"/>
              <w:rPr>
                <w:sz w:val="20"/>
                <w:szCs w:val="20"/>
                <w:color w:val="auto"/>
              </w:rPr>
            </w:pPr>
            <w:r>
              <w:rPr>
                <w:rFonts w:ascii="Arial" w:cs="Arial" w:eastAsia="Arial" w:hAnsi="Arial"/>
                <w:sz w:val="18"/>
                <w:szCs w:val="18"/>
                <w:color w:val="auto"/>
              </w:rPr>
              <w:t>program</w:t>
            </w: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Redemption of senior subordinated notes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(519,139)</w:t>
            </w:r>
          </w:p>
        </w:tc>
        <w:tc>
          <w:tcPr>
            <w:tcW w:w="0" w:type="dxa"/>
            <w:vAlign w:val="bottom"/>
          </w:tcPr>
          <w:p>
            <w:pPr>
              <w:spacing w:after="0"/>
              <w:rPr>
                <w:sz w:val="1"/>
                <w:szCs w:val="1"/>
                <w:color w:val="auto"/>
              </w:rPr>
            </w:pPr>
          </w:p>
        </w:tc>
      </w:tr>
      <w:tr>
        <w:trPr>
          <w:trHeight w:val="175"/>
        </w:trPr>
        <w:tc>
          <w:tcPr>
            <w:tcW w:w="4200" w:type="dxa"/>
            <w:vAlign w:val="bottom"/>
          </w:tcPr>
          <w:p>
            <w:pPr>
              <w:ind w:left="220"/>
              <w:spacing w:after="0" w:line="176" w:lineRule="exact"/>
              <w:rPr>
                <w:sz w:val="20"/>
                <w:szCs w:val="20"/>
                <w:color w:val="auto"/>
              </w:rPr>
            </w:pPr>
            <w:r>
              <w:rPr>
                <w:rFonts w:ascii="Arial" w:cs="Arial" w:eastAsia="Arial" w:hAnsi="Arial"/>
                <w:sz w:val="18"/>
                <w:szCs w:val="18"/>
                <w:color w:val="auto"/>
              </w:rPr>
              <w:t>Proceeds received from senior credit facility term</w:t>
            </w: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598,500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598,500</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loans</w:t>
            </w: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senior credit facility term loans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(978,097)</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(30,112)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loan proceeds (payments)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(to) from parent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(161,208)</w:t>
            </w:r>
          </w:p>
        </w:tc>
        <w:tc>
          <w:tcPr>
            <w:tcW w:w="0" w:type="dxa"/>
            <w:vAlign w:val="bottom"/>
          </w:tcPr>
          <w:p>
            <w:pPr>
              <w:spacing w:after="0"/>
              <w:rPr>
                <w:sz w:val="1"/>
                <w:szCs w:val="1"/>
                <w:color w:val="auto"/>
              </w:rPr>
            </w:pPr>
          </w:p>
        </w:tc>
      </w:tr>
      <w:tr>
        <w:trPr>
          <w:trHeight w:val="230"/>
        </w:trPr>
        <w:tc>
          <w:tcPr>
            <w:tcW w:w="4200" w:type="dxa"/>
            <w:vAlign w:val="bottom"/>
          </w:tcPr>
          <w:p>
            <w:pPr>
              <w:ind w:left="220"/>
              <w:spacing w:after="0"/>
              <w:rPr>
                <w:sz w:val="20"/>
                <w:szCs w:val="20"/>
                <w:color w:val="auto"/>
              </w:rPr>
            </w:pPr>
            <w:r>
              <w:rPr>
                <w:rFonts w:ascii="Arial" w:cs="Arial" w:eastAsia="Arial" w:hAnsi="Arial"/>
                <w:sz w:val="18"/>
                <w:szCs w:val="18"/>
                <w:color w:val="auto"/>
              </w:rPr>
              <w:t>Contributions from (to) parent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33,391</w:t>
            </w:r>
          </w:p>
        </w:tc>
        <w:tc>
          <w:tcPr>
            <w:tcW w:w="0" w:type="dxa"/>
            <w:vAlign w:val="bottom"/>
          </w:tcPr>
          <w:p>
            <w:pPr>
              <w:spacing w:after="0"/>
              <w:rPr>
                <w:sz w:val="1"/>
                <w:szCs w:val="1"/>
                <w:color w:val="auto"/>
              </w:rPr>
            </w:pPr>
          </w:p>
        </w:tc>
      </w:tr>
      <w:tr>
        <w:trPr>
          <w:trHeight w:val="155"/>
        </w:trPr>
        <w:tc>
          <w:tcPr>
            <w:tcW w:w="4200" w:type="dxa"/>
            <w:vAlign w:val="bottom"/>
            <w:tcBorders>
              <w:top w:val="single" w:sz="8" w:color="CCEEFF"/>
            </w:tcBorders>
            <w:shd w:val="clear" w:color="auto" w:fill="CCEEFF"/>
          </w:tcPr>
          <w:p>
            <w:pPr>
              <w:ind w:left="1160"/>
              <w:spacing w:after="0" w:line="156" w:lineRule="exact"/>
              <w:rPr>
                <w:sz w:val="20"/>
                <w:szCs w:val="20"/>
                <w:color w:val="auto"/>
              </w:rPr>
            </w:pPr>
            <w:r>
              <w:rPr>
                <w:rFonts w:ascii="Arial" w:cs="Arial" w:eastAsia="Arial" w:hAnsi="Arial"/>
                <w:sz w:val="18"/>
                <w:szCs w:val="18"/>
                <w:color w:val="auto"/>
                <w:w w:val="94"/>
              </w:rPr>
              <w:t>Net cash provided by (used in) financing</w:t>
            </w:r>
          </w:p>
        </w:tc>
        <w:tc>
          <w:tcPr>
            <w:tcW w:w="16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193,335</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(187,639)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18,926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200" w:type="dxa"/>
            <w:vAlign w:val="bottom"/>
          </w:tcPr>
          <w:p>
            <w:pPr>
              <w:ind w:left="400"/>
              <w:spacing w:after="0" w:line="156" w:lineRule="exact"/>
              <w:rPr>
                <w:sz w:val="20"/>
                <w:szCs w:val="20"/>
                <w:color w:val="auto"/>
              </w:rPr>
            </w:pPr>
            <w:r>
              <w:rPr>
                <w:rFonts w:ascii="Arial" w:cs="Arial" w:eastAsia="Arial" w:hAnsi="Arial"/>
                <w:sz w:val="18"/>
                <w:szCs w:val="18"/>
                <w:color w:val="auto"/>
                <w:w w:val="94"/>
              </w:rPr>
              <w:t>Effect of exchange rate changes in cash and cash</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4200" w:type="dxa"/>
            <w:vAlign w:val="bottom"/>
          </w:tcPr>
          <w:p>
            <w:pPr>
              <w:ind w:left="40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8"/>
              </w:rPr>
              <w:t>Net increase (decrease) in cash and cash equivalents</w:t>
            </w: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150,905</w:t>
            </w:r>
          </w:p>
        </w:tc>
        <w:tc>
          <w:tcPr>
            <w:tcW w:w="0" w:type="dxa"/>
            <w:vAlign w:val="bottom"/>
          </w:tcPr>
          <w:p>
            <w:pPr>
              <w:spacing w:after="0"/>
              <w:rPr>
                <w:sz w:val="1"/>
                <w:szCs w:val="1"/>
                <w:color w:val="auto"/>
              </w:rPr>
            </w:pPr>
          </w:p>
        </w:tc>
      </w:tr>
      <w:tr>
        <w:trPr>
          <w:trHeight w:val="229"/>
        </w:trPr>
        <w:tc>
          <w:tcPr>
            <w:tcW w:w="4200" w:type="dxa"/>
            <w:vAlign w:val="bottom"/>
          </w:tcPr>
          <w:p>
            <w:pPr>
              <w:ind w:left="400"/>
              <w:spacing w:after="0"/>
              <w:rPr>
                <w:sz w:val="20"/>
                <w:szCs w:val="20"/>
                <w:color w:val="auto"/>
              </w:rPr>
            </w:pPr>
            <w:r>
              <w:rPr>
                <w:rFonts w:ascii="Arial" w:cs="Arial" w:eastAsia="Arial" w:hAnsi="Arial"/>
                <w:sz w:val="18"/>
                <w:szCs w:val="18"/>
                <w:color w:val="auto"/>
                <w:w w:val="95"/>
              </w:rPr>
              <w:t>Cash and cash equivalents at beginning of period</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25,688</w:t>
            </w:r>
          </w:p>
        </w:tc>
        <w:tc>
          <w:tcPr>
            <w:tcW w:w="0" w:type="dxa"/>
            <w:vAlign w:val="bottom"/>
          </w:tcPr>
          <w:p>
            <w:pPr>
              <w:spacing w:after="0"/>
              <w:rPr>
                <w:sz w:val="1"/>
                <w:szCs w:val="1"/>
                <w:color w:val="auto"/>
              </w:rPr>
            </w:pPr>
          </w:p>
        </w:tc>
      </w:tr>
      <w:tr>
        <w:trPr>
          <w:trHeight w:val="248"/>
        </w:trPr>
        <w:tc>
          <w:tcPr>
            <w:tcW w:w="42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176,593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report contains forward-looking statements. Actual results could differ materially from those anticipated by the forward-looking statements due to risks and uncertainties described in the section of this combined report on Form 10-Q entitled “Note Regarding Forward-Looking Statements” and in Item 1A to the 2020 Combined Form 10-K filed on February 26 2021, and as such risk factors may be further updated or supplemented, from time to time, in our future combined Quarterly Reports on Form 10-Q and Current Reports on Form 8-K. You should carefully consider each of these risks and uncertainties in evaluating the Company’s and Lamar Media’s financial conditions and results of operations. Investors are cautioned not to place undue reliance on the forward-looking statements contained in this document. These statements speak only as of the date of this document, and the Company undertakes no obligation to update or revise the statements, except as may be required by law.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ADVERTISING COMPANY</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the Company for the three and six months ended June 30, 2021 and 2020. This discussion should be read in conjunction with the consolidated financial statements of the Company and the related notes thereto.</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net revenues are derived primarily from the rental of advertising space on outdoor advertising displays owned and operated by the Company. Revenue growth is based on many factors that include the Company’s ability to increase occupancy of its existing advertising displays; raise advertising rates; and acquire new advertising displays and its operating results are therefore affected by general economic conditions, as well as trends in the advertising industry. Advertising spending is particularly sensitive to changes in general economic conditions which affect the rates that the Company is able to charge for advertising on its displays and its ability to maximize advertising sales or occupancy on its displays.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unprecedented and rapid spread of COVID-19 and the related government-imposed restrictions and social distancing measures implemented throughout the world have reduced demand for out-of-home advertising. Beginning in late March 2020, large public events were cancelled, and governments began imposing restrictions on non-essential activities, which in turn led to advertisers suspending, delaying or cancelling their advertising campaigns. We observed an improvement in customer activity beginning in June 2020 and through June 2021 as the government-imposed restrictions on travel were eased and more of the population became vaccinated. Accordingly, we are not actively pursuing additional cost saving measures, and are resuming acquisition activities and spending on capital projects. However, we cannot predict the length or strength of the recovery in advertising demand due to the continued and potential impact of the pandemic on the overall U.S. and global economy, particularly in light of new and variant strains of the virus and the plateau of vaccination rates, and new or renewed government-imposed restrictions on travel that may be enacted in the future.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some of our corporate, front office and sales workforce continues to work from home, a large majority have returned to their offices while adhering to the Centers for Disease Control and Prevention and state and local governmental guidelines and recommendations. The impacts of working from home have been minimal on productivity. Also, while working from home has minimally impacted our processes, there have been no material impacts to our internal control environment.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actively monitor the situation and may take further actions that alter our business operations as may be required by federal, state or local authorities, or that we determine are in the best interests of our employees, customers, partners and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the Company has made strategic acquisitions of outdoor advertising assets to increase the number of outdoor advertising displays it operates in existing and new markets. The Company continues to evaluate and pursue strategic acquisition opportunities as they arise. The Company has financed its historical acquisitions and intends to finance any future acquisition activity from available cash, borrowings under its senior credit facility or the issuance of debt or equity securities. See “Liquidity and Capital Resources-</w:t>
      </w:r>
      <w:r>
        <w:rPr>
          <w:rFonts w:ascii="Arial" w:cs="Arial" w:eastAsia="Arial" w:hAnsi="Arial"/>
          <w:sz w:val="16"/>
          <w:szCs w:val="16"/>
          <w:i w:val="1"/>
          <w:iCs w:val="1"/>
          <w:color w:val="auto"/>
        </w:rPr>
        <w:t>Sources of Cash</w:t>
      </w:r>
      <w:r>
        <w:rPr>
          <w:rFonts w:ascii="Arial" w:cs="Arial" w:eastAsia="Arial" w:hAnsi="Arial"/>
          <w:sz w:val="16"/>
          <w:szCs w:val="16"/>
          <w:color w:val="auto"/>
        </w:rPr>
        <w:t xml:space="preserve">” for more information. During the six months ended June 30, 2021, the Company completed acquisitions for a total cash purchase price of approximately $27.2 million. See </w:t>
      </w:r>
      <w:r>
        <w:rPr>
          <w:rFonts w:ascii="Arial" w:cs="Arial" w:eastAsia="Arial" w:hAnsi="Arial"/>
          <w:sz w:val="16"/>
          <w:szCs w:val="16"/>
          <w:i w:val="1"/>
          <w:iCs w:val="1"/>
          <w:color w:val="auto"/>
        </w:rPr>
        <w:t>Uses of Cash – Acquisitions</w:t>
      </w:r>
      <w:r>
        <w:rPr>
          <w:rFonts w:ascii="Arial" w:cs="Arial" w:eastAsia="Arial" w:hAnsi="Arial"/>
          <w:sz w:val="16"/>
          <w:szCs w:val="16"/>
          <w:color w:val="auto"/>
        </w:rPr>
        <w:t xml:space="preserve"> for more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business requires expenditures for maintenance and capitalized costs associated with the construction of new billboard displays, the entrance into and renewal of logo sign and transit contracts, and the purchase of real estate and operating equipment. The following table presents a breakdown of capitalized expenditures for the three and six months ended June 30, 2021 and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r>
      <w:tr>
        <w:trPr>
          <w:trHeight w:val="188"/>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83"/>
        </w:trPr>
        <w:tc>
          <w:tcPr>
            <w:tcW w:w="56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3"/>
              </w:rPr>
              <w:t>2020</w:t>
            </w:r>
          </w:p>
        </w:tc>
      </w:tr>
      <w:tr>
        <w:trPr>
          <w:trHeight w:val="211"/>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capital expenditures: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Billboard — traditional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7,371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8,023</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Billboard — digital</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22,701</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16,802</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Logos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3,545</w:t>
            </w:r>
          </w:p>
        </w:tc>
      </w:tr>
      <w:tr>
        <w:trPr>
          <w:trHeight w:val="230"/>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Transit</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w:t>
            </w: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Land and buildings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2,258</w:t>
            </w: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equipment</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1,854</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w:t>
            </w: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3,791</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 capital expenditures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25,084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41,416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36,274</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management reviews our performance by focusing on several key performance indicators not prepared in conformity with Generally Accepted Accounting Principles in the United States (“GAAP”). We believe these non-GAAP performance indicators are meaningful supplemental measures of our operating performance and should not be considered in isolation of, or as a substitute for, their most directly comparable GAAP financial measures.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our analysis of our results of operations are discussions regarding earnings before interest, taxes, depreciation and amortization (“adjusted EBITDA”), funds from operations (“FFO”), as defined by the National Association of Real Estate Investment Trusts, adjusted funds from operations (“AFFO”) and acquisition-adjusted net revenue.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income before income tax expense (benefit), interest expense (income), loss (gain) on extinguishment of debt and investments, stock-based compensation, depreciation and amortization, loss (gain) on disposition of assets and investments and capitalized contract fulfillment costs, net.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FFO is defined as net income before gains or losses from the sale or disposal of real estate assets and investments and real estate related depreciation and amortization and including adjustments to eliminate unconsolidated affiliates and non-controlling interest.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define AFFO as FFO before (i) straight-line income and expense; (ii) capitalized contract fulfillment costs, net (iii) stock-based compensation expense;</w:t>
      </w:r>
    </w:p>
    <w:p>
      <w:pPr>
        <w:spacing w:after="0" w:line="46"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non-cash portion of tax expense (benefit); (v) non-real estate related depreciation and amortization; (vi) amortization of deferred financing costs;</w:t>
      </w:r>
    </w:p>
    <w:p>
      <w:pPr>
        <w:spacing w:after="0" w:line="20" w:lineRule="exact"/>
        <w:rPr>
          <w:rFonts w:ascii="Arial" w:cs="Arial" w:eastAsia="Arial" w:hAnsi="Arial"/>
          <w:sz w:val="17"/>
          <w:szCs w:val="17"/>
          <w:color w:val="auto"/>
        </w:rPr>
      </w:pPr>
    </w:p>
    <w:p>
      <w:pPr>
        <w:ind w:firstLine="8"/>
        <w:spacing w:after="0" w:line="260" w:lineRule="auto"/>
        <w:tabs>
          <w:tab w:leader="none" w:pos="3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on extinguishment of debt; (viii) non-recurring infrequent or unusual losses (gains); (ix) less maintenance capital expenditures; and (x) an adjustment for unconsolidated affiliates and non-controlling interest.</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Acquisition-adjusted net revenue adjusts our net revenue for the prior period by adding to it the net revenue generated by the acquired assets before our acquisition of these assets for the same time frame that those assets were owned in the current period. In calculating acquisition-adjusted revenue, therefore, we include revenue generated by assets that we did not own in the period but acquired in the current period. We refer to the amount of pre-acquisition revenue generated by the acquired assets during the prior period that corresponds with the current period in which we owned the assets (to the extent within the period to which this report relates) as “acquisition net revenue”. In addition, we also adjust the prior period to subtract revenue generated by the assets that have been divested since the prior period and, therefore, no revenue derived from those assets is reflected in the current period.</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Adjusted EBITDA, FFO, AFFO and acquisition-adjusted net revenue are not intended to replace net income or any other performance measures determined in accordance with GAAP. Neither FFO nor AFFO represent cash flows from operating activities in accordance with GAAP and, therefore, these measures should not be considered indicative of cash flows from operating activities as a measure of liquidity or of funds available to fund our cash needs, including our ability to make cash distributions. Rather, adjusted EBITDA, FFO, AFFO and acquisition-adjusted net revenue are presented as we believe each is a useful indicator of our current operating performance. We believe that these metrics are useful to an investor in evaluating our operating performance because (1) each is a key measure used by our management team for purposes of decision-making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evaluating our core operating results; (2) adjusted EBITDA is widely used in the industry to measure operating performance as depreciation and amortization may vary significantly among companies depending upon accounting methods and useful lives, particularly where acquisitions and non-operating factors are involved; (3) acquisition-adjusted net revenue is a supplement to net revenue to enable investors to compare period-over-period results on a more consistent basis without the effects of acquisitions and divestitures, which reflects our core performance and organic growth (if any) during the period in which the assets were owned and managed by us; (4) adjusted EBITDA, FFO and AFFO each provide investors with a meaningful measure for evaluating our period-to-period operating performance by eliminating items that are not operational in nature; and (5) each provides investors with a measure for comparing our results of operations to those of other companies.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measurement of adjusted EBITDA, FFO, AFFO and acquisition-adjusted net revenue may not, however, be fully comparable to similarly titled measures used by other companies. Reconciliations of adjusted EBITDA, FFO, AFFO and acquisition-adjusted net revenue to net income, the most directly comparable GAAP measure, have been included herein.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$61.7 million or 8.2% to $815.9 million for the six months ended June 30, 2021 from $754.2 million for the same period in 2020. This increase was primarily attributable to an increase in billboard net revenues of $71.9 million offset by a decrease in transit net revenues, due to the effects of the ongoing COVID-19 pandemic, of $6.9 million over the same period in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2021, there was a $66.4 million increase in net revenues as compared to acquisition-adjusted net revenue for the six months ended June 30, 2020, which represents an increase of 8.9%. See “Reconciliations” below. The $66.4 million increase in revenue is primarily due to an increase of $70.6 million in billboard net revenues offset by a decrease in transit net revenues, due to the effects of the ongoing COVID-19 pandemic, of $4.6 million over the same period in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decreased $9.9 million, or 2.1%, to $458.5 million for the six months ended June 30, 2021 from $468.4 million in the same period in 2020. The $9.9 million decrease over the prior year is comprised of a $13.2 million decrease in total direct, general and administrative and corporate expenses (excluding stock-based compensation) primarily related to the operations of our outdoor advertising assets, offset by a $3.3 million increase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$4.9 million to $121.4 million for the six months ended June 30, 2021 as compared to $126.3 million for the same period in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the Company recognized a gain on disposition of assets of $1.9 million primarily resulting from transactions related to the sale of billboard locations and displays.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$74.9 million to $237.9 million for the six months ended June 30, 2021 as compared to $163.0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a loss on debt extinguishment of $21.6 million during the six months ended June 30, 2021, a $3.4 million increase over the same period in 2020. The loss on debt extinguishment during the six months ended June 30, 2021 relates to the early repayment of our 5 3/4% Senior Notes during the period.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Interest expense decreased $17.5 million for the six months ended June 30, 2021 to $54.5 million as compared to $72.0 million for the six months ended June 30, 2020. The decrease is primarily related to the Company’s debt transactions completed in 2020 and 2021, as well as a reduction in our senior credit facility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and decrease in interest expense, offset by the increase in loss on extinguishment of debt, resulted in an $88.9 million increase in net income before income taxes. The effective tax rate for the six months ended June 30, 2021 was 2.6%,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six months ended June 30, 2021 of $157.9 million, as compared to net income of $71.9 million for the same period in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six months ended June 30, 2020 by adding to or subtracting from it the net revenue generated by the acquired or divested assets prior to our acquisition or divestiture of these assets for the same time frame that those assets were owned in the six months ended June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2020 reported net revenue to 2020 acquisition-adjusted net revenue for the six months ended June 30, as well as a comparison of 2020 acquisition-adjusted net revenue to 2021 reported net revenue for the six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5"/>
          </w:tcPr>
          <w:p>
            <w:pPr>
              <w:ind w:left="720"/>
              <w:spacing w:after="0"/>
              <w:rPr>
                <w:sz w:val="20"/>
                <w:szCs w:val="20"/>
                <w:color w:val="auto"/>
              </w:rPr>
            </w:pPr>
            <w:r>
              <w:rPr>
                <w:rFonts w:ascii="Arial" w:cs="Arial" w:eastAsia="Arial" w:hAnsi="Arial"/>
                <w:sz w:val="14"/>
                <w:szCs w:val="14"/>
                <w:b w:val="1"/>
                <w:bCs w:val="1"/>
                <w:color w:val="auto"/>
                <w:w w:val="89"/>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815,933</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754,221</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815,933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749,492</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 of</w:t>
            </w:r>
          </w:p>
        </w:tc>
        <w:tc>
          <w:tcPr>
            <w:tcW w:w="3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Increase (Decrease)</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224"/>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71,922</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86,016</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121,371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126,311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293,013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six months ended June 30, 2021 increased 24.9% to $365.9 million. The increase in adjusted EBITDA was primarily attributable to an increase in our gross margin (net revenue less direct advertising expense, exclusive of depreciation and amortization and capitalized contract fulfillment costs, net) of $75.5 million, as well as a decrease in total general and administrative and corporate expenses of $1.3 million, excluding the impact of stock-based compensation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04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81"/>
        </w:trPr>
        <w:tc>
          <w:tcPr>
            <w:tcW w:w="5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8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8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gridSpan w:val="3"/>
            <w:vMerge w:val="continue"/>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jc w:val="center"/>
              <w:ind w:right="114"/>
              <w:spacing w:after="0" w:line="107"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0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119.6 %</w:t>
            </w: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272,243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85,190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six months ended June 30, 2021 increased from $189.7 million in 2020 to $272.2 million for the same period in 2021, an increase of 43.5%. AFFO for the six months ended June 30, 2021 increased 40.7% to $294.5 million as compared to $209.3 million for the same period in 2020. The increase in AFFO was primarily attributable to an increase in our gross margin (net revenue less direct advertising expense, exclusive of depreciation and amortization and capitalized contract fulfillment costs, net) as well as a decrease in total general and administrative and corporate expenses (excluding the effect of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$97.4 million or 28.0% to $445.1 million for the three months ended June 30, 2021 from $347.7 million for the same period in 2020. This increase was primarily attributable to an increase in billboard and transit net revenues of $93.2 million and $5.6 million, respectively, over the same period in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there was a $99.7 million increase in net revenues as compared to acquisition-adjusted net revenue for the three months ended June 30, 2020, which represents an increase of 28.9%. See "Reconciliations" below. The $99.7 million increase in revenue is primarily due to a $92.5 million and $6.7 million increase in billboard and transit net revenues, respectively.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operating expenses, exclusive of depreciation and amortization and gain on disposition of assets, increased $18.7 million, or 8.6%, to $236.9 million for the three months ended June 30, 2021 from $218.2 million in the same period in 2020. The $18.7 million increase over the prior year is comprised of a $15.6 million increase in total direct, general and administrative and corporate expenses (excluding stock-based compensation) primarily related to the operations of our outdoor advertising assets and a $3.1 million increase in stock-based compensation.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$3.4 million to $60.6 million for the three months ended June 30, 2021 as compared to $64.0 million for the same period in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2021, the Company recognized a gain on disposition of assets of $1.5 million primarily resulting from transactions related to billboard locations.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above factors, operating income increased by $82.5 million to $149.0 million for the three months ended June 30, 2021 as compared to $66.5 million for the same period in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$9.1 million for the three months ended June 30, 2021 to $26.4 million as compared to $35.4 million for the three months ended June 30, 2020. The decrease is primarily related to the Company's debt transactions completed in 2020 and 2021, as well as a reduction in our senior credit facility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and decrease in interest expense resulted in a $91.6 million increase in net income before income taxes. The effective tax rate for the three months ended June 30, 2021 was 2.6%,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the Company recognized net income for the three months ended June 30, 2021 of $119.6 million, as compared to net income of $31.4 million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three months ended June 30, 2020 by adding to or subtracting from it the net revenue generated by the acquired or divested assets prior to our acquisition or divestiture of these assets for the same time frame that those assets were owned in the three months ended June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2020 reported net revenue to 2020 acquisition-adjusted net revenue for the three months ended June 30, as well as a comparison of 2020 acquisition-adjusted net revenue to 2021 reported net revenue for the three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2"/>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40" w:type="dxa"/>
            <w:vAlign w:val="bottom"/>
            <w:gridSpan w:val="6"/>
          </w:tcPr>
          <w:p>
            <w:pPr>
              <w:jc w:val="right"/>
              <w:ind w:right="85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445,052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347,652</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48"/>
        </w:trPr>
        <w:tc>
          <w:tcPr>
            <w:tcW w:w="5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445,052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345,324</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5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b w:val="1"/>
                <w:bCs w:val="1"/>
                <w:color w:val="auto"/>
              </w:rPr>
              <w:t>Net Income/Adjusted EBITDA</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00" w:type="dxa"/>
            <w:vAlign w:val="bottom"/>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4"/>
          </w:tcPr>
          <w:p>
            <w:pPr>
              <w:ind w:left="100"/>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220" w:type="dxa"/>
            <w:vAlign w:val="bottom"/>
          </w:tcPr>
          <w:p>
            <w:pPr>
              <w:jc w:val="right"/>
              <w:ind w:right="97"/>
              <w:spacing w:after="0"/>
              <w:rPr>
                <w:sz w:val="20"/>
                <w:szCs w:val="20"/>
                <w:color w:val="auto"/>
              </w:rPr>
            </w:pPr>
            <w:r>
              <w:rPr>
                <w:rFonts w:ascii="Arial" w:cs="Arial" w:eastAsia="Arial" w:hAnsi="Arial"/>
                <w:sz w:val="14"/>
                <w:szCs w:val="14"/>
                <w:b w:val="1"/>
                <w:bCs w:val="1"/>
                <w:color w:val="auto"/>
                <w:w w:val="90"/>
              </w:rPr>
              <w:t>Percent Increase</w:t>
            </w:r>
          </w:p>
        </w:tc>
        <w:tc>
          <w:tcPr>
            <w:tcW w:w="0" w:type="dxa"/>
            <w:vAlign w:val="bottom"/>
          </w:tcPr>
          <w:p>
            <w:pPr>
              <w:spacing w:after="0"/>
              <w:rPr>
                <w:sz w:val="1"/>
                <w:szCs w:val="1"/>
                <w:color w:val="auto"/>
              </w:rPr>
            </w:pPr>
          </w:p>
        </w:tc>
      </w:tr>
      <w:tr>
        <w:trPr>
          <w:trHeight w:val="183"/>
        </w:trPr>
        <w:tc>
          <w:tcPr>
            <w:tcW w:w="5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5"/>
          </w:tcPr>
          <w:p>
            <w:pPr>
              <w:ind w:left="20"/>
              <w:spacing w:after="0"/>
              <w:rPr>
                <w:sz w:val="20"/>
                <w:szCs w:val="20"/>
                <w:color w:val="auto"/>
              </w:rPr>
            </w:pPr>
            <w:r>
              <w:rPr>
                <w:rFonts w:ascii="Arial" w:cs="Arial" w:eastAsia="Arial" w:hAnsi="Arial"/>
                <w:sz w:val="14"/>
                <w:szCs w:val="14"/>
                <w:b w:val="1"/>
                <w:bCs w:val="1"/>
                <w:color w:val="auto"/>
              </w:rPr>
              <w:t>Increase (Decrease)</w:t>
            </w:r>
          </w:p>
        </w:tc>
        <w:tc>
          <w:tcPr>
            <w:tcW w:w="100" w:type="dxa"/>
            <w:vAlign w:val="bottom"/>
          </w:tcPr>
          <w:p>
            <w:pPr>
              <w:spacing w:after="0"/>
              <w:rPr>
                <w:sz w:val="15"/>
                <w:szCs w:val="15"/>
                <w:color w:val="auto"/>
              </w:rPr>
            </w:pPr>
          </w:p>
        </w:tc>
        <w:tc>
          <w:tcPr>
            <w:tcW w:w="1220" w:type="dxa"/>
            <w:vAlign w:val="bottom"/>
          </w:tcPr>
          <w:p>
            <w:pPr>
              <w:jc w:val="right"/>
              <w:ind w:right="297"/>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4"/>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88,180</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26,177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35,258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63,998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June 30, 2021 increased 60.3% to $213.5 million. The increase in adjusted EBITDA was primarily attributable to an increase in our gross margin (net revenue less direct advertising expense, exclusive of depreciation and amortization and capitalized contract fulfillment costs, net) of $92.4 million, and was offset by an increase in total general and administrative and corporate expenses of $9.3 million, excluding the impact of stock-based compensation expense.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8"/>
        </w:trPr>
        <w:tc>
          <w:tcPr>
            <w:tcW w:w="5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91"/>
              <w:spacing w:after="0"/>
              <w:rPr>
                <w:sz w:val="20"/>
                <w:szCs w:val="20"/>
                <w:color w:val="auto"/>
              </w:rPr>
            </w:pPr>
            <w:r>
              <w:rPr>
                <w:rFonts w:ascii="Arial" w:cs="Arial" w:eastAsia="Arial" w:hAnsi="Arial"/>
                <w:sz w:val="14"/>
                <w:szCs w:val="14"/>
                <w:b w:val="1"/>
                <w:bCs w:val="1"/>
                <w:color w:val="auto"/>
              </w:rPr>
              <w:t>Amount of</w:t>
            </w:r>
          </w:p>
        </w:tc>
        <w:tc>
          <w:tcPr>
            <w:tcW w:w="100" w:type="dxa"/>
            <w:vAlign w:val="bottom"/>
          </w:tcPr>
          <w:p>
            <w:pPr>
              <w:spacing w:after="0"/>
              <w:rPr>
                <w:sz w:val="16"/>
                <w:szCs w:val="16"/>
                <w:color w:val="auto"/>
              </w:rPr>
            </w:pPr>
          </w:p>
        </w:tc>
        <w:tc>
          <w:tcPr>
            <w:tcW w:w="1400" w:type="dxa"/>
            <w:vAlign w:val="bottom"/>
          </w:tcPr>
          <w:p>
            <w:pPr>
              <w:jc w:val="right"/>
              <w:ind w:right="2"/>
              <w:spacing w:after="0"/>
              <w:rPr>
                <w:sz w:val="20"/>
                <w:szCs w:val="20"/>
                <w:color w:val="auto"/>
              </w:rPr>
            </w:pPr>
            <w:r>
              <w:rPr>
                <w:rFonts w:ascii="Arial" w:cs="Arial" w:eastAsia="Arial" w:hAnsi="Arial"/>
                <w:sz w:val="14"/>
                <w:szCs w:val="14"/>
                <w:b w:val="1"/>
                <w:bCs w:val="1"/>
                <w:color w:val="auto"/>
                <w:w w:val="99"/>
              </w:rPr>
              <w:t>Amount of Increase</w:t>
            </w:r>
          </w:p>
        </w:tc>
      </w:tr>
      <w:tr>
        <w:trPr>
          <w:trHeight w:val="196"/>
        </w:trPr>
        <w:tc>
          <w:tcPr>
            <w:tcW w:w="58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Increase (Decrease)</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280.6 %</w:t>
            </w: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61,089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23"/>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91.3 %</w:t>
            </w: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r>
      <w:tr>
        <w:trPr>
          <w:trHeight w:val="248"/>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AFFO</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81,757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85.1 %</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June 30, 2021 increased from $92.1 million in 2020 to $176.2 million in 2021, an increase of 91.3%. AFFO for the three months ended June 30, 2021 increased 85.1% to $177.8 million as compared to $96.1 million for the same period in 2020. The increase in AFFO was primarily attributable to an increase in our gross margin (net revenue less direct advertising expense, exclusive of depreciation and amortization and capitalized fulfillment costs, net) offset by an increase in total general and administrative and corporate expenses (excluding the effect of stock-based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historically satisfied its working capital requirements with cash from operations and borrowings under the senior credit facility. The Company’s wholly owned subsidiary, Lamar Media Corp., is the borrower under the senior credit facility and maintains all corporate operating cash balances. Any cash requirements of the Company, therefore, must be funded by distributions from Lamar Media.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Total Liquidity. </w:t>
      </w:r>
      <w:r>
        <w:rPr>
          <w:rFonts w:ascii="Arial" w:cs="Arial" w:eastAsia="Arial" w:hAnsi="Arial"/>
          <w:sz w:val="18"/>
          <w:szCs w:val="18"/>
          <w:color w:val="auto"/>
        </w:rPr>
        <w:t>As of June 30, 2021 we had $856.8 million of total liquidity, which is comprised of $68.7 million in cash and cash equivalents and $735.6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availability under the revolving portion of Lamar Media’s senior credit facility and $52.5 million of availability under the Accounts Receivable Securitization Program. We expect our total liquidity to be adequate for the Company to meet its operational requirements for the next twelve months. We will continue to monitor the impacts of the COVID-19 pandemic, particularly in light of new and variant strains of the virus and the plateau of vaccination rates, and, if necessary, may access the debt and/or equity markets for additional liquidity. We are currently in compliance with the maintenance covenant included in the senior credit facility and we would remain in compliance after giving effect to borrowing the full amount available to us under the revolving portion of the senior credit facility.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and December 31, 2020, the Company had a working capital deficit of $196.6 million and $167.3 million, respectively. The decrease in working capital of $29.3 million is primarily due to a decrease in cash and cash equivalents of $52.8 million offset by an increase in receivables, net of $16.6 million as of June 30, 2021.</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Cash Generated by Operations</w:t>
      </w:r>
      <w:r>
        <w:rPr>
          <w:rFonts w:ascii="Arial" w:cs="Arial" w:eastAsia="Arial" w:hAnsi="Arial"/>
          <w:sz w:val="18"/>
          <w:szCs w:val="18"/>
          <w:color w:val="auto"/>
        </w:rPr>
        <w:t>. For the six months ended June 30, 2021 and 2020, our cash provided by operating activities was $285.3 million and $210.7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increase in cash provided by operating activities for the six months ended June 30, 2021 over the same period in 2020 primarily relates to an increase in revenues of $61.7 million. We expect to generate cash flows from operations during 2021 in excess of our cash needs for operations, capital expenditures and dividends,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herein. However, we will continue to monitor the impacts of the COVID-19 pandemic, particularly in light of new and variant strains of the virus and the plateau of vaccination rates, and if we are not able to generate sufficient cash flows from operations during 2021 to meet our cash needs, we believe we have sufficient liquidity available under our revolving credit facility to meet our operating cash needs for the next twelve months.</w:t>
      </w:r>
    </w:p>
    <w:p>
      <w:pPr>
        <w:spacing w:after="0" w:line="16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 xml:space="preserve">Accounts Receivable Securitization Program. </w:t>
      </w:r>
      <w:r>
        <w:rPr>
          <w:rFonts w:ascii="Arial" w:cs="Arial" w:eastAsia="Arial" w:hAnsi="Arial"/>
          <w:sz w:val="16"/>
          <w:szCs w:val="16"/>
          <w:color w:val="auto"/>
        </w:rPr>
        <w:t>On December 18, 2018, we entered into the Accounts Receivable Securitization Program. The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 Securitization Program provides up to $175.0 million in borrowing capacity, plus an accordion feature that would permit the borrowing capacity to be increased by up to $125.0 million. Borrowing capacity under the Accounts Receivable Securitization Program is limited to the availability of eligible accounts receivable collateralizing the borrowings under the agreements governing the Accounts Receivable Securitization Program. In connection with the Accounts Receivable Securitization Program, Lamar Media and certain of its subsidiaries (such subsidiaries, the “Subsidiary Originators”) sell and/or contribute their existing and future accounts receivable and certain related assets to one of two special purpose subsidiaries, Lamar QRS Receivables, LLC (the “QRS SPV”) and Lamar TRS Receivables, LLC (the “TRS SPV” and together with the QRS SPV the “Special Purpose Subsidiaries”), each of which is a wholly-owned subsidiary of Lamar Media. Existing and future accounts receivable relating to Lamar Media and its qualified REIT subsidiaries will be sold and/or contributed to the QRS SPV and existing and future accounts receivable relating to Lamar Media’s taxable REIT subsidiaries will be sold and/or contributed to the TRS SPV. Each of the Special Purpose Subsidiaries has granted the lenders party to the Accounts Receivable Securitization Program a security interest in all of its assets, which consist of the accounts receivable and related assets sold or contributed to them, as described above, in order to secure the obligations of the Special Purpose Subsidiaries under the agreements governing the Accounts Receivable Securitization Program. Pursuant to the Accounts Receivable Securitization Program, Lamar Media has agreed to service the accounts receivable on behalf of the two Special Purpose Subsidiaries for a fee. Lamar Media has also agreed to guaranty its performance in its capacity as servicer and originator, as well as the performance of the Subsidiary Originators, of their obligations under the agreements governing the Account Receivable Securitization Program. None of Lamar Media, the Subsidiary Originators or the Special Purpose Subsidiaries guarantees the collectability of the receivables under the Accounts Receivable Securitization Program. In addition, each of the Special Purpose Subsidiaries is a separate legal entity with its own separate creditors who will be entitled to access the assets of such Special Purpose Subsidiary before the assets become available to Lamar Media. Accordingly, the assets of the Special Purpose Subsidiaries are not available to pay creditors of Lamar Media or any of its subsidiaries, although collections from receivables in excess of the amounts required to repay the lenders and the other creditors of the Special Purpose Subsidiaries may be remitted to Lamar Media.</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24, 2021, Lamar Media and the Special Purpose Subsidiaries entered into the Fifth Amendment (the "Fifth Amendment") to the Accounts Receivable Securitization Program, as amended. The Fifth Amendment extends the maturity date of the Accounts Receivable Securitization Program to July 21, 2024. Additionally, the Fifth Amendment decreases the Minimum Funding Threshold which, as amended, requires the Special Purpose Subsidiaries to maintain minimum borrowings under the Accounts Receivable Securitization Program on any day equal to the lesser of (i) 50.00% of the aggregate Commitment of all Lenders or (ii) the Borrowing Base, provided that the Minimum Funding Threshold shall be zero on any day that is a Minimum Funding Threshold Holiday which, as amended, provides for an annual holiday from the requirement of up to sixty days per year. The Fifth Amendment also provides for updated LIBOR replacement procedures.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was $122.5 million in outstanding aggregate borrowings under the Accounts Receivable Securitization Program. Lamar Media had $52.5 million of unused availability under the Accounts Receivable Securitization Program as of June 30,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Accounts Receivable Securitization Program will mature on July 21, 2024. Lamar Media may amend the facility to extend the maturity date, enter into a new securitization facility with a different maturity date, or refinance the indebtedness outstanding under the Accounts Receivable Securitization Program using borrowings under its senior credit facility or from other financing sources.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On May 1, 2018, the Company entered into an equity distribution agreement (the “Sales Agreement”) with J.P.</w:t>
      </w:r>
      <w:r>
        <w:rPr>
          <w:rFonts w:ascii="Arial" w:cs="Arial" w:eastAsia="Arial" w:hAnsi="Arial"/>
          <w:sz w:val="18"/>
          <w:szCs w:val="18"/>
          <w:i w:val="1"/>
          <w:iCs w:val="1"/>
          <w:color w:val="auto"/>
        </w:rPr>
        <w:t xml:space="preserve"> </w:t>
      </w:r>
      <w:r>
        <w:rPr>
          <w:rFonts w:ascii="Arial" w:cs="Arial" w:eastAsia="Arial" w:hAnsi="Arial"/>
          <w:sz w:val="18"/>
          <w:szCs w:val="18"/>
          <w:color w:val="auto"/>
        </w:rPr>
        <w:t>Morgan Securities LLC, Wells Fargo Securities LLC and SunTrust Robinson Humphrey, Inc. as our sales agents. Under the terms of the Sales Agreement, the Company could have, from time to time, issued and sold shares of its Class A common stock, having an aggregate offering price of up to $400.0 million through the sales agents as either agents or principals. The Sales Agreement expired by its terms on May 1, 2021. The Company did not issue any shares under this program in 2021.</w:t>
      </w:r>
    </w:p>
    <w:p>
      <w:pPr>
        <w:spacing w:after="0" w:line="17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June 21, 2021, the Company entered into a new equity distribution agreement (the "2021 Sales Agreement"), with J.P. Morgan Securities LLC, Wells Fargo Securities LLC, Truist Securities, Inc., SMBC Nikko Securities America, Inc. and Scotia Capital (USA) Inc. as our sales agents (each a "Sales Agent", and collectively, the "Sales Agents"), which replaced the prior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Sales Agreement with substantially similar terms. Under the terms of the 2021 Sales Agreement, the Company may, from time to time, issue and sell shares of its Class A common stock, having an aggregate offering price of up to $400.0 million through the Sales Agents as either agents or principals. Sales of the Class A common stock, if any, may be made in negotiated transactions or transactions that are deemed to be "at-the-market offerings" as defined in Rule 415 under the Securities Act of 1933, as amended, including sales made directly on or through the Nasdaq Global Select Market and any other existing trading market for the Class A common stock, or sales made to or through a market maker other than on an exchange. The Company has no obligation to sell any of the Class A common stock under the 2021 Sales Agreement and may at any time suspend solicitations and offers under the 2021 Sales Agreement. The Company intends to use the net proceeds, if any, from the sale of the Class A common stock pursuant to the 2021 Sales Agreement for general corporate purposes, which may include the repayment, refinancing, redemption or repurchase of existing indebtedness, working capital, capital expenditures, acquisition of outdoor advertising assets and businesses and other related investments. The Company did not issue any shares under this program from its inception through June 30, 2021.</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i w:val="1"/>
          <w:iCs w:val="1"/>
          <w:color w:val="auto"/>
        </w:rPr>
        <w:t>Shelf Registration Statement</w:t>
      </w:r>
      <w:r>
        <w:rPr>
          <w:rFonts w:ascii="Arial" w:cs="Arial" w:eastAsia="Arial" w:hAnsi="Arial"/>
          <w:sz w:val="16"/>
          <w:szCs w:val="16"/>
          <w:b w:val="1"/>
          <w:bCs w:val="1"/>
          <w:color w:val="222222"/>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On August 6, 2018, the Company filed an automatically effective shelf registration statement (No. 333-226614) that</w:t>
      </w:r>
      <w:r>
        <w:rPr>
          <w:rFonts w:ascii="Arial" w:cs="Arial" w:eastAsia="Arial" w:hAnsi="Arial"/>
          <w:sz w:val="16"/>
          <w:szCs w:val="16"/>
          <w:i w:val="1"/>
          <w:iCs w:val="1"/>
          <w:color w:val="auto"/>
        </w:rPr>
        <w:t xml:space="preserve"> </w:t>
      </w:r>
      <w:r>
        <w:rPr>
          <w:rFonts w:ascii="Arial" w:cs="Arial" w:eastAsia="Arial" w:hAnsi="Arial"/>
          <w:sz w:val="16"/>
          <w:szCs w:val="16"/>
          <w:color w:val="auto"/>
        </w:rPr>
        <w:t>registered the offer and sale of an indeterminate amount of additional shares of our Class A common stock. In anticipation of the upcoming expiration of the existing shelf registration statement in August 2021, on June 21, 2021, the Company filed a new automatically effective shelf registration statement (No. 333-257243) that allows Lamar Advertising to offer and sell an indeterminate amount of additional shares of its Class A common stock on similar terms as the prior registration statement. During the six months ended June 30, 2021, the Company did not issue any shares under either shelf registration.</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February 6, 2020, Lamar Media entered into a Fourth Amended and Restated Credit Agreement (the “Fourth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 with certain of Lamar Media’s subsidiaries as guarantors, JPMorgan Chase Bank, N.A. as administrative agent and the lenders party thereto, under which the parties agreed to amend and restate Lamar Media’s existing senior credit facility. The Fourth Amended and Restated Credit Agreement amended and restated the Third Amended and Restated Credit Agreement dated as of May 15, 2017, as amended (the “Third Amended and Restated Credit Agreement”).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 2021, Lamar Media entered into Amendment No. 1 (the "Amendment"), to the Fourth Amended and Restated Credit Agreement. The Amendment amends the definition of "Subsidiary" to exclude each of Lamar Partnering Sponsor LLC and Lamar Partnering Corporation and any of their subsidiaries (collectively, the “Lamar Partnering Entities”) such that, after the giving effect to the Amendment, none of the Lamar Partnering Entities are subject to the Fourth Amended and Restated Credit Agreement covenants and reporting requirements, but any investment by Lamar Media in any of the Lamar Partnering Entities would be subject to the Fourth Amended and Restated Credit Agreement covenants. The Amendment also amends the definition of “EBITDA” to replace the existing calculation with a net income-based calculation, which excludes the income of non-Subsidiary entities such as the Lamar Partnering Entities, except to the extent that income of such entities is received by Lamar Media in the form of dividends or distributions.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senior credit facility, as established by the Fourth Amended and Restated Credit Agreement (the “senior credit facility”), consists of (i) a new $750.0 million senior secured revolving credit facility which will mature on February 6, 2025 (the “revolving credit facility”), (ii) a new $600.0 million Term B loan facility (the “Term B loans”) which will mature on February 6, 2027, and (iii) an incremental facility (the “Incremental Facility”) pursuant to which Lamar Media may incur additional term loan tranches or increase its revolving credit facility subject to a pro forma secured debt ratio calculated as described under </w:t>
      </w:r>
      <w:r>
        <w:rPr>
          <w:rFonts w:ascii="Arial" w:cs="Arial" w:eastAsia="Arial" w:hAnsi="Arial"/>
          <w:sz w:val="17"/>
          <w:szCs w:val="17"/>
          <w:i w:val="1"/>
          <w:iCs w:val="1"/>
          <w:color w:val="auto"/>
        </w:rPr>
        <w:t>“Restrictions under Senior Credit Facility”</w:t>
      </w:r>
      <w:r>
        <w:rPr>
          <w:rFonts w:ascii="Arial" w:cs="Arial" w:eastAsia="Arial" w:hAnsi="Arial"/>
          <w:sz w:val="17"/>
          <w:szCs w:val="17"/>
          <w:color w:val="auto"/>
        </w:rPr>
        <w:t xml:space="preserve"> of 4.50 to 1.00, as well as certain other conditions including lender approval. Lamar Media borrowed all $600.0 million in Term B loans on February 6, 2020. The entire amount of the Term B loans will be payable at maturity.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Term B loans bear interest at rates based on the Adjusted LIBO Rate (“Eurodollar term loans”) or the Adjusted Base Rate (“Base Rate term loans”), at Lamar Media’s option. Eurodollar term loans bear interest at a rate per annum equal to the Adjusted LIBO Rate plus 1.50%. Base Rate term loans bear interest at a rate per annum equal to the Adjusted Base Rate plus 0.50%. The revolving credit facility bears interest at rates based on the Adjusted LIBO Rate (“Eurodollar revolving loans”) or the Adjusted Base Rate (“Base Rate revolving loans”), at Lamar Media’s option. Eurodollar revolving loans bear interest at a rate per annum equal to the Adjusted LIBO Rate plus 1.50% (or the Adjusted LIBO Rate plus 1.25% at any time the Total Debt Ratio is less than or equal to 3.25 to 1). Base Rate revolving loans bear interest at a rate per annum equal to the Adjusted Base Rate plus 0.50% (or the Adjusted Base Rate plus 0.25% at any time the total debt ratio is less than or equal to 3.25 to 1). The guarantees, covenants, events of default and other terms of the senior credit facility apply to the Term B loans and revolving credit facility.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aggregate balance outstanding under the senior credit facility was $600.0 million, consisting of $600.0 million in Term B loans aggregate principal balance and no outstanding borrowings under our revolving credit facility. Lamar Media had approximately $735.6 million of unused capacity under the revolving credit facility.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Note Offerings. </w:t>
      </w:r>
      <w:r>
        <w:rPr>
          <w:rFonts w:ascii="Arial" w:cs="Arial" w:eastAsia="Arial" w:hAnsi="Arial"/>
          <w:sz w:val="18"/>
          <w:szCs w:val="18"/>
          <w:color w:val="auto"/>
        </w:rPr>
        <w:t>On January 22, 2021, Lamar Media completed, an institutional private placement of $550.0 million in aggregate principal amount of 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5/8% Senior Notes due 2031 (the “3 5/8% Senior Notes”). The institutional private placement on January 22, 2021 resulted in net proceeds to Lamar Media of approximately $542.5 million. Lamar Media used the proceeds of this offering, together with cash on hand and borrowings under the revolving credit facility and Accounts Receivable Securitization Program, to redeem all of its outstanding $650.0 million aggregate principal amount 5 3/4% Senior Notes due 2026. See </w:t>
      </w:r>
      <w:r>
        <w:rPr>
          <w:rFonts w:ascii="Arial" w:cs="Arial" w:eastAsia="Arial" w:hAnsi="Arial"/>
          <w:sz w:val="18"/>
          <w:szCs w:val="18"/>
          <w:i w:val="1"/>
          <w:iCs w:val="1"/>
          <w:color w:val="auto"/>
        </w:rPr>
        <w:t>Uses of Cash- Note Redemption</w:t>
      </w:r>
      <w:r>
        <w:rPr>
          <w:rFonts w:ascii="Arial" w:cs="Arial" w:eastAsia="Arial" w:hAnsi="Arial"/>
          <w:sz w:val="18"/>
          <w:szCs w:val="18"/>
          <w:color w:val="auto"/>
        </w:rPr>
        <w:t xml:space="preserve">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Sources of Liquidity</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Internally Generated Funds. </w:t>
      </w:r>
      <w:r>
        <w:rPr>
          <w:rFonts w:ascii="Arial" w:cs="Arial" w:eastAsia="Arial" w:hAnsi="Arial"/>
          <w:sz w:val="17"/>
          <w:szCs w:val="17"/>
          <w:color w:val="auto"/>
        </w:rPr>
        <w:t>The key factors affecting internally generated cash flow are general economic conditions, specific economic conditions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where the Company conducts its business and overall spending on advertising by advertisers. We expect to generate cash flows from operations during 2021 in excess of our cash needs for operations, capital expenditures and dividends, as described herein. However, we will continue to monitor the impacts of the COVID-19 pandemic, particularly in light of new and variant strains of the virus and the plateau of vaccination rates, and if we are not able to generate sufficient cash flows from operations during 2021 to meet our cash needs we believe we have sufficient liquidity available under our revolving credit facility to meet our operating cash needs for the next twelve months.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Credit Facilities and Other Debt Securities. </w:t>
      </w:r>
      <w:r>
        <w:rPr>
          <w:rFonts w:ascii="Arial" w:cs="Arial" w:eastAsia="Arial" w:hAnsi="Arial"/>
          <w:sz w:val="18"/>
          <w:szCs w:val="18"/>
          <w:color w:val="auto"/>
        </w:rPr>
        <w:t>The Company and Lamar Media must comply with certain covenants and restrictions related to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its outstanding debt securities and its Accounts Receivable Securitization Program.</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Debt Securities. </w:t>
      </w:r>
      <w:r>
        <w:rPr>
          <w:rFonts w:ascii="Arial" w:cs="Arial" w:eastAsia="Arial" w:hAnsi="Arial"/>
          <w:sz w:val="18"/>
          <w:szCs w:val="18"/>
          <w:color w:val="auto"/>
        </w:rPr>
        <w:t>The Company and Lamar Media must comply with certain covenants and restrictions related to its outstanding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Currently, Lamar Media has outstanding the $600.0 million 3 3/4% Senior Notes issued February 2020, the $550.0 million 4% Senior Notes issued February 2020 and August 2020, the $400.0 million 4 7/8% Senior Notes issued in May 2020 and the $550.0 million 3 5/8% Senior Notes issued in January 2021.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indentures relating to Lamar Media’s outstanding notes restrict its ability to incur additional indebtedness, but permit the incurrence of indebtedness (including indebtedness under the senior credit facility), (i) if no default or event of default would result from such incurrence and (ii) if after giving effect to any such incurrence, the leverage ratio (defined as the sum of (x) total consolidated debt plus (y) the aggregate liquidation preference of any preferred stock of Lamar Media’s restricted subsidiaries to trailing four fiscal quarter EBITDA (as defined in the indentures)) would be less than 7.0 to 1.0. Currently, Lamar Media is not in default under the indentures of any of its outstanding notes and, therefore, would be permitted to incur additional indebtedness subject to the foregoing provision.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debt incurred under the provisions described in the preceding paragraph, the indentures relating to Lamar Media’s outstanding notes permit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Lamar Media to incur indebtedness pursuant to the following baskets:</w:t>
      </w:r>
    </w:p>
    <w:p>
      <w:pPr>
        <w:spacing w:after="0" w:line="103"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$2.0 billion of indebtedness under the senior credit facility;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indebtedness outstanding on the date of the indentures or debt incurred to refinance outstanding debt;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inter-company debt between Lamar Media and its restricted subsidiaries or between restricted subsidiaries;</w:t>
      </w:r>
    </w:p>
    <w:p>
      <w:pPr>
        <w:spacing w:after="0" w:line="117" w:lineRule="exact"/>
        <w:rPr>
          <w:rFonts w:ascii="Arial" w:cs="Arial" w:eastAsia="Arial" w:hAnsi="Arial"/>
          <w:sz w:val="18"/>
          <w:szCs w:val="18"/>
          <w:color w:val="auto"/>
        </w:rPr>
      </w:pPr>
    </w:p>
    <w:p>
      <w:pPr>
        <w:ind w:left="130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certain purchase money indebtedness and capitalized lease obligations to acquire or lease property in the ordinary course of business that cannot exceed the greater of $50.0 million or 5% of Lamar Media’s net tangible assets;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debt not to exceed $75.0 million;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 to $500.0 million of permitted securitization financings.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Restrictions Under Senior Credit Facility. </w:t>
      </w:r>
      <w:r>
        <w:rPr>
          <w:rFonts w:ascii="Arial" w:cs="Arial" w:eastAsia="Arial" w:hAnsi="Arial"/>
          <w:sz w:val="18"/>
          <w:szCs w:val="18"/>
          <w:color w:val="auto"/>
        </w:rPr>
        <w:t>Lamar Media is required to comply with certain covenants and restrictions under the senior credit facility.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Lamar Media fails to comply with these tests, the lenders under the senior credit facility will be entitled to exercise certain remedies, including the termination of the lending commitments and the acceleration of the debt payments under the senior credit facility. At June 30, 2021 we were, and currently, we are, in compliance with all such tests under the senior credit facility.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Lamar Media must maintain a secured debt ratio, defined as total consolidated secured debt of Lamar Advertising, Lamar Media and its restricted subsidiaries (including capital lease obligations), minus the lesser of (x) $150.0 million and (y) the aggregate amount of unrestricted cash and cash equivalents of Lamar Advertising, Lamar Media and its restricted subsidiaries (other than the Special Purpose Subsidiaries (as defined above under </w:t>
      </w:r>
      <w:r>
        <w:rPr>
          <w:rFonts w:ascii="Arial" w:cs="Arial" w:eastAsia="Arial" w:hAnsi="Arial"/>
          <w:sz w:val="18"/>
          <w:szCs w:val="18"/>
          <w:i w:val="1"/>
          <w:iCs w:val="1"/>
          <w:color w:val="auto"/>
        </w:rPr>
        <w:t>Sources</w:t>
      </w:r>
      <w:r>
        <w:rPr>
          <w:rFonts w:ascii="Arial" w:cs="Arial" w:eastAsia="Arial" w:hAnsi="Arial"/>
          <w:sz w:val="18"/>
          <w:szCs w:val="18"/>
          <w:color w:val="auto"/>
        </w:rPr>
        <w:t xml:space="preserve"> </w:t>
      </w:r>
      <w:r>
        <w:rPr>
          <w:rFonts w:ascii="Arial" w:cs="Arial" w:eastAsia="Arial" w:hAnsi="Arial"/>
          <w:sz w:val="18"/>
          <w:szCs w:val="18"/>
          <w:i w:val="1"/>
          <w:iCs w:val="1"/>
          <w:color w:val="auto"/>
        </w:rPr>
        <w:t>of Cash – Accounts Receivable Securitization Program</w:t>
      </w:r>
      <w:r>
        <w:rPr>
          <w:rFonts w:ascii="Arial" w:cs="Arial" w:eastAsia="Arial" w:hAnsi="Arial"/>
          <w:sz w:val="18"/>
          <w:szCs w:val="18"/>
          <w:color w:val="auto"/>
        </w:rPr>
        <w:t>)) to EBITDA, as defined below, for the period of four consecutive fiscal quarters then ended, of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or equal to 4.5 to 1.0.</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Lamar Media is restricted from incurring additional indebtedness subject to exceptions, one of which is that it may incur additional indebtedness not exceeding the greater of $250.0 million or 6% of its total assets.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Lamar Media is also restricted from incurring additional unsecured senior indebtedness under certain circumstances unless, after giving effect to the incurrence of such indebtedness, Lamar Media would have a total debt ratio, defined as (a) total consolidated debt (including subordinated debt) of Lamar Advertising, Lamar Media and its restricted subsidiaries as of any date minus the lesser of (i) $150.0 million and (ii) the aggregate amount of unrestricted cash and cash equivalents of Lamar Advertising, Lamar Media and its restricted subsidiaries (other than the Special Purpose Subsidiaries) to (b) EBITDA, as defined below, for the most recent four fiscal quarters then ended, is less than 7.0 to 1.0.</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Lamar Media is also restricted from incurring additional subordinated indebtedness under certain circumstances unless, after giving effect to the incurrence of such indebtedness, it is in compliance with the secured debt ratio covenant and its total debt ratio is less than 7.0 to 1.0.</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Under the Fourth Amended and Restated Senior Credit Facility, as amended, “EBITDA” means, for any period, net income, plus (a) to the extent deducted in determining net income for such period, the sum determined without duplication and in accordance with GAAP, of (i) taxes, (ii) interest expense,</w:t>
      </w:r>
    </w:p>
    <w:p>
      <w:pPr>
        <w:spacing w:after="0" w:line="1" w:lineRule="exact"/>
        <w:rPr>
          <w:sz w:val="20"/>
          <w:szCs w:val="20"/>
          <w:color w:val="auto"/>
        </w:rPr>
      </w:pPr>
    </w:p>
    <w:p>
      <w:pPr>
        <w:jc w:val="both"/>
        <w:ind w:firstLine="8"/>
        <w:spacing w:after="0" w:line="248" w:lineRule="auto"/>
        <w:tabs>
          <w:tab w:leader="none" w:pos="3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depreciation, (iv) amortization, (v) any other non-cash income or charges accrued for such period, (vi) charges and expenses in connection with the senior credit facility, any actual or proposed acquisition, disposition or investment (excluding, in each case, purchases and sales of advertising space and operating assets in the ordinary course of business) and any actual or proposed offering of securities, incurrence or repayment of indebtedness (or amendment to any agreement relating to indebtedness), including any refinancing thereof, or recapitalization and (vii) any loss or gain relating to amounts paid or earned in cash prior to the stated settlement date of any swap agreement that has been reflected in operating income for such period) and (viii) any loss on sales of receivables and related assets to a Securitization Entity in connection with a Permitted Securitization Financing, plus (b) the amount of cost savings, operating expense reductions and other operating improvements or synergies projected by Lamar Media in good faith to be realized as a result of any acquisition, investment, merger, amalgamation or disposition within 18 months of any such acquisition, investment, merger, amalgamation or disposition, net of the amount of actual benefits realized during such period from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(a) the aggregate amount for all such cost savings, operating expense reductions and other operating improvements or synergies will not exceed an amount equal to 15% of EBITDA for the applicable four quarter period and (b) any such adjustment to EBITDA pursuant to this clause b may only take into account cost savings, operating expense reductions and other operating improvements or synergies that are (I) directly attributable to such acquisition, investment, merger, amalgamation or disposition, (II) expected to have a continuing impact on Lamar Media and its restricted subsidiaries and (III) factually supportable, in each case all as certified by the chief financial officer of Lamar Media) on behalf of Lamar Media, and excluding minus (c) to the extent included in net income for such period (determined without duplication and in accordance with GAAP) (i) any extraordinary and unusual gains or losses during such period, and (ii) the proceeds of any casualty events and dispositions. For purposes hereof, the effect thereon of any adjustments required under Statement of Financial Accounting Standards No. 141R shall be excluded. If during any period for which EBITDA is being determined, we have consummated any acquisition or disposition, EBITDA will be determined on a pro forma basis as if such acquisition or disposition had been made or consummated on the first day of such period.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senior credit facility, “net income” means for any period, the consolidated net income (or loss) of Lamar Advertising, us, and our restricted subsidiaries, determined on a consolidated basis in accordance with GAAP; provided that following is excluded from net income: the (a) the income (or deficit) of any person accrued prior to the date it becomes a restricted subsidiary or is merged into or consolidated with Lamar Advertising, us or any of our restricted subsidiaries, and (b) the income (or deficit) of any person (other than any of our restricted subsidiaries) in which Lamar Advertising, we or any of our subsidiaries has an ownership interest, except to the extent that any such income is received by Lamar Advertising, us or any of our restricted subsidiaries in the form of dividends or similar distributions.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believes that its current level of cash on hand, availability under the senior credit facility and future cash flows from operations are sufficient to meet its operating needs for the next twelve months. All debt obligations are reflected on the Company’s balance sheet.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Restrictions under Accounts Receivable Securitization Program. </w:t>
      </w:r>
      <w:r>
        <w:rPr>
          <w:rFonts w:ascii="Arial" w:cs="Arial" w:eastAsia="Arial" w:hAnsi="Arial"/>
          <w:sz w:val="18"/>
          <w:szCs w:val="18"/>
          <w:color w:val="auto"/>
        </w:rPr>
        <w:t>The agreements governing the Accounts Receivable Securitization Program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customary representations and warranties, affirmative and negative covenants, and termination event provisions, including but not limited to those providing for the acceleration of amounts owed under the Accounts Receivable Securitization Program if, among other things, the Special Purpose Subsidiaries fail to make payments when due, Lamar Media, the Subsidiary Originators or the Special Purpose Subsidiaries become insolvent or subject to bankruptcy proceedings or certain judicial judgments, breach certain representations and warranties or covenants or default under other material indebtedness, a change of control occurs, or if Lamar Media fails to maintain the maximum secured debt ratio of 4.5 to 1.0 required under Lamar Media’s senior credit facility.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excluding acquisitions, were approximately $41.4 million for the six months ended June 30, 2021.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our 2021 total capital expenditures to be approximately $135.0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six months ended June 30, 2021, the Company completed acquisitions for an aggregate purchase price of approximately $27.2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which were financed using available cash on hand.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On July 12, 2021, Lamar acquired a minority stake in Vistar Media ("Vistar"), a leading global provider of programmatic technology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out-of-home sector. Management believes that Lamar’s investment of $30.0 million will help Vistar strengthen its balance sheet, expand its research and development and extend its reach into new markets. Lamar will receive a seat on Vistar’s Board of Directors.</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Note Redemption. </w:t>
      </w:r>
      <w:r>
        <w:rPr>
          <w:rFonts w:ascii="Arial" w:cs="Arial" w:eastAsia="Arial" w:hAnsi="Arial"/>
          <w:sz w:val="17"/>
          <w:szCs w:val="17"/>
          <w:color w:val="auto"/>
        </w:rPr>
        <w:t>On February 3, 2021, the Company redeemed in full all $650.0 million aggregate principal amount 5 3/4% Senior Notes due 2026. The 5</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3/4% Senior Notes redemption was completed using the proceeds received from the 3 5/8% Senior Notes offering completed on January 22, 2021, together with cash on hand and borrowings under the revolving credit facility and Accounts Receivable Securitization Program. The notes were redeemed at a redemption price equal to 102.875% of the aggregate principal amount of the outstanding notes, plus accrued and unpaid interest to (but not including) the redemption date. During the six months ended June 30, 2021, the Company recorded a loss on debt extinguishment of approximately $21.6 million related to the note redemption. See </w:t>
      </w:r>
      <w:r>
        <w:rPr>
          <w:rFonts w:ascii="Arial" w:cs="Arial" w:eastAsia="Arial" w:hAnsi="Arial"/>
          <w:sz w:val="17"/>
          <w:szCs w:val="17"/>
          <w:i w:val="1"/>
          <w:iCs w:val="1"/>
          <w:color w:val="auto"/>
        </w:rPr>
        <w:t>Sources of Cash- Note Offerings</w:t>
      </w:r>
      <w:r>
        <w:rPr>
          <w:rFonts w:ascii="Arial" w:cs="Arial" w:eastAsia="Arial" w:hAnsi="Arial"/>
          <w:sz w:val="17"/>
          <w:szCs w:val="17"/>
          <w:color w:val="auto"/>
        </w:rPr>
        <w:t xml:space="preserve"> for more information.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On February 25, 2021, the Company's Board of Directors declared a quarterly cash dividend of $0.75 per share, paid on March 31, 2021 to its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of record of its Class A common stock and Class B common stock on March 22, 2021. On May 20, 2021, the Company's Board of Directors declared a quarterly cash dividend of $0.75 per share, paid on June 30, 2021 to its stockholders of record of its Class A common stock and Class B common stock on June 21, 2021. Subject to approval of the Company's Board of Directors, the Company expects to increase its quarterly dividend to $1.00 per share of common stock for the upcoming third and fourth quarter 2021 distributions to stockholders.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REIT, the Company must annually distribute to its stockholders an amount equal to at least 90% of its REIT taxable income (determined before the deduction for distributed earnings and excluding any net capital gain). The amount, timing and frequency of future distributions will be at the sole discretion of the Board of Directors and will be declared based upon various factors, a number of which may be beyond the Company’s control, including financial condition and operating cash flows, the amount required to maintain REIT status and reduce any income and excise taxes that the Company otherwise would be required to pay, limitations on distributions in our existing and future debt instruments, the Company’s ability to utilize net operating losses to offset, in whole or in part, the Company’s distribution requirements, limitations on its ability to fund distributions using cash generated through its Taxable REIT Subsidiaries (“TRSs”), the impact of COVID-19 on the Company’s operations and other factors that the Board of Directors may deem relevant.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Special Purpose Acquisition Company. </w:t>
      </w:r>
      <w:r>
        <w:rPr>
          <w:rFonts w:ascii="Arial" w:cs="Arial" w:eastAsia="Arial" w:hAnsi="Arial"/>
          <w:sz w:val="18"/>
          <w:szCs w:val="18"/>
          <w:color w:val="auto"/>
        </w:rPr>
        <w:t>On April 6, 2021, Lamar Partnering Corporation (“LPC”), a newly formed special purpose acquisition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wholly-owned subsidiary of the Company, filed a Registration Statement on Form S-1, with the Securities and Exchange Commission. Subject to market conditions, LPC’s proposed public offering is expected to have a base offering size of $300.0 million, or up to $345.0 million if the underwriters’ over-allotment is exercised in full. The Company, through an indirect wholly-owned subsidiary, would own approximately 20% of LPC’s issued and outstanding ordinary shares upon the consummation of the proposed offering. The Company intends to commit to acquire up to $100.0 million of forward purchase units in a forward purchase agreement that would close concurrently with LPC’s consummation of an initial business combination. As of June 30, 2021, the Company incurred $0.7 million in deferred offering costs related to the proposed offering, which is included in other assets on our Condensed Consolidated Balance Sheet.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Stock and Debt Repurchasing Program. </w:t>
      </w:r>
      <w:r>
        <w:rPr>
          <w:rFonts w:ascii="Arial" w:cs="Arial" w:eastAsia="Arial" w:hAnsi="Arial"/>
          <w:sz w:val="16"/>
          <w:szCs w:val="16"/>
          <w:color w:val="auto"/>
        </w:rPr>
        <w:t>On March 16, 2020, the Company’s Board of Directors authorized the repurchase of up to $250.0 million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Class A common stock. Additionally, the Board of Directors has authorized Lamar Media to repurchase up to $250.0 million in outstanding senior or senior subordinated notes and other indebtedness outstanding from time to time under its senior credit agreement. The repurchase program will expire on September 30, 2021 unless extended by the Board of Directors. There were no repurchases under the program as of June 30, 2021. The Company’s management may opt not to make any repurchases under the program, or may make aggregate purchases less than the total amount authorized.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off-balance sheet commitments consist of guaranteed minimum payments to local transit municipalities and airport authorities for agreements which entitle us to rent advertising space to customers, in airports and on buses, benches or shelters.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As of June 30, 2021, we had outstanding debt of approximately $2.78 billion. In the future, Lamar Media has principal reduction obligations and revolver commitment reductions under the senior credit facility. In addition, it has fixed commercial commitments. These commitments are detailed on a contractual basis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1"/>
                <w:szCs w:val="11"/>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Less Than</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1 - 3 Years</w:t>
            </w:r>
          </w:p>
        </w:tc>
        <w:tc>
          <w:tcPr>
            <w:tcW w:w="22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5"/>
              </w:rPr>
              <w:t>1 Year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2,783.7</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2,659.9</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line="230" w:lineRule="exact"/>
              <w:rPr>
                <w:sz w:val="20"/>
                <w:szCs w:val="20"/>
                <w:color w:val="auto"/>
              </w:rPr>
            </w:pPr>
            <w:r>
              <w:rPr>
                <w:rFonts w:ascii="Arial" w:cs="Arial" w:eastAsia="Arial" w:hAnsi="Arial"/>
                <w:sz w:val="18"/>
                <w:szCs w:val="18"/>
                <w:color w:val="auto"/>
              </w:rPr>
              <w:t>Interest obligations on long-term debt</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176"/>
        </w:trPr>
        <w:tc>
          <w:tcPr>
            <w:tcW w:w="42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w w:val="95"/>
              </w:rPr>
              <w:t>Billboard site, transit and other operating and financing</w:t>
            </w:r>
          </w:p>
        </w:tc>
        <w:tc>
          <w:tcPr>
            <w:tcW w:w="18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1,683.7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428.0</w:t>
            </w: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823.3</w:t>
            </w: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leases</w:t>
            </w: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 payments due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040" w:type="dxa"/>
            <w:vAlign w:val="bottom"/>
            <w:gridSpan w:val="7"/>
          </w:tcPr>
          <w:p>
            <w:pPr>
              <w:spacing w:after="0"/>
              <w:rPr>
                <w:sz w:val="20"/>
                <w:szCs w:val="20"/>
                <w:color w:val="auto"/>
              </w:rPr>
            </w:pPr>
            <w:r>
              <w:rPr>
                <w:rFonts w:ascii="Arial" w:cs="Arial" w:eastAsia="Arial" w:hAnsi="Arial"/>
                <w:sz w:val="16"/>
                <w:szCs w:val="16"/>
                <w:color w:val="auto"/>
              </w:rPr>
              <w:t>(1)  Interest rates on our variable rate instruments are assuming rates at the June 2021 levels.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Amount of Expiration Per Period</w:t>
            </w: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Other Commercial Commitments</w:t>
            </w:r>
          </w:p>
        </w:tc>
        <w:tc>
          <w:tcPr>
            <w:tcW w:w="180" w:type="dxa"/>
            <w:vAlign w:val="bottom"/>
          </w:tcPr>
          <w:p>
            <w:pPr>
              <w:spacing w:after="0"/>
              <w:rPr>
                <w:sz w:val="11"/>
                <w:szCs w:val="11"/>
                <w:color w:val="auto"/>
              </w:rPr>
            </w:pPr>
          </w:p>
        </w:tc>
        <w:tc>
          <w:tcPr>
            <w:tcW w:w="12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Total Amount</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Less Than 1</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1 - 3 Years</w:t>
            </w:r>
          </w:p>
        </w:tc>
        <w:tc>
          <w:tcPr>
            <w:tcW w:w="220" w:type="dxa"/>
            <w:vAlign w:val="bottom"/>
          </w:tcPr>
          <w:p>
            <w:pPr>
              <w:spacing w:after="0"/>
              <w:rPr>
                <w:sz w:val="11"/>
                <w:szCs w:val="11"/>
                <w:color w:val="auto"/>
              </w:rPr>
            </w:pPr>
          </w:p>
        </w:tc>
        <w:tc>
          <w:tcPr>
            <w:tcW w:w="12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3 - 5 Years</w:t>
            </w:r>
          </w:p>
        </w:tc>
        <w:tc>
          <w:tcPr>
            <w:tcW w:w="260" w:type="dxa"/>
            <w:vAlign w:val="bottom"/>
          </w:tcPr>
          <w:p>
            <w:pPr>
              <w:spacing w:after="0"/>
              <w:rPr>
                <w:sz w:val="11"/>
                <w:szCs w:val="11"/>
                <w:color w:val="auto"/>
              </w:rPr>
            </w:pPr>
          </w:p>
        </w:tc>
        <w:tc>
          <w:tcPr>
            <w:tcW w:w="10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88"/>
        </w:trPr>
        <w:tc>
          <w:tcPr>
            <w:tcW w:w="420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Committed</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200" w:type="dxa"/>
            <w:vAlign w:val="bottom"/>
            <w:shd w:val="clear" w:color="auto" w:fill="CFF0FC"/>
          </w:tcPr>
          <w:p>
            <w:pPr>
              <w:ind w:left="20"/>
              <w:spacing w:after="0" w:line="231" w:lineRule="exact"/>
              <w:rPr>
                <w:sz w:val="20"/>
                <w:szCs w:val="20"/>
                <w:color w:val="auto"/>
              </w:rPr>
            </w:pPr>
            <w:r>
              <w:rPr>
                <w:rFonts w:ascii="Arial" w:cs="Arial" w:eastAsia="Arial" w:hAnsi="Arial"/>
                <w:sz w:val="18"/>
                <w:szCs w:val="18"/>
                <w:color w:val="auto"/>
              </w:rPr>
              <w:t>Revolving Bank Facility</w:t>
            </w:r>
            <w:r>
              <w:rPr>
                <w:rFonts w:ascii="Arial" w:cs="Arial" w:eastAsia="Arial" w:hAnsi="Arial"/>
                <w:sz w:val="23"/>
                <w:szCs w:val="23"/>
                <w:color w:val="auto"/>
                <w:vertAlign w:val="superscript"/>
              </w:rPr>
              <w:t>(2)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200" w:type="dxa"/>
            <w:vAlign w:val="bottom"/>
          </w:tcPr>
          <w:p>
            <w:pPr>
              <w:ind w:left="20"/>
              <w:spacing w:after="0"/>
              <w:rPr>
                <w:sz w:val="20"/>
                <w:szCs w:val="20"/>
                <w:color w:val="auto"/>
              </w:rPr>
            </w:pPr>
            <w:r>
              <w:rPr>
                <w:rFonts w:ascii="Arial" w:cs="Arial" w:eastAsia="Arial" w:hAnsi="Arial"/>
                <w:sz w:val="18"/>
                <w:szCs w:val="18"/>
                <w:color w:val="auto"/>
              </w:rPr>
              <w:t>Standby Letters of Credit</w:t>
            </w:r>
            <w:r>
              <w:rPr>
                <w:rFonts w:ascii="Arial" w:cs="Arial" w:eastAsia="Arial" w:hAnsi="Arial"/>
                <w:sz w:val="23"/>
                <w:szCs w:val="23"/>
                <w:color w:val="auto"/>
                <w:vertAlign w:val="superscript"/>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Lamar Media had no outstanding borrowings under the revolving credit facility as of June 30, 2021.</w:t>
      </w:r>
    </w:p>
    <w:p>
      <w:pPr>
        <w:spacing w:after="0" w:line="113" w:lineRule="exact"/>
        <w:rPr>
          <w:rFonts w:ascii="Arial" w:cs="Arial" w:eastAsia="Arial" w:hAnsi="Arial"/>
          <w:sz w:val="16"/>
          <w:szCs w:val="16"/>
          <w:color w:val="auto"/>
        </w:rPr>
      </w:pPr>
    </w:p>
    <w:p>
      <w:pPr>
        <w:ind w:left="360" w:hanging="352"/>
        <w:spacing w:after="0"/>
        <w:tabs>
          <w:tab w:leader="none" w:pos="3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standby letters of credit are issued under the revolving credit facility and reduce the availability of the facility by the same amount.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discussion and analysis of our results of operations and liquidity and capital resources are based on our condensed consolidated financial statements, which have been prepared in accordance with GAAP. The preparation of these financial statements requires us to make estimates and judgments that affect the reported amounts of assets, liabilities, revenues and expenses. There have been no material changes to the critical accounting policies and estimates as previously disclosed in Item 7 of our 2020 Combined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Update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simplifies the accounting for income taxes by removing specific exceptions to the general principles in Topic 740 - Income Taxes. This guidance is effective for years beginning after December 15, 2020. The Company adopted this guidance on January 1, 2021 and the impact of the adoption is not material to the Company's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LAMAR MEDIA CORP.</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is a discussion of the consolidated financial condition and results of operations of Lamar Media for the three and six months ended June 30, 2021 and 2020. This discussion should be read in conjunction with the consolidated financial statements of Lamar Media and the related notes thereto.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2021 compared to six months ended June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$61.7 million or 8.2% to $815.9 million for the six months ended June 30, 2021 from $754.2 million for the same period in 2020. This increase was primarily attributable to an increase in billboard net revenues of $71.9 million offset by a decrease in transit net revenues, due to the effects of the ongoing COVID-19 pandemic, of $6.9 million, over the same period in 2020.</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2021, there was a $66.4 million increase in net revenues as compared to acquisition-adjusted net revenue for the six months ended June 30, 2020, which represents an increase of 8.9%. See “Reconciliations” below. The $66.4 million increase in revenue is primarily due to a $70.6 million increase in billboard net revenues offset by a decrease in transit net revenues, due to the effects of the ongoing COVID-19 pandemic, of $4.6 million over the same period in 2020.</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decreased $10.2 million, or 2.2%, to $458.0 million for the six months ended June 30, 2021 from $468.2 million in the same period in 2020. The $10.2 million decrease over the prior year is comprised of a $13.5 million decrease in total direct, general and administrative and corporate expenses (excluding stock-based compensation) primarily related to the operations of our outdoor advertising assets, offset by a $3.3 million increase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$4.9 million to $121.4 million for the six months ended June 30, 2021 as compared to $126.3 million for the same period in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Lamar Media recognized a gain on disposition of assets of $1.9 million, primarily resulting from transactions related to billboard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above factors, operating income increased by $75.2 million to $238.5 million for the six months ended June 30, 2021 as compared to $163.3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Lamar Media recognized a loss on debt extinguishment of $21.6 million for the six months ended June 30, 2021, a $3.4 million increase over the same period in 2020. The loss on debt extinguishment during the six months ended June 30, 2021 relates to the early repayment of our 5 3/4% Senior Notes during the period.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$17.5 million for the six months ended June 30, 2021 to $54.5 million as compared to $72.0 million for the six months ended June 30, 2020. The decrease is primarily related to Lamar Media's debt transactions completed in 2020 and 2021, as well as a reduction in our senior credit facility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and decrease in interest expense, offset by the increase in loss on extinguishment of debt, resulted in an $89.3 million increase in net income before income taxes. The effective tax rate for the six months ended June 30, 2021 was 2.6%, which differs from the federal statutory rate primarily due to our qualification for taxation as a REIT and adjustments for foreign items.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six months ended June 30, 2021 of $158.5 million, as compared to net income of $72.2 million for the same period in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net revenue, which adjusts our 2020 net revenue for the six months ended June 30, 2020 by adding to or subtracting from it the net revenue generated by the acquired or divested assets prior to our acquisition or divestiture of these assets for the same time frame that those assets were owned in the six months ended June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2020 reported net revenue to 2020 acquisition-adjusted net revenue for the six months ended June 30, as well as a comparison of 2020 acquisition-adjusted net revenue to 2021 reported net revenue for the six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Six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0" w:type="dxa"/>
            <w:vAlign w:val="bottom"/>
            <w:gridSpan w:val="6"/>
          </w:tcPr>
          <w:p>
            <w:pPr>
              <w:jc w:val="right"/>
              <w:ind w:right="85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31"/>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Reported net revenue</w:t>
            </w: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815,933</w:t>
            </w:r>
          </w:p>
        </w:tc>
        <w:tc>
          <w:tcPr>
            <w:tcW w:w="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754,221</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Acquisition net revenue</w:t>
            </w:r>
          </w:p>
        </w:tc>
        <w:tc>
          <w:tcPr>
            <w:tcW w:w="32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totals</w:t>
            </w:r>
          </w:p>
        </w:tc>
        <w:tc>
          <w:tcPr>
            <w:tcW w:w="3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815,933</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749,492</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Key Performance Indicators</w:t>
            </w:r>
          </w:p>
        </w:tc>
        <w:tc>
          <w:tcPr>
            <w:tcW w:w="3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0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Net Income/Adjusted EBITDA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20" w:type="dxa"/>
            <w:vAlign w:val="bottom"/>
          </w:tcPr>
          <w:p>
            <w:pPr>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4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Increase (Decrease)</w:t>
            </w:r>
          </w:p>
        </w:tc>
        <w:tc>
          <w:tcPr>
            <w:tcW w:w="1440" w:type="dxa"/>
            <w:vAlign w:val="bottom"/>
            <w:gridSpan w:val="3"/>
          </w:tcPr>
          <w:p>
            <w:pPr>
              <w:jc w:val="right"/>
              <w:ind w:right="55"/>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22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158,499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126,311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six months ended June 30, 2021 increased 25.0% to $366.5 million. The increase in adjusted EBITDA was primarily attributable to an increase in our gross margin (net revenue less direct advertising expense, exclusive of depreciation and amortization and capitalized contract fulfillment costs, net) of $75.5 million, as well as a decrease in total general and administrative and corporate expenses of $1.6 million, excluding the impact of stock-based compensation expense.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Income/FFO/AFFO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1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81"/>
        </w:trPr>
        <w:tc>
          <w:tcPr>
            <w:tcW w:w="5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6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55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3"/>
            <w:vMerge w:val="continue"/>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jc w:val="center"/>
              <w:ind w:right="134"/>
              <w:spacing w:after="0" w:line="107" w:lineRule="exact"/>
              <w:rPr>
                <w:sz w:val="20"/>
                <w:szCs w:val="20"/>
                <w:color w:val="auto"/>
              </w:rPr>
            </w:pPr>
            <w:r>
              <w:rPr>
                <w:rFonts w:ascii="Arial" w:cs="Arial" w:eastAsia="Arial" w:hAnsi="Arial"/>
                <w:sz w:val="12"/>
                <w:szCs w:val="12"/>
                <w:b w:val="1"/>
                <w:bCs w:val="1"/>
                <w:color w:val="auto"/>
              </w:rPr>
              <w:t>Increase</w:t>
            </w:r>
          </w:p>
        </w:tc>
        <w:tc>
          <w:tcPr>
            <w:tcW w:w="100" w:type="dxa"/>
            <w:vAlign w:val="bottom"/>
          </w:tcPr>
          <w:p>
            <w:pPr>
              <w:spacing w:after="0"/>
              <w:rPr>
                <w:sz w:val="9"/>
                <w:szCs w:val="9"/>
                <w:color w:val="auto"/>
              </w:rPr>
            </w:pPr>
          </w:p>
        </w:tc>
        <w:tc>
          <w:tcPr>
            <w:tcW w:w="1460" w:type="dxa"/>
            <w:vAlign w:val="bottom"/>
          </w:tcPr>
          <w:p>
            <w:pPr>
              <w:jc w:val="center"/>
              <w:spacing w:after="0" w:line="107" w:lineRule="exact"/>
              <w:rPr>
                <w:sz w:val="20"/>
                <w:szCs w:val="20"/>
                <w:color w:val="auto"/>
              </w:rPr>
            </w:pPr>
            <w:r>
              <w:rPr>
                <w:rFonts w:ascii="Arial" w:cs="Arial" w:eastAsia="Arial" w:hAnsi="Arial"/>
                <w:sz w:val="12"/>
                <w:szCs w:val="12"/>
                <w:b w:val="1"/>
                <w:bCs w:val="1"/>
                <w:color w:val="auto"/>
              </w:rPr>
              <w:t>Increase</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119.7 %</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115,815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120,453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272,804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520" w:type="dxa"/>
            <w:vAlign w:val="bottom"/>
          </w:tcPr>
          <w:p>
            <w:pPr>
              <w:ind w:left="20"/>
              <w:spacing w:after="0" w:line="176" w:lineRule="exact"/>
              <w:rPr>
                <w:sz w:val="20"/>
                <w:szCs w:val="20"/>
                <w:color w:val="auto"/>
              </w:rPr>
            </w:pPr>
            <w:r>
              <w:rPr>
                <w:rFonts w:ascii="Arial" w:cs="Arial" w:eastAsia="Arial" w:hAnsi="Arial"/>
                <w:sz w:val="18"/>
                <w:szCs w:val="18"/>
                <w:color w:val="auto"/>
              </w:rPr>
              <w:t>Adjustments for unconsolidated affiliates and</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six months ended June 30, 2021 increased from $189.9 million in 2020 to $272.8 million for the same period in 2021, an increase of 43.7%. AFFO for the six months ended June 30, 2021 increased 40.8% to $295.1 million as compared to $209.6 million for the same period in 2020. The increase in AFFO was primarily attributable to an increase in our gross margin (net revenue less direct advertising expense, exclusive of depreciation and amortization and capitalized contract fulfillment costs, net) as well as a decrease in total general and administrative and corporate expenses (excluding the effect of stock-based compensation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2021 compared to three months ended June 30, 2020</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increased $97.4 million or 28.0% to $445.1 million for the three months ended June 30, 2021 from $347.7 million for the same period in 2020. This increase was primarily attributable to an increase in billboard and transit net revenues of $93.2 million and $5.6 million, respectively, over the same period in 2020.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2021, there was a $99.7 million increase in net revenues as compared to acquisition-adjusted net revenue for the three months ended June 30, 2021, which represents an increase of 28.9%. See "Reconciliations" below. The $99.7 million increase in revenue is primarily due to a $92.5 million and $6.7 million increase in billboard and transit net revenues, respectively.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operating expenses, exclusive of depreciation and amortization and gain on disposition of assets, increased $18.4 million, or 8.4%, to $236.5 million for the three months ended June 30, 2021 from $218.1 million in the same period in 2020. The $18.4 million increase over the prior year is comprised of a $15.3 million increase in total direct, general and administrative and corporate expenses (excluding stock-based compensation) primarily related to the operations of our outdoor advertising assets, as well as a $3.1 million increase in stock-based compensation.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decreased $3.4 million to $60.6 million for the three months ended June 30, 2021 as compared to $64.0 million for the same period in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2021, Lamar Media recognized a gain on disposition of assets of $1.5 million, primarily resulting from transactions related to billboard locations.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Due to the above factors, operating income increased by $82.9 million to $149.4 million for the three months ended June 30, 2021 as compared to $66.6 million for the same period in 2020.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decreased $9.1 million for the three months ended June 30, 2021 to $26.4 million as compared to $35.4 million for the three months ended June 30, 2020. The decrease is primarily related to Lamar Media's debt transactions completed in 2020 and 2021, as well as a reduction in our senior credit facility interest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increase in operating income and decrease in interest expense resulted in a $91.9 million increase in net income before income taxes. The effective tax rate for the three months ended June 30, 2021 was 2.6%, which differs from the federal statutory rate primarily due to our qualification for taxation as a REIT and adjustments for foreign items.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above factors, Lamar Media recognized net income for the three months ended June 30, 2021 of $120.0 million, as compared to net income of $31.5 million for the same period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acquisitions occurring after December 31, 2019 have contributed to our net revenue results for the periods presented, we provide 2020 acquisition-adjusted revenue, which adjusts our 2020 net revenue for the three months ended June 30, 2021 by adding to or subtracting from it the net revenue generated by the acquired or divested assets prior to our acquisition or divestiture of these assets for the same time frame that those assets were owned in the three months ended June 30, 2021.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Reconciliations of 2020 reported net revenue to 2020 acquisition-adjusted net revenue for the three months ended June 30, as well as a comparison of 2020 acquisition-adjusted net revenue to 2021 reported net revenue for the three months ended June 30, are provided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and Comparison of Reported Net Revenue to Acquisition-Adjusted Net Revenue</w:t>
      </w:r>
    </w:p>
    <w:p>
      <w:pPr>
        <w:spacing w:after="0" w:line="247"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jc w:val="center"/>
        <w:ind w:left="846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4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36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revenue</w:t>
            </w:r>
          </w:p>
        </w:tc>
        <w:tc>
          <w:tcPr>
            <w:tcW w:w="51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445,052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Acquisition net revenue</w:t>
            </w:r>
          </w:p>
        </w:tc>
        <w:tc>
          <w:tcPr>
            <w:tcW w:w="4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48"/>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totals</w:t>
            </w:r>
          </w:p>
        </w:tc>
        <w:tc>
          <w:tcPr>
            <w:tcW w:w="48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345,324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Arial" w:cs="Arial" w:eastAsia="Arial" w:hAnsi="Arial"/>
                <w:sz w:val="18"/>
                <w:szCs w:val="18"/>
                <w:color w:val="auto"/>
              </w:rPr>
              <w:t>50</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40" w:type="dxa"/>
            <w:vAlign w:val="bottom"/>
          </w:tcPr>
          <w:p>
            <w:pPr>
              <w:spacing w:after="0"/>
              <w:rPr>
                <w:sz w:val="24"/>
                <w:szCs w:val="24"/>
                <w:color w:val="auto"/>
              </w:rPr>
            </w:pPr>
          </w:p>
        </w:tc>
        <w:tc>
          <w:tcPr>
            <w:tcW w:w="4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Income/Adjusted EBITDA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8"/>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62"/>
              <w:spacing w:after="0"/>
              <w:rPr>
                <w:sz w:val="20"/>
                <w:szCs w:val="20"/>
                <w:color w:val="auto"/>
              </w:rPr>
            </w:pPr>
            <w:r>
              <w:rPr>
                <w:rFonts w:ascii="Arial" w:cs="Arial" w:eastAsia="Arial" w:hAnsi="Arial"/>
                <w:sz w:val="14"/>
                <w:szCs w:val="14"/>
                <w:b w:val="1"/>
                <w:bCs w:val="1"/>
                <w:color w:val="auto"/>
              </w:rPr>
              <w:t>Percent of Increase</w:t>
            </w: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280.6 %</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Interest expense (income),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(9,081)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disposition of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60.5 %</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EBITDA for the three months ended June 30, 2021 increased 60.5% to $213.9 million. The increase in adjusted EBITDA was primarily attributable to an increase in our gross margin (net revenue less direct advertising expense, exclusive of depreciation and amortization and capitalized contract fulfillment costs, net) of $92.4 million, and was offset by an increase in total general and administrative and corporate expenses of $8.9 million, excluding the impact of stock-based compensation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Income/FFO/AFFO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8"/>
        </w:trPr>
        <w:tc>
          <w:tcPr>
            <w:tcW w:w="5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 of Increase</w:t>
            </w:r>
          </w:p>
        </w:tc>
        <w:tc>
          <w:tcPr>
            <w:tcW w:w="100" w:type="dxa"/>
            <w:vAlign w:val="bottom"/>
          </w:tcPr>
          <w:p>
            <w:pPr>
              <w:spacing w:after="0"/>
              <w:rPr>
                <w:sz w:val="16"/>
                <w:szCs w:val="16"/>
                <w:color w:val="auto"/>
              </w:rPr>
            </w:pPr>
          </w:p>
        </w:tc>
        <w:tc>
          <w:tcPr>
            <w:tcW w:w="1460" w:type="dxa"/>
            <w:vAlign w:val="bottom"/>
          </w:tcPr>
          <w:p>
            <w:pPr>
              <w:jc w:val="right"/>
              <w:ind w:right="62"/>
              <w:spacing w:after="0"/>
              <w:rPr>
                <w:sz w:val="20"/>
                <w:szCs w:val="20"/>
                <w:color w:val="auto"/>
              </w:rPr>
            </w:pPr>
            <w:r>
              <w:rPr>
                <w:rFonts w:ascii="Arial" w:cs="Arial" w:eastAsia="Arial" w:hAnsi="Arial"/>
                <w:sz w:val="14"/>
                <w:szCs w:val="14"/>
                <w:b w:val="1"/>
                <w:bCs w:val="1"/>
                <w:color w:val="auto"/>
              </w:rPr>
              <w:t>Percent of Increase</w:t>
            </w:r>
          </w:p>
        </w:tc>
      </w:tr>
      <w:tr>
        <w:trPr>
          <w:trHeight w:val="196"/>
        </w:trPr>
        <w:tc>
          <w:tcPr>
            <w:tcW w:w="55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(Decrease)</w:t>
            </w:r>
          </w:p>
        </w:tc>
      </w:tr>
      <w:tr>
        <w:trPr>
          <w:trHeight w:val="224"/>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88,499</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280.6 %</w:t>
            </w: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Depreciation and amortization related to real estate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or disposal of real estate, net of tax</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23"/>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176,605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92,208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91.5 %</w:t>
            </w: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Straight line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contract fulfillment costs,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portion of tax provision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Non-real estate related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costs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554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 maintenance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 for unconsolidated affiliates and non-controlling interest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r>
      <w:tr>
        <w:trPr>
          <w:trHeight w:val="248"/>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82,076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85.3 %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FFO for the three months ended June 30, 2021 increased from $92.2 million in 2020 to $176.6 million in 2021, an increase of 91.5%. AFFO for the three months ended June 30, 2021 increased 85.3% to $178.2 million as compared to $96.2 million for the same period in 2020. The increase in AFFO was primarily attributable to an increase in our gross margin (net revenue less direct advertising expense, exclusive of depreciation and amortization and capitalized contract fulfillment costs, net) as well as an increase in total general and administrative and corporate expenses (excluding the effect of stock-based compensation expense).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940"/>
        <w:spacing w:after="0" w:line="37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Lamar Advertising Company and Lamar Media Corp.</w:t>
      </w: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Lamar Advertising is exposed to interest rate risk in connection with variable rate debt instruments issued by its wholly owned subsidiary Lamar Media. The information below summarizes the Company’s interest rate risk associated with its principal variable rate debt instruments outstanding at June 30, 2021, and should be read in conjunction with Note 10 of the Notes to the Company’s Condensed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Lamar Media has variable-rate debt outstanding under its senior credit facility and its Accounts Receivable Securitization Program. Because interest rates may increase or decrease at any time, the Company is exposed to market risk as a result of the impact that changes in interest rates may have on the applicable borrowings outstanding. Increases in the interest rates applicable to these borrowings would result in increased interest expense and a reduction in the Company’s net income.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2021 there was approximately $721.1 million of indebtedness outstanding under the senior credit facility and the Accounts Receivable Securitization Program, or approximately 25.5% of the Company’s outstanding long-term debt on that date, bearing interest at variable rates. The aggregate interest expense for 2021 with respect to borrowings under the senior credit facility and the Accounts Receivable Securitization Program was $6.5 million, and the weighted average interest rate applicable to these borrowings during 2021 was 1.4%. Assuming that the weighted average interest rate was 200 basis points higher (that is 3.4% rather than 1.4%), then the Company’s 2021 interest expense would have increased by approximately $7.6 million for the six months ended June 30, 2021.</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attempts to mitigate the interest rate risk resulting from its variable interest rate long-term debt instruments by issuing fixed rate long-term debt instruments and maintaining a balance over time between the amount of the Company’s variable rate and fixed rate indebtedness. In addition, the Company has the capability under the senior credit facility to fix the interest applicable to its borrowings at an amount equal to Adjusted LIBO Rate or Adjusted Base Rate plus the applicable margin for periods of up to twelve months (in certain cases with the consent of the lenders), which would allow the Company to mitigate the impact of short-term fluctuations in market interest rates. In the event of an increase in interest rates, the Company may take further actions to mitigate its exposure. The Company cannot guarantee, however, that the actions that it may take to mitigate this risk will be feasible or that, if these actions are taken, that they will be effective.</w:t>
      </w:r>
    </w:p>
    <w:p>
      <w:pPr>
        <w:spacing w:after="0" w:line="2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and Lamar Media’s management, with the participation of the principal executive officer and principal financial officer of the Company and Lamar Media, have evaluated the effectiveness of the design and operation of the Company’s and Lamar Media’s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of the Company and Lamar Media concluded that these disclosure controls and procedures are effective and designed to ensure that the information required to be disclosed in the Company’s and Lamar Media’s reports filed or submitted under the Exchange Act is recorded, processed, summarized and reported within the requisite time periods.</w:t>
      </w:r>
    </w:p>
    <w:p>
      <w:pPr>
        <w:spacing w:after="0" w:line="272" w:lineRule="exact"/>
        <w:rPr>
          <w:sz w:val="20"/>
          <w:szCs w:val="20"/>
          <w:color w:val="auto"/>
        </w:rPr>
      </w:pPr>
    </w:p>
    <w:p>
      <w:pPr>
        <w:ind w:left="200" w:hanging="192"/>
        <w:spacing w:after="0"/>
        <w:tabs>
          <w:tab w:leader="none" w:pos="2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the internal control over financial reporting (as defined in Rules 13a-15(f) and 15d-15(f) under the Exchange Act) of the Company and Lamar Media identified in connection with the evaluation of the Company’s and Lamar Media’s internal control performed during the last fiscal quarter that has materially affected, or is reasonably likely to materially affect, the Company’s and Lamar Media’s internal control over financial reporting.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combined Annual Report on Form 10-K for the year ended December 31, 2020, which could adversely affect our business, financial condition, results of operations, cash flows, and the trading price of our Class A common stock. There have been no material changes to our risk factors since our combined Annual Report on Form 10-K for the year ended December 31, 2020.</w:t>
      </w:r>
    </w:p>
    <w:p>
      <w:pPr>
        <w:spacing w:after="0" w:line="291"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Exhibit</w:t>
            </w:r>
          </w:p>
        </w:tc>
        <w:tc>
          <w:tcPr>
            <w:tcW w:w="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660" w:type="dxa"/>
            <w:vAlign w:val="bottom"/>
            <w:gridSpan w:val="23"/>
            <w:vMerge w:val="restart"/>
          </w:tcPr>
          <w:p>
            <w:pPr>
              <w:ind w:left="210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3"/>
        </w:trPr>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660" w:type="dxa"/>
            <w:vAlign w:val="bottom"/>
            <w:gridSpan w:val="2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60" w:type="dxa"/>
            <w:vAlign w:val="bottom"/>
            <w:tcBorders>
              <w:top w:val="single" w:sz="8" w:color="auto"/>
            </w:tcBorders>
            <w:gridSpan w:val="25"/>
          </w:tcPr>
          <w:p>
            <w:pPr>
              <w:spacing w:after="0"/>
              <w:rPr>
                <w:rFonts w:ascii="Arial" w:cs="Arial" w:eastAsia="Arial" w:hAnsi="Arial"/>
                <w:sz w:val="18"/>
                <w:szCs w:val="18"/>
                <w:color w:val="0000FF"/>
                <w:w w:val="94"/>
              </w:rPr>
            </w:pPr>
            <w:hyperlink r:id="rId74">
              <w:r>
                <w:rPr>
                  <w:rFonts w:ascii="Arial" w:cs="Arial" w:eastAsia="Arial" w:hAnsi="Arial"/>
                  <w:sz w:val="18"/>
                  <w:szCs w:val="18"/>
                  <w:color w:val="0000FF"/>
                  <w:w w:val="94"/>
                </w:rPr>
                <w:t>Amended and Restated Certificate of Incorporation of Lamar Advertising Company (the “Company”), as filed with the Secretary of the</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4"/>
              </w:rPr>
            </w:pPr>
            <w:hyperlink r:id="rId74">
              <w:r>
                <w:rPr>
                  <w:rFonts w:ascii="Arial" w:cs="Arial" w:eastAsia="Arial" w:hAnsi="Arial"/>
                  <w:sz w:val="18"/>
                  <w:szCs w:val="18"/>
                  <w:color w:val="0000FF"/>
                  <w:w w:val="94"/>
                </w:rPr>
                <w:t>State of Delaware effective as of November 18, 2014. Previously filed as Exhibit 3.1 to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Borders>
              <w:bottom w:val="single" w:sz="8" w:color="0000FF"/>
            </w:tcBorders>
            <w:gridSpan w:val="3"/>
          </w:tcPr>
          <w:p>
            <w:pPr>
              <w:spacing w:after="0" w:line="15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(File No. 1-36756) filed on November 19, 2014 and incorporated herein by reference.</w:t>
              </w:r>
            </w:hyperlink>
          </w:p>
        </w:tc>
        <w:tc>
          <w:tcPr>
            <w:tcW w:w="3860" w:type="dxa"/>
            <w:vAlign w:val="bottom"/>
            <w:gridSpan w:val="2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5"/>
              </w:rPr>
            </w:pPr>
            <w:hyperlink r:id="rId75">
              <w:r>
                <w:rPr>
                  <w:rFonts w:ascii="Arial" w:cs="Arial" w:eastAsia="Arial" w:hAnsi="Arial"/>
                  <w:sz w:val="18"/>
                  <w:szCs w:val="18"/>
                  <w:color w:val="0000FF"/>
                  <w:w w:val="95"/>
                </w:rPr>
                <w:t>Certificate of Merger, effective as of November 18, 2014. Previously filed as Exhibit 3.2 to the Company’s Current Report on Form 8-</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3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K (File No. 1-36756) filed on November 19, 2014 and incorporated herein by reference.</w:t>
              </w:r>
            </w:hyperlink>
          </w:p>
        </w:tc>
        <w:tc>
          <w:tcPr>
            <w:tcW w:w="346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9"/>
              </w:rPr>
            </w:pPr>
            <w:hyperlink r:id="rId76">
              <w:r>
                <w:rPr>
                  <w:rFonts w:ascii="Arial" w:cs="Arial" w:eastAsia="Arial" w:hAnsi="Arial"/>
                  <w:sz w:val="18"/>
                  <w:szCs w:val="18"/>
                  <w:color w:val="0000FF"/>
                  <w:w w:val="99"/>
                </w:rPr>
                <w:t>Amended and Restated Certificate of Incorporation of Lamar Media Corp. (“Lamar Media”)  Previously filed as Exhibit 3.2 to the</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8"/>
              </w:rPr>
            </w:pPr>
            <w:hyperlink r:id="rId76">
              <w:r>
                <w:rPr>
                  <w:rFonts w:ascii="Arial" w:cs="Arial" w:eastAsia="Arial" w:hAnsi="Arial"/>
                  <w:sz w:val="18"/>
                  <w:szCs w:val="18"/>
                  <w:color w:val="0000FF"/>
                  <w:w w:val="98"/>
                </w:rPr>
                <w:t>Company’s Quarterly Report on Form 10-Q for the period ended March 31, 2007 (File No. 0-30242) filed on May 10, 2007 and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76">
              <w:r>
                <w:rPr>
                  <w:rFonts w:ascii="Arial" w:cs="Arial" w:eastAsia="Arial" w:hAnsi="Arial"/>
                  <w:sz w:val="18"/>
                  <w:szCs w:val="18"/>
                  <w:color w:val="0000FF"/>
                  <w:w w:val="89"/>
                </w:rPr>
                <w:t>incorporated herein by reference.</w:t>
              </w:r>
            </w:hyperlink>
          </w:p>
        </w:tc>
        <w:tc>
          <w:tcPr>
            <w:tcW w:w="752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Amended and Restated Bylaws of the Company, adopted as of November 18, 2014. Previously filed as Exhibit 3.3 to the Company’s</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Current Report on Form 8-K (File No. 1-36756) filed on November 19, 2014 and incorporated herein by reference.</w:t>
              </w:r>
            </w:hyperlink>
          </w:p>
        </w:tc>
        <w:tc>
          <w:tcPr>
            <w:tcW w:w="154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5"/>
              </w:rPr>
            </w:pPr>
            <w:hyperlink r:id="rId78">
              <w:r>
                <w:rPr>
                  <w:rFonts w:ascii="Arial" w:cs="Arial" w:eastAsia="Arial" w:hAnsi="Arial"/>
                  <w:sz w:val="18"/>
                  <w:szCs w:val="18"/>
                  <w:color w:val="0000FF"/>
                  <w:w w:val="95"/>
                </w:rPr>
                <w:t>Amended and Restated Bylaws of Lamar Media. Previously filed as Exhibit 3.1 to Lamar Media’s Quarterly Report on Form 10-Q for</w:t>
              </w:r>
            </w:hyperlink>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the period ended September 30, 1999 (File No. 1-12407) filed on November 12, 1999 and incorporated herein by reference.</w:t>
              </w:r>
            </w:hyperlink>
          </w:p>
        </w:tc>
        <w:tc>
          <w:tcPr>
            <w:tcW w:w="10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Agreement of Resignation, Appointment and Acceptance, dated as of June 14, 2021, by and among Lamar Media Corp., as issuer, U.S.</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98"/>
              </w:rPr>
            </w:pPr>
            <w:hyperlink r:id="rId79">
              <w:r>
                <w:rPr>
                  <w:rFonts w:ascii="Arial" w:cs="Arial" w:eastAsia="Arial" w:hAnsi="Arial"/>
                  <w:sz w:val="18"/>
                  <w:szCs w:val="18"/>
                  <w:color w:val="0000FF"/>
                  <w:w w:val="98"/>
                </w:rPr>
                <w:t>Bank National Association, as successor trustee, and The Bank of New York Mellon Trust Company, N.A., as resigning trustee.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0" w:type="dxa"/>
            <w:vAlign w:val="bottom"/>
            <w:tcBorders>
              <w:bottom w:val="single" w:sz="8" w:color="0000FF"/>
            </w:tcBorders>
            <w:gridSpan w:val="22"/>
          </w:tcPr>
          <w:p>
            <w:pPr>
              <w:spacing w:after="0" w:line="156" w:lineRule="exact"/>
              <w:rPr>
                <w:rFonts w:ascii="Arial" w:cs="Arial" w:eastAsia="Arial" w:hAnsi="Arial"/>
                <w:sz w:val="18"/>
                <w:szCs w:val="18"/>
                <w:color w:val="0000FF"/>
              </w:rPr>
            </w:pPr>
            <w:hyperlink r:id="rId79">
              <w:r>
                <w:rPr>
                  <w:rFonts w:ascii="Arial" w:cs="Arial" w:eastAsia="Arial" w:hAnsi="Arial"/>
                  <w:sz w:val="18"/>
                  <w:szCs w:val="18"/>
                  <w:color w:val="0000FF"/>
                </w:rPr>
                <w:t>Previously filed as Exhibit 4.1 to the Company’s Current Report on Form 8-K (File No. 1-36756) filed on June 21, 2021 and</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Borders>
              <w:bottom w:val="single" w:sz="8" w:color="0000FF"/>
            </w:tcBorders>
            <w:gridSpan w:val="2"/>
          </w:tcPr>
          <w:p>
            <w:pPr>
              <w:spacing w:after="0" w:line="156" w:lineRule="exact"/>
              <w:rPr>
                <w:rFonts w:ascii="Arial" w:cs="Arial" w:eastAsia="Arial" w:hAnsi="Arial"/>
                <w:sz w:val="18"/>
                <w:szCs w:val="18"/>
                <w:color w:val="0000FF"/>
                <w:w w:val="89"/>
              </w:rPr>
            </w:pPr>
            <w:hyperlink r:id="rId79">
              <w:r>
                <w:rPr>
                  <w:rFonts w:ascii="Arial" w:cs="Arial" w:eastAsia="Arial" w:hAnsi="Arial"/>
                  <w:sz w:val="18"/>
                  <w:szCs w:val="18"/>
                  <w:color w:val="0000FF"/>
                  <w:w w:val="89"/>
                </w:rPr>
                <w:t>incorporated herein by reference.</w:t>
              </w:r>
            </w:hyperlink>
          </w:p>
        </w:tc>
        <w:tc>
          <w:tcPr>
            <w:tcW w:w="7620" w:type="dxa"/>
            <w:vAlign w:val="bottom"/>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6"/>
              </w:rPr>
            </w:pPr>
            <w:hyperlink r:id="rId80">
              <w:r>
                <w:rPr>
                  <w:rFonts w:ascii="Arial" w:cs="Arial" w:eastAsia="Arial" w:hAnsi="Arial"/>
                  <w:sz w:val="18"/>
                  <w:szCs w:val="18"/>
                  <w:color w:val="0000FF"/>
                  <w:w w:val="96"/>
                </w:rPr>
                <w:t>Fifth Amendment to the Receivables Financing Agreement, dated as of May 24, 2021, among Lamar Media, as Initial Servicer, the</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40" w:type="dxa"/>
            <w:vAlign w:val="bottom"/>
            <w:tcBorders>
              <w:top w:val="single" w:sz="8" w:color="0000FF"/>
            </w:tcBorders>
            <w:gridSpan w:val="10"/>
          </w:tcPr>
          <w:p>
            <w:pPr>
              <w:spacing w:after="0" w:line="169"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SPEs, as Borrowers, and PNC Bank, National Association, as Administrative Agent and a Lender. Previously filed as Exhibit 10.1</w:t>
              </w:r>
            </w:hyperlink>
          </w:p>
        </w:tc>
        <w:tc>
          <w:tcPr>
            <w:tcW w:w="620" w:type="dxa"/>
            <w:vAlign w:val="bottom"/>
            <w:gridSpan w:val="15"/>
          </w:tcPr>
          <w:p>
            <w:pPr>
              <w:spacing w:after="0" w:line="169" w:lineRule="exact"/>
              <w:rPr>
                <w:rFonts w:ascii="Arial" w:cs="Arial" w:eastAsia="Arial" w:hAnsi="Arial"/>
                <w:sz w:val="18"/>
                <w:szCs w:val="18"/>
                <w:color w:val="0000FF"/>
              </w:rPr>
            </w:pPr>
            <w:hyperlink r:id="rId80">
              <w:r>
                <w:rPr>
                  <w:rFonts w:ascii="Arial" w:cs="Arial" w:eastAsia="Arial" w:hAnsi="Arial"/>
                  <w:sz w:val="18"/>
                  <w:szCs w:val="18"/>
                  <w:color w:val="0000FF"/>
                </w:rPr>
                <w:t>to</w:t>
              </w:r>
            </w:hyperlink>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the Company’s Current Report on Form 8-K (File No. 1-36756) filed on May 28, 2021 and incorporated herein by reference.</w:t>
              </w:r>
            </w:hyperlink>
          </w:p>
        </w:tc>
        <w:tc>
          <w:tcPr>
            <w:tcW w:w="580" w:type="dxa"/>
            <w:vAlign w:val="bottom"/>
            <w:tcBorders>
              <w:top w:val="single" w:sz="8" w:color="0000FF"/>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6"/>
              </w:rPr>
            </w:pPr>
            <w:hyperlink w:anchor="page56">
              <w:r>
                <w:rPr>
                  <w:rFonts w:ascii="Arial" w:cs="Arial" w:eastAsia="Arial" w:hAnsi="Arial"/>
                  <w:sz w:val="18"/>
                  <w:szCs w:val="18"/>
                  <w:color w:val="0000FF"/>
                  <w:w w:val="96"/>
                </w:rPr>
                <w:t>Certification of the Chief Executive Officer of the Company and Lamar Media pursuant to Securities Exchange Act Rules 13a-14(a)</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3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0"/>
              </w:rPr>
            </w:pPr>
            <w:hyperlink w:anchor="page56">
              <w:r>
                <w:rPr>
                  <w:rFonts w:ascii="Arial" w:cs="Arial" w:eastAsia="Arial" w:hAnsi="Arial"/>
                  <w:sz w:val="18"/>
                  <w:szCs w:val="18"/>
                  <w:color w:val="0000FF"/>
                  <w:w w:val="90"/>
                </w:rPr>
                <w:t>and 15d-14(a) as adopted pursuant to Section 302 of the Sarbanes-Oxley Act of 2002. Filed herewith.</w:t>
              </w:r>
            </w:hyperlink>
          </w:p>
        </w:tc>
        <w:tc>
          <w:tcPr>
            <w:tcW w:w="2660" w:type="dxa"/>
            <w:vAlign w:val="bottom"/>
            <w:tcBorders>
              <w:top w:val="single" w:sz="8" w:color="0000FF"/>
            </w:tcBorders>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w w:val="93"/>
              </w:rPr>
            </w:pPr>
            <w:hyperlink w:anchor="page57">
              <w:r>
                <w:rPr>
                  <w:rFonts w:ascii="Arial" w:cs="Arial" w:eastAsia="Arial" w:hAnsi="Arial"/>
                  <w:sz w:val="18"/>
                  <w:szCs w:val="18"/>
                  <w:color w:val="0000FF"/>
                  <w:w w:val="93"/>
                </w:rPr>
                <w:t>Certification of the Chief Financial Officer of the Company and Lamar Media pursuant to Securities Exchange Act Rules 13a-14(a) and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15d-14(a) as adopted pursuant to Section 302 of the Sarbanes-Oxley Act of 2002. Filed herewith.</w:t>
              </w:r>
            </w:hyperlink>
          </w:p>
        </w:tc>
        <w:tc>
          <w:tcPr>
            <w:tcW w:w="2860" w:type="dxa"/>
            <w:vAlign w:val="bottom"/>
            <w:tcBorders>
              <w:top w:val="single" w:sz="8" w:color="0000FF"/>
            </w:tcBorders>
            <w:gridSpan w:val="11"/>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60" w:type="dxa"/>
            <w:vAlign w:val="bottom"/>
            <w:gridSpan w:val="25"/>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pursuant to 18 U.S.C. Section 1350 as adopted pursuant to Section 906 of the Sarbanes-Oxley Act of 2002. Filed</w:t>
              </w:r>
            </w:hyperlink>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58">
              <w:r>
                <w:rPr>
                  <w:rFonts w:ascii="Arial" w:cs="Arial" w:eastAsia="Arial" w:hAnsi="Arial"/>
                  <w:sz w:val="18"/>
                  <w:szCs w:val="18"/>
                  <w:color w:val="0000FF"/>
                </w:rPr>
                <w:t>herewith.</w:t>
              </w:r>
            </w:hyperlink>
          </w:p>
        </w:tc>
        <w:tc>
          <w:tcPr>
            <w:tcW w:w="26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1380" w:right="20" w:hanging="879"/>
        <w:spacing w:after="0" w:line="235" w:lineRule="auto"/>
        <w:tabs>
          <w:tab w:leader="none" w:pos="13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June 30, 2021, formatted in Inline XBRL: (i) Condensed Consolidated Balance Sheets, (ii) Condensed Consolidated Statements of Income and Comprehensive Income, (iii) Condensed Consolidated Statements of Stockholders' Equity, (iv) Condensed Consolidated Statements of Cash Flows, and</w:t>
      </w:r>
    </w:p>
    <w:p>
      <w:pPr>
        <w:spacing w:after="0" w:line="2" w:lineRule="exact"/>
        <w:rPr>
          <w:rFonts w:ascii="Arial" w:cs="Arial" w:eastAsia="Arial" w:hAnsi="Arial"/>
          <w:sz w:val="16"/>
          <w:szCs w:val="16"/>
          <w:color w:val="auto"/>
        </w:rPr>
      </w:pPr>
    </w:p>
    <w:p>
      <w:pPr>
        <w:ind w:left="1380"/>
        <w:spacing w:after="0"/>
        <w:rPr>
          <w:rFonts w:ascii="Arial" w:cs="Arial" w:eastAsia="Arial" w:hAnsi="Arial"/>
          <w:sz w:val="16"/>
          <w:szCs w:val="16"/>
          <w:color w:val="auto"/>
        </w:rPr>
      </w:pPr>
      <w:r>
        <w:rPr>
          <w:rFonts w:ascii="Arial" w:cs="Arial" w:eastAsia="Arial" w:hAnsi="Arial"/>
          <w:sz w:val="18"/>
          <w:szCs w:val="18"/>
          <w:color w:val="auto"/>
        </w:rPr>
        <w:t>(v) Notes to the Condensed Consolidated Financial Statements, tagged as blocks of text and including detailed tags.</w:t>
      </w:r>
    </w:p>
    <w:p>
      <w:pPr>
        <w:spacing w:after="0" w:line="115" w:lineRule="exact"/>
        <w:rPr>
          <w:sz w:val="20"/>
          <w:szCs w:val="20"/>
          <w:color w:val="auto"/>
        </w:rPr>
      </w:pPr>
    </w:p>
    <w:p>
      <w:pPr>
        <w:ind w:left="1380" w:hanging="879"/>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Date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each registrant has duly caused this report to be signed on its behalf by the undersigned thereunto duly authorized.</w:t>
      </w:r>
    </w:p>
    <w:p>
      <w:pPr>
        <w:spacing w:after="0" w:line="8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ADVERTISING COMPANY</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89"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LAMAR MEDIA CORP.</w:t>
      </w:r>
    </w:p>
    <w:p>
      <w:pPr>
        <w:spacing w:after="0" w:line="297" w:lineRule="exact"/>
        <w:rPr>
          <w:sz w:val="20"/>
          <w:szCs w:val="20"/>
          <w:color w:val="auto"/>
        </w:rPr>
      </w:pPr>
    </w:p>
    <w:p>
      <w:pPr>
        <w:ind w:left="20"/>
        <w:spacing w:after="0"/>
        <w:tabs>
          <w:tab w:leader="none" w:pos="4980" w:val="left"/>
          <w:tab w:leader="none" w:pos="610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575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25" w:right="3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Sean E. Reilly, certify that:</w:t>
      </w:r>
    </w:p>
    <w:p>
      <w:pPr>
        <w:spacing w:after="0" w:line="117"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Sean E.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Sean E. Reilly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Lamar Media Corp.</w:t>
      </w:r>
    </w:p>
    <w:p>
      <w:pPr>
        <w:sectPr>
          <w:pgSz w:w="11900" w:h="16838" w:orient="portrait"/>
          <w:cols w:equalWidth="0" w:num="1">
            <w:col w:w="11240"/>
          </w:cols>
          <w:pgMar w:left="320" w:top="121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L. Johnson, certify that:</w:t>
      </w:r>
    </w:p>
    <w:p>
      <w:pPr>
        <w:spacing w:after="0" w:line="117"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combined quarterly report on Form 10-Q of Lamar Advertising Company and Lamar Media Corp.;</w:t>
      </w:r>
    </w:p>
    <w:p>
      <w:pPr>
        <w:spacing w:after="0" w:line="117"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38" w:lineRule="exact"/>
        <w:rPr>
          <w:rFonts w:ascii="Arial" w:cs="Arial" w:eastAsia="Arial" w:hAnsi="Arial"/>
          <w:sz w:val="17"/>
          <w:szCs w:val="17"/>
          <w:color w:val="auto"/>
        </w:rPr>
      </w:pPr>
    </w:p>
    <w:p>
      <w:pPr>
        <w:ind w:left="660" w:right="120" w:hanging="65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75" w:lineRule="exact"/>
        <w:rPr>
          <w:rFonts w:ascii="Arial" w:cs="Arial" w:eastAsia="Arial" w:hAnsi="Arial"/>
          <w:sz w:val="18"/>
          <w:szCs w:val="18"/>
          <w:color w:val="auto"/>
        </w:rPr>
      </w:pPr>
    </w:p>
    <w:p>
      <w:pPr>
        <w:ind w:left="1220" w:right="200" w:hanging="564"/>
        <w:spacing w:after="0" w:line="286" w:lineRule="auto"/>
        <w:tabs>
          <w:tab w:leader="none" w:pos="1217"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registrants, including their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220" w:right="120" w:hanging="564"/>
        <w:spacing w:after="0" w:line="263" w:lineRule="auto"/>
        <w:tabs>
          <w:tab w:leader="none" w:pos="12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220" w:right="300" w:hanging="564"/>
        <w:spacing w:after="0" w:line="342" w:lineRule="auto"/>
        <w:tabs>
          <w:tab w:leader="none" w:pos="121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220" w:right="280" w:hanging="564"/>
        <w:spacing w:after="0" w:line="263" w:lineRule="auto"/>
        <w:tabs>
          <w:tab w:leader="none" w:pos="12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abilities to record, process, summarize and report financial information; and</w:t>
      </w:r>
    </w:p>
    <w:p>
      <w:pPr>
        <w:spacing w:after="0" w:line="15"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Jay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57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Jay L. Johnson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Advertising Company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 Lamar Media Corp.</w:t>
      </w:r>
    </w:p>
    <w:p>
      <w:pPr>
        <w:sectPr>
          <w:pgSz w:w="11900" w:h="16838" w:orient="portrait"/>
          <w:cols w:equalWidth="0" w:num="1">
            <w:col w:w="11240"/>
          </w:cols>
          <w:pgMar w:left="320" w:top="121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ADVERTISING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LAMAR MEDIA CORP.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of the undersigned officers of Lamar Advertising Company (“Lamar Advertising”) and Lamar Media Corp. (“Lamar Media”) certifies, to his knowledge and solely for the purposes of 18 U.S.C. Section 1350, as adopted pursuant to Section 906 of the Sarbanes-Oxley Act of 2002, that the combined Quarterly Report on Form 10-Q of Lamar Advertising and Lamar Media for the period ended June 30, 2021 fully complies with the requirements of Section 13(a) or 15(d) of the Securities Exchange Act of 1934 and that information contained in the combined Form 10-Q fairly presents, in all material respects, the financial condition and results of operations of Lamar Advertising and Lamar Media</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49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E. Reilly</w:t>
            </w:r>
          </w:p>
        </w:tc>
      </w:tr>
      <w:tr>
        <w:trPr>
          <w:trHeight w:val="222"/>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Sean E. Reilly</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Advertising Company</w:t>
            </w:r>
          </w:p>
        </w:tc>
      </w:tr>
      <w:tr>
        <w:trPr>
          <w:trHeight w:val="230"/>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Executive Officer, Lamar Media Corp.</w:t>
            </w:r>
          </w:p>
        </w:tc>
      </w:tr>
      <w:tr>
        <w:trPr>
          <w:trHeight w:val="405"/>
        </w:trPr>
        <w:tc>
          <w:tcPr>
            <w:tcW w:w="5960" w:type="dxa"/>
            <w:vAlign w:val="bottom"/>
          </w:tcPr>
          <w:p>
            <w:pPr>
              <w:spacing w:after="0"/>
              <w:rPr>
                <w:sz w:val="20"/>
                <w:szCs w:val="20"/>
                <w:color w:val="auto"/>
              </w:rPr>
            </w:pPr>
            <w:r>
              <w:rPr>
                <w:rFonts w:ascii="Arial" w:cs="Arial" w:eastAsia="Arial" w:hAnsi="Arial"/>
                <w:sz w:val="18"/>
                <w:szCs w:val="18"/>
                <w:color w:val="auto"/>
              </w:rPr>
              <w:t>Date: August 5, 2021</w:t>
            </w:r>
          </w:p>
        </w:tc>
        <w:tc>
          <w:tcPr>
            <w:tcW w:w="5120" w:type="dxa"/>
            <w:vAlign w:val="bottom"/>
          </w:tcPr>
          <w:p>
            <w:pPr>
              <w:spacing w:after="0"/>
              <w:rPr>
                <w:sz w:val="24"/>
                <w:szCs w:val="24"/>
                <w:color w:val="auto"/>
              </w:rPr>
            </w:pPr>
          </w:p>
        </w:tc>
      </w:tr>
      <w:tr>
        <w:trPr>
          <w:trHeight w:val="459"/>
        </w:trPr>
        <w:tc>
          <w:tcPr>
            <w:tcW w:w="5960" w:type="dxa"/>
            <w:vAlign w:val="bottom"/>
          </w:tcPr>
          <w:p>
            <w:pPr>
              <w:ind w:left="492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Jay L. Johnson</w:t>
            </w:r>
          </w:p>
        </w:tc>
      </w:tr>
      <w:tr>
        <w:trPr>
          <w:trHeight w:val="222"/>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Jay L. Johnson</w:t>
            </w:r>
          </w:p>
        </w:tc>
      </w:tr>
      <w:tr>
        <w:trPr>
          <w:trHeight w:val="229"/>
        </w:trPr>
        <w:tc>
          <w:tcPr>
            <w:tcW w:w="596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Advertising Company</w:t>
            </w:r>
          </w:p>
        </w:tc>
      </w:tr>
      <w:tr>
        <w:trPr>
          <w:trHeight w:val="230"/>
        </w:trPr>
        <w:tc>
          <w:tcPr>
            <w:tcW w:w="596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 Lamar Media Corp.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1."/>
      <w:numFmt w:val="decimal"/>
      <w:start w:val="7"/>
    </w:lvl>
  </w:abstractNum>
  <w:abstractNum w:abstractNumId="10">
    <w:nsid w:val="6763845E"/>
    <w:multiLevelType w:val="hybridMultilevel"/>
    <w:lvl w:ilvl="0">
      <w:lvlJc w:val="left"/>
      <w:lvlText w:val="%1."/>
      <w:numFmt w:val="decimal"/>
      <w:start w:val="8"/>
    </w:lvl>
  </w:abstractNum>
  <w:abstractNum w:abstractNumId="11">
    <w:nsid w:val="75A2A8D4"/>
    <w:multiLevelType w:val="hybridMultilevel"/>
    <w:lvl w:ilvl="0">
      <w:lvlJc w:val="left"/>
      <w:lvlText w:val="%1."/>
      <w:numFmt w:val="decimal"/>
      <w:start w:val="9"/>
    </w:lvl>
  </w:abstractNum>
  <w:abstractNum w:abstractNumId="12">
    <w:nsid w:val="8EDBDAB"/>
    <w:multiLevelType w:val="hybridMultilevel"/>
    <w:lvl w:ilvl="0">
      <w:lvlJc w:val="left"/>
      <w:lvlText w:val="%1."/>
      <w:numFmt w:val="decimal"/>
      <w:start w:val="10"/>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1"/>
    </w:lvl>
  </w:abstractNum>
  <w:abstractNum w:abstractNumId="15">
    <w:nsid w:val="B03E0C6"/>
    <w:multiLevelType w:val="hybridMultilevel"/>
    <w:lvl w:ilvl="0">
      <w:lvlJc w:val="left"/>
      <w:lvlText w:val="%1."/>
      <w:numFmt w:val="decimal"/>
      <w:start w:val="1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4"/>
    </w:lvl>
  </w:abstractNum>
  <w:abstractNum w:abstractNumId="18">
    <w:nsid w:val="71F32454"/>
    <w:multiLevelType w:val="hybridMultilevel"/>
    <w:lvl w:ilvl="0">
      <w:lvlJc w:val="left"/>
      <w:lvlText w:val="%1."/>
      <w:numFmt w:val="decimal"/>
      <w:start w:val="15"/>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lowerRoman"/>
      <w:start w:val="4"/>
    </w:lvl>
  </w:abstractNum>
  <w:abstractNum w:abstractNumId="26">
    <w:nsid w:val="737B8DDC"/>
    <w:multiLevelType w:val="hybridMultilevel"/>
    <w:lvl w:ilvl="0">
      <w:lvlJc w:val="left"/>
      <w:lvlText w:val="(%1)"/>
      <w:numFmt w:val="lowerRoman"/>
      <w:start w:val="7"/>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Roman"/>
      <w:start w:val="3"/>
    </w:lvl>
  </w:abstractNum>
  <w:abstractNum w:abstractNumId="29">
    <w:nsid w:val="4516DDE9"/>
    <w:multiLevelType w:val="hybridMultilevel"/>
    <w:lvl w:ilvl="0">
      <w:lvlJc w:val="left"/>
      <w:lvlText w:val="(%1)"/>
      <w:numFmt w:val="decimal"/>
      <w:start w:val="2"/>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decimal"/>
      <w:start w:val="101"/>
    </w:lvl>
  </w:abstractNum>
  <w:abstractNum w:abstractNumId="33">
    <w:nsid w:val="5577F8E1"/>
    <w:multiLevelType w:val="hybridMultilevel"/>
    <w:lvl w:ilvl="0">
      <w:lvlJc w:val="left"/>
      <w:lvlText w:val="%1"/>
      <w:numFmt w:val="decimal"/>
      <w:start w:val="104"/>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74" Type="http://schemas.openxmlformats.org/officeDocument/2006/relationships/hyperlink" Target="https://www.sec.gov/Archives/edgar/data/1090425/000119312514417756/d823054dex31.htm" TargetMode="External"/><Relationship Id="rId75" Type="http://schemas.openxmlformats.org/officeDocument/2006/relationships/hyperlink" Target="https://www.sec.gov/Archives/edgar/data/1090425/000119312514417756/d823054dex32.htm" TargetMode="External"/><Relationship Id="rId76" Type="http://schemas.openxmlformats.org/officeDocument/2006/relationships/hyperlink" Target="https://www.sec.gov/Archives/edgar/data/899045/000095013407011105/d46520exv3w2.htm" TargetMode="External"/><Relationship Id="rId77" Type="http://schemas.openxmlformats.org/officeDocument/2006/relationships/hyperlink" Target="https://www.sec.gov/Archives/edgar/data/1090425/000119312514417756/d823054dex33.htm" TargetMode="External"/><Relationship Id="rId78" Type="http://schemas.openxmlformats.org/officeDocument/2006/relationships/hyperlink" Target="https://www.sec.gov/Archives/edgar/data/899045/000095013499009877/0000950134-99-009877.txt" TargetMode="External"/><Relationship Id="rId79" Type="http://schemas.openxmlformats.org/officeDocument/2006/relationships/hyperlink" Target="https://www.sec.gov/Archives/edgar/data/899045/000119312521193497/d361202dex41.htm" TargetMode="External"/><Relationship Id="rId80" Type="http://schemas.openxmlformats.org/officeDocument/2006/relationships/hyperlink" Target="https://www.sec.gov/Archives/edgar/data/899045/000119312521176922/d17505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2021-08-05T10:26:39Z</dcterms:created>
  <dcterms:modified xsi:type="dcterms:W3CDTF">2021-08-05T10:26:39Z</dcterms:modified>
</cp:coreProperties>
</file>