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rPr/>
      </w:pPr>
      <w:hyperlink w:anchor="toc">
        <w:bookmarkStart w:id="0" w:name="d440239ddef14a.htm"/>
        <w:bookmarkStart w:id="1" w:name="ksd440239ddef14a"/>
        <w:bookmarkEnd w:id="0"/>
        <w:bookmarkEnd w:id="1"/>
        <w:r>
          <w:rPr>
            <w:rStyle w:val="InternetLink"/>
          </w:rPr>
          <w:t>Table of Contents</w:t>
        </w:r>
      </w:hyperlink>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spacing w:before="240" w:after="0"/>
        <w:jc w:val="center"/>
        <w:rPr>
          <w:rFonts w:ascii="Times New Roman" w:hAnsi="Times New Roman"/>
          <w:b/>
          <w:sz w:val="36"/>
          <w:highlight w:val="white"/>
        </w:rPr>
      </w:pPr>
      <w:r>
        <w:rPr>
          <w:rFonts w:ascii="Times New Roman" w:hAnsi="Times New Roman"/>
          <w:b/>
          <w:sz w:val="36"/>
          <w:highlight w:val="white"/>
        </w:rPr>
        <w:t xml:space="preserve">UNITED STATES </w:t>
      </w:r>
    </w:p>
    <w:p>
      <w:pPr>
        <w:pStyle w:val="TextBody"/>
        <w:spacing w:before="0" w:after="0"/>
        <w:jc w:val="center"/>
        <w:rPr>
          <w:rFonts w:ascii="Times New Roman" w:hAnsi="Times New Roman"/>
          <w:b/>
          <w:sz w:val="36"/>
          <w:highlight w:val="white"/>
        </w:rPr>
      </w:pPr>
      <w:r>
        <w:rPr>
          <w:rFonts w:ascii="Times New Roman" w:hAnsi="Times New Roman"/>
          <w:b/>
          <w:sz w:val="36"/>
          <w:highlight w:val="white"/>
        </w:rPr>
        <w:t xml:space="preserve">SECURITIES AND EXCHANGE COMMISSION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Washington, D.C. 20549 </w:t>
      </w:r>
    </w:p>
    <w:p>
      <w:pPr>
        <w:pStyle w:val="TextBody"/>
        <w:spacing w:before="360" w:after="0"/>
        <w:jc w:val="center"/>
        <w:rPr>
          <w:rFonts w:ascii="Times New Roman" w:hAnsi="Times New Roman"/>
          <w:b/>
          <w:sz w:val="36"/>
          <w:highlight w:val="white"/>
        </w:rPr>
      </w:pPr>
      <w:r>
        <w:rPr>
          <w:rFonts w:ascii="Times New Roman" w:hAnsi="Times New Roman"/>
          <w:b/>
          <w:sz w:val="36"/>
          <w:highlight w:val="white"/>
        </w:rPr>
        <w:t xml:space="preserve">SCHEDULE 14A </w:t>
      </w:r>
    </w:p>
    <w:p>
      <w:pPr>
        <w:pStyle w:val="TextBody"/>
        <w:spacing w:before="360" w:after="0"/>
        <w:jc w:val="center"/>
        <w:rPr>
          <w:rFonts w:ascii="Times New Roman" w:hAnsi="Times New Roman"/>
          <w:b/>
          <w:sz w:val="24"/>
          <w:highlight w:val="white"/>
        </w:rPr>
      </w:pPr>
      <w:r>
        <w:rPr>
          <w:rFonts w:ascii="Times New Roman" w:hAnsi="Times New Roman"/>
          <w:b/>
          <w:sz w:val="24"/>
          <w:highlight w:val="white"/>
        </w:rPr>
        <w:t xml:space="preserve">Proxy Statement Pursuant to Section 14(a) of the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Securities Exchange Act of 1934 </w:t>
      </w:r>
    </w:p>
    <w:p>
      <w:pPr>
        <w:pStyle w:val="TextBody"/>
        <w:spacing w:before="0" w:after="0"/>
        <w:jc w:val="center"/>
        <w:rPr>
          <w:rFonts w:ascii="Times New Roman" w:hAnsi="Times New Roman"/>
          <w:b/>
          <w:sz w:val="24"/>
          <w:highlight w:val="white"/>
        </w:rPr>
      </w:pPr>
      <w:r>
        <w:rPr>
          <w:rFonts w:ascii="Times New Roman" w:hAnsi="Times New Roman"/>
          <w:b/>
          <w:sz w:val="24"/>
          <w:highlight w:val="white"/>
        </w:rPr>
        <w:t xml:space="preserve">(Amendment No.    ) </w:t>
      </w:r>
    </w:p>
    <w:p>
      <w:pPr>
        <w:pStyle w:val="TextBody"/>
        <w:spacing w:before="480" w:after="0"/>
        <w:jc w:val="left"/>
        <w:rPr>
          <w:rFonts w:ascii="Times New Roman" w:hAnsi="Times New Roman"/>
          <w:sz w:val="20"/>
          <w:highlight w:val="white"/>
        </w:rPr>
      </w:pPr>
      <w:r>
        <w:rPr>
          <w:rFonts w:ascii="Times New Roman" w:hAnsi="Times New Roman"/>
          <w:sz w:val="20"/>
          <w:highlight w:val="white"/>
        </w:rPr>
        <w:t xml:space="preserve">Filed by the Registrant  ☒ </w:t>
      </w:r>
    </w:p>
    <w:p>
      <w:pPr>
        <w:pStyle w:val="TextBody"/>
        <w:spacing w:before="0" w:after="0"/>
        <w:jc w:val="left"/>
        <w:rPr>
          <w:rFonts w:ascii="Times New Roman" w:hAnsi="Times New Roman"/>
          <w:sz w:val="20"/>
          <w:highlight w:val="white"/>
        </w:rPr>
      </w:pPr>
      <w:r>
        <w:rPr>
          <w:rFonts w:ascii="Times New Roman" w:hAnsi="Times New Roman"/>
          <w:sz w:val="20"/>
          <w:highlight w:val="white"/>
        </w:rPr>
        <w:t>Filed by a Party other than the Registrant  ☐</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Check the appropriate box: </w:t>
      </w:r>
    </w:p>
    <w:p>
      <w:pPr>
        <w:pStyle w:val="TextBody"/>
        <w:spacing w:before="0" w:after="0"/>
        <w:jc w:val="left"/>
        <w:rPr>
          <w:highlight w:val="white"/>
        </w:rPr>
      </w:pPr>
      <w:r>
        <w:rPr>
          <w:highlight w:val="white"/>
        </w:rPr>
        <w:t> </w:t>
      </w:r>
    </w:p>
    <w:tbl>
      <w:tblPr>
        <w:tblW w:w="10029" w:type="dxa"/>
        <w:jc w:val="left"/>
        <w:tblInd w:w="0" w:type="dxa"/>
        <w:tblCellMar>
          <w:top w:w="0" w:type="dxa"/>
          <w:left w:w="0" w:type="dxa"/>
          <w:bottom w:w="0" w:type="dxa"/>
          <w:right w:w="0" w:type="dxa"/>
        </w:tblCellMar>
      </w:tblPr>
      <w:tblGrid>
        <w:gridCol w:w="245"/>
        <w:gridCol w:w="60"/>
        <w:gridCol w:w="2658"/>
        <w:gridCol w:w="2658"/>
        <w:gridCol w:w="4408"/>
      </w:tblGrid>
      <w:tr>
        <w:trPr/>
        <w:tc>
          <w:tcPr>
            <w:tcW w:w="2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58" w:type="dxa"/>
            <w:tcBorders/>
            <w:shd w:fill="auto" w:val="clear"/>
            <w:vAlign w:val="center"/>
          </w:tcPr>
          <w:p>
            <w:pPr>
              <w:pStyle w:val="TableContents"/>
              <w:spacing w:before="0" w:after="283"/>
              <w:rPr>
                <w:sz w:val="4"/>
                <w:szCs w:val="4"/>
              </w:rPr>
            </w:pPr>
            <w:r>
              <w:rPr>
                <w:sz w:val="4"/>
                <w:szCs w:val="4"/>
              </w:rPr>
            </w:r>
          </w:p>
        </w:tc>
        <w:tc>
          <w:tcPr>
            <w:tcW w:w="2658" w:type="dxa"/>
            <w:tcBorders/>
            <w:shd w:fill="auto" w:val="clear"/>
            <w:vAlign w:val="center"/>
          </w:tcPr>
          <w:p>
            <w:pPr>
              <w:pStyle w:val="TableContents"/>
              <w:spacing w:before="0" w:after="283"/>
              <w:rPr>
                <w:sz w:val="4"/>
                <w:szCs w:val="4"/>
              </w:rPr>
            </w:pPr>
            <w:r>
              <w:rPr>
                <w:sz w:val="4"/>
                <w:szCs w:val="4"/>
              </w:rPr>
            </w:r>
          </w:p>
        </w:tc>
        <w:tc>
          <w:tcPr>
            <w:tcW w:w="4408"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724" w:type="dxa"/>
            <w:gridSpan w:val="3"/>
            <w:tcBorders/>
            <w:shd w:fill="auto" w:val="clear"/>
            <w:vAlign w:val="center"/>
          </w:tcPr>
          <w:p>
            <w:pPr>
              <w:pStyle w:val="TableContents"/>
              <w:spacing w:before="0" w:after="283"/>
              <w:rPr/>
            </w:pPr>
            <w:r>
              <w:rPr/>
              <w:t>Preliminary Proxy Statement</w:t>
            </w:r>
          </w:p>
        </w:tc>
      </w:tr>
      <w:tr>
        <w:trPr/>
        <w:tc>
          <w:tcPr>
            <w:tcW w:w="245" w:type="dxa"/>
            <w:tcBorders/>
            <w:shd w:fill="auto" w:val="clear"/>
            <w:vAlign w:val="center"/>
          </w:tcPr>
          <w:p>
            <w:pPr>
              <w:pStyle w:val="TableContents"/>
              <w:spacing w:before="0" w:after="283"/>
              <w:rPr>
                <w:sz w:val="4"/>
                <w:szCs w:val="4"/>
              </w:rPr>
            </w:pPr>
            <w:r>
              <w:rPr>
                <w:sz w:val="4"/>
                <w:szCs w:val="4"/>
              </w:rPr>
            </w:r>
          </w:p>
        </w:tc>
        <w:tc>
          <w:tcPr>
            <w:tcW w:w="9784"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724" w:type="dxa"/>
            <w:gridSpan w:val="3"/>
            <w:tcBorders/>
            <w:shd w:fill="auto" w:val="clear"/>
            <w:vAlign w:val="center"/>
          </w:tcPr>
          <w:p>
            <w:pPr>
              <w:pStyle w:val="TableContents"/>
              <w:spacing w:before="0" w:after="0"/>
              <w:rPr>
                <w:b/>
                <w:spacing w:val="0"/>
              </w:rPr>
            </w:pPr>
            <w:r>
              <w:rPr>
                <w:b/>
                <w:spacing w:val="0"/>
              </w:rPr>
              <w:t>Confidential, for Use of the Commission Only (as permitted by Rule 14a-6(e)(2))</w:t>
            </w:r>
          </w:p>
        </w:tc>
      </w:tr>
      <w:tr>
        <w:trPr/>
        <w:tc>
          <w:tcPr>
            <w:tcW w:w="245" w:type="dxa"/>
            <w:tcBorders/>
            <w:shd w:fill="auto" w:val="clear"/>
            <w:vAlign w:val="center"/>
          </w:tcPr>
          <w:p>
            <w:pPr>
              <w:pStyle w:val="TableContents"/>
              <w:spacing w:before="0" w:after="283"/>
              <w:rPr>
                <w:sz w:val="4"/>
                <w:szCs w:val="4"/>
              </w:rPr>
            </w:pPr>
            <w:r>
              <w:rPr>
                <w:sz w:val="4"/>
                <w:szCs w:val="4"/>
              </w:rPr>
            </w:r>
          </w:p>
        </w:tc>
        <w:tc>
          <w:tcPr>
            <w:tcW w:w="9784"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724" w:type="dxa"/>
            <w:gridSpan w:val="3"/>
            <w:tcBorders/>
            <w:shd w:fill="auto" w:val="clear"/>
            <w:vAlign w:val="center"/>
          </w:tcPr>
          <w:p>
            <w:pPr>
              <w:pStyle w:val="TableContents"/>
              <w:spacing w:before="0" w:after="283"/>
              <w:rPr/>
            </w:pPr>
            <w:r>
              <w:rPr/>
              <w:t>Definitive Proxy Statement</w:t>
            </w:r>
          </w:p>
        </w:tc>
      </w:tr>
      <w:tr>
        <w:trPr/>
        <w:tc>
          <w:tcPr>
            <w:tcW w:w="245" w:type="dxa"/>
            <w:tcBorders/>
            <w:shd w:fill="auto" w:val="clear"/>
            <w:vAlign w:val="center"/>
          </w:tcPr>
          <w:p>
            <w:pPr>
              <w:pStyle w:val="TableContents"/>
              <w:spacing w:before="0" w:after="283"/>
              <w:rPr>
                <w:sz w:val="4"/>
                <w:szCs w:val="4"/>
              </w:rPr>
            </w:pPr>
            <w:r>
              <w:rPr>
                <w:sz w:val="4"/>
                <w:szCs w:val="4"/>
              </w:rPr>
            </w:r>
          </w:p>
        </w:tc>
        <w:tc>
          <w:tcPr>
            <w:tcW w:w="9784"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724" w:type="dxa"/>
            <w:gridSpan w:val="3"/>
            <w:tcBorders/>
            <w:shd w:fill="auto" w:val="clear"/>
            <w:vAlign w:val="center"/>
          </w:tcPr>
          <w:p>
            <w:pPr>
              <w:pStyle w:val="TableContents"/>
              <w:spacing w:before="0" w:after="283"/>
              <w:rPr/>
            </w:pPr>
            <w:r>
              <w:rPr/>
              <w:t>Definitive Additional Materials</w:t>
            </w:r>
          </w:p>
        </w:tc>
      </w:tr>
      <w:tr>
        <w:trPr/>
        <w:tc>
          <w:tcPr>
            <w:tcW w:w="245" w:type="dxa"/>
            <w:tcBorders/>
            <w:shd w:fill="auto" w:val="clear"/>
            <w:vAlign w:val="center"/>
          </w:tcPr>
          <w:p>
            <w:pPr>
              <w:pStyle w:val="TableContents"/>
              <w:spacing w:before="0" w:after="283"/>
              <w:rPr>
                <w:sz w:val="4"/>
                <w:szCs w:val="4"/>
              </w:rPr>
            </w:pPr>
            <w:r>
              <w:rPr>
                <w:sz w:val="4"/>
                <w:szCs w:val="4"/>
              </w:rPr>
            </w:r>
          </w:p>
        </w:tc>
        <w:tc>
          <w:tcPr>
            <w:tcW w:w="9784"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724" w:type="dxa"/>
            <w:gridSpan w:val="3"/>
            <w:tcBorders/>
            <w:shd w:fill="auto" w:val="clear"/>
            <w:vAlign w:val="center"/>
          </w:tcPr>
          <w:p>
            <w:pPr>
              <w:pStyle w:val="TableContents"/>
              <w:spacing w:before="0" w:after="283"/>
              <w:rPr/>
            </w:pPr>
            <w:r>
              <w:rPr/>
              <w:t>Soliciting Material under Rule 14a-12</w:t>
            </w:r>
          </w:p>
        </w:tc>
      </w:tr>
      <w:tr>
        <w:trPr/>
        <w:tc>
          <w:tcPr>
            <w:tcW w:w="10029" w:type="dxa"/>
            <w:gridSpan w:val="5"/>
            <w:tcBorders/>
            <w:shd w:fill="auto" w:val="clear"/>
            <w:vAlign w:val="center"/>
          </w:tcPr>
          <w:p>
            <w:pPr>
              <w:pStyle w:val="TableContents"/>
              <w:spacing w:before="0" w:after="283"/>
              <w:rPr>
                <w:sz w:val="4"/>
                <w:szCs w:val="4"/>
              </w:rPr>
            </w:pPr>
            <w:r>
              <w:rPr>
                <w:sz w:val="4"/>
                <w:szCs w:val="4"/>
              </w:rPr>
            </w:r>
          </w:p>
        </w:tc>
      </w:tr>
      <w:tr>
        <w:trPr/>
        <w:tc>
          <w:tcPr>
            <w:tcW w:w="10029" w:type="dxa"/>
            <w:gridSpan w:val="5"/>
            <w:tcBorders/>
            <w:shd w:fill="auto" w:val="clear"/>
            <w:vAlign w:val="center"/>
          </w:tcPr>
          <w:p>
            <w:pPr>
              <w:pStyle w:val="TableContents"/>
              <w:spacing w:before="0" w:after="0"/>
              <w:jc w:val="center"/>
              <w:rPr>
                <w:b/>
                <w:spacing w:val="0"/>
                <w:sz w:val="48"/>
              </w:rPr>
            </w:pPr>
            <w:r>
              <w:rPr>
                <w:b/>
                <w:spacing w:val="0"/>
                <w:sz w:val="48"/>
              </w:rPr>
              <w:br/>
              <w:t>Lamar Advertising Company</w:t>
            </w:r>
          </w:p>
        </w:tc>
      </w:tr>
      <w:tr>
        <w:trPr/>
        <w:tc>
          <w:tcPr>
            <w:tcW w:w="10029" w:type="dxa"/>
            <w:gridSpan w:val="5"/>
            <w:tcBorders/>
            <w:shd w:fill="auto" w:val="clear"/>
            <w:vAlign w:val="center"/>
          </w:tcPr>
          <w:p>
            <w:pPr>
              <w:pStyle w:val="TableContents"/>
              <w:spacing w:before="0" w:after="0"/>
              <w:jc w:val="center"/>
              <w:rPr>
                <w:b/>
                <w:spacing w:val="0"/>
              </w:rPr>
            </w:pPr>
            <w:r>
              <w:rPr>
                <w:b/>
                <w:spacing w:val="0"/>
              </w:rPr>
              <w:t>(Name of registrant as specified in its charter)</w:t>
            </w:r>
          </w:p>
        </w:tc>
      </w:tr>
      <w:tr>
        <w:trPr/>
        <w:tc>
          <w:tcPr>
            <w:tcW w:w="10029" w:type="dxa"/>
            <w:gridSpan w:val="5"/>
            <w:tcBorders/>
            <w:shd w:fill="auto" w:val="clear"/>
            <w:vAlign w:val="center"/>
          </w:tcPr>
          <w:p>
            <w:pPr>
              <w:pStyle w:val="TableContents"/>
              <w:spacing w:before="0" w:after="283"/>
              <w:rPr>
                <w:sz w:val="4"/>
                <w:szCs w:val="4"/>
              </w:rPr>
            </w:pPr>
            <w:r>
              <w:rPr>
                <w:sz w:val="4"/>
                <w:szCs w:val="4"/>
              </w:rPr>
            </w:r>
          </w:p>
        </w:tc>
      </w:tr>
      <w:tr>
        <w:trPr/>
        <w:tc>
          <w:tcPr>
            <w:tcW w:w="10029" w:type="dxa"/>
            <w:gridSpan w:val="5"/>
            <w:tcBorders/>
            <w:shd w:fill="auto" w:val="clear"/>
            <w:vAlign w:val="center"/>
          </w:tcPr>
          <w:p>
            <w:pPr>
              <w:pStyle w:val="TableContents"/>
              <w:spacing w:before="0" w:after="0"/>
              <w:jc w:val="center"/>
              <w:rPr>
                <w:spacing w:val="0"/>
              </w:rPr>
            </w:pPr>
            <w:r>
              <w:rPr>
                <w:spacing w:val="0"/>
              </w:rPr>
              <w:t>        </w:t>
            </w:r>
          </w:p>
        </w:tc>
      </w:tr>
      <w:tr>
        <w:trPr/>
        <w:tc>
          <w:tcPr>
            <w:tcW w:w="10029" w:type="dxa"/>
            <w:gridSpan w:val="5"/>
            <w:tcBorders/>
            <w:shd w:fill="auto" w:val="clear"/>
            <w:vAlign w:val="center"/>
          </w:tcPr>
          <w:p>
            <w:pPr>
              <w:pStyle w:val="TableContents"/>
              <w:spacing w:before="0" w:after="0"/>
              <w:jc w:val="center"/>
              <w:rPr>
                <w:b/>
                <w:spacing w:val="0"/>
                <w:sz w:val="16"/>
              </w:rPr>
            </w:pPr>
            <w:r>
              <w:rPr>
                <w:b/>
                <w:spacing w:val="0"/>
                <w:sz w:val="16"/>
              </w:rPr>
              <w:t>(Name of person(s) filing proxy statement, if other than the registrant)</w:t>
            </w:r>
          </w:p>
        </w:tc>
      </w:tr>
      <w:tr>
        <w:trPr/>
        <w:tc>
          <w:tcPr>
            <w:tcW w:w="10029" w:type="dxa"/>
            <w:gridSpan w:val="5"/>
            <w:tcBorders/>
            <w:shd w:fill="auto" w:val="clear"/>
            <w:vAlign w:val="center"/>
          </w:tcPr>
          <w:p>
            <w:pPr>
              <w:pStyle w:val="TableContents"/>
              <w:spacing w:before="0" w:after="283"/>
              <w:rPr>
                <w:sz w:val="4"/>
                <w:szCs w:val="4"/>
              </w:rPr>
            </w:pPr>
            <w:r>
              <w:rPr>
                <w:sz w:val="4"/>
                <w:szCs w:val="4"/>
              </w:rPr>
            </w:r>
          </w:p>
        </w:tc>
      </w:tr>
      <w:tr>
        <w:trPr/>
        <w:tc>
          <w:tcPr>
            <w:tcW w:w="10029" w:type="dxa"/>
            <w:gridSpan w:val="5"/>
            <w:tcBorders/>
            <w:shd w:fill="auto" w:val="clear"/>
            <w:vAlign w:val="center"/>
          </w:tcPr>
          <w:p>
            <w:pPr>
              <w:pStyle w:val="TableContents"/>
              <w:spacing w:before="0" w:after="283"/>
              <w:rPr/>
            </w:pPr>
            <w:r>
              <w:rPr/>
              <w:t>Payment of Filing Fee (Check the appropriate box):</w:t>
            </w:r>
          </w:p>
        </w:tc>
      </w:tr>
      <w:tr>
        <w:trPr/>
        <w:tc>
          <w:tcPr>
            <w:tcW w:w="245" w:type="dxa"/>
            <w:tcBorders/>
            <w:shd w:fill="auto" w:val="clear"/>
            <w:vAlign w:val="center"/>
          </w:tcPr>
          <w:p>
            <w:pPr>
              <w:pStyle w:val="TableContents"/>
              <w:spacing w:before="0" w:after="283"/>
              <w:rPr>
                <w:sz w:val="4"/>
                <w:szCs w:val="4"/>
              </w:rPr>
            </w:pPr>
            <w:r>
              <w:rPr>
                <w:sz w:val="4"/>
                <w:szCs w:val="4"/>
              </w:rPr>
            </w:r>
          </w:p>
        </w:tc>
        <w:tc>
          <w:tcPr>
            <w:tcW w:w="9784"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724" w:type="dxa"/>
            <w:gridSpan w:val="3"/>
            <w:tcBorders/>
            <w:shd w:fill="auto" w:val="clear"/>
            <w:vAlign w:val="center"/>
          </w:tcPr>
          <w:p>
            <w:pPr>
              <w:pStyle w:val="TableContents"/>
              <w:spacing w:before="0" w:after="283"/>
              <w:rPr/>
            </w:pPr>
            <w:r>
              <w:rPr/>
              <w:t>No fee required.</w:t>
            </w:r>
          </w:p>
        </w:tc>
      </w:tr>
      <w:tr>
        <w:trPr/>
        <w:tc>
          <w:tcPr>
            <w:tcW w:w="245" w:type="dxa"/>
            <w:tcBorders/>
            <w:shd w:fill="auto" w:val="clear"/>
            <w:vAlign w:val="center"/>
          </w:tcPr>
          <w:p>
            <w:pPr>
              <w:pStyle w:val="TableContents"/>
              <w:spacing w:before="0" w:after="283"/>
              <w:rPr>
                <w:sz w:val="4"/>
                <w:szCs w:val="4"/>
              </w:rPr>
            </w:pPr>
            <w:r>
              <w:rPr>
                <w:sz w:val="4"/>
                <w:szCs w:val="4"/>
              </w:rPr>
            </w:r>
          </w:p>
        </w:tc>
        <w:tc>
          <w:tcPr>
            <w:tcW w:w="9784"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724" w:type="dxa"/>
            <w:gridSpan w:val="3"/>
            <w:tcBorders/>
            <w:shd w:fill="auto" w:val="clear"/>
            <w:vAlign w:val="center"/>
          </w:tcPr>
          <w:p>
            <w:pPr>
              <w:pStyle w:val="TableContents"/>
              <w:spacing w:before="0" w:after="283"/>
              <w:rPr/>
            </w:pPr>
            <w:r>
              <w:rPr/>
              <w:t>Fee paid previously with preliminary materials.</w:t>
            </w:r>
          </w:p>
        </w:tc>
      </w:tr>
      <w:tr>
        <w:trPr/>
        <w:tc>
          <w:tcPr>
            <w:tcW w:w="245" w:type="dxa"/>
            <w:tcBorders/>
            <w:shd w:fill="auto" w:val="clear"/>
            <w:vAlign w:val="center"/>
          </w:tcPr>
          <w:p>
            <w:pPr>
              <w:pStyle w:val="TableContents"/>
              <w:spacing w:before="0" w:after="283"/>
              <w:rPr>
                <w:sz w:val="4"/>
                <w:szCs w:val="4"/>
              </w:rPr>
            </w:pPr>
            <w:r>
              <w:rPr>
                <w:sz w:val="4"/>
                <w:szCs w:val="4"/>
              </w:rPr>
            </w:r>
          </w:p>
        </w:tc>
        <w:tc>
          <w:tcPr>
            <w:tcW w:w="9784" w:type="dxa"/>
            <w:gridSpan w:val="4"/>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9724" w:type="dxa"/>
            <w:gridSpan w:val="3"/>
            <w:tcBorders/>
            <w:shd w:fill="auto" w:val="clear"/>
            <w:vAlign w:val="center"/>
          </w:tcPr>
          <w:p>
            <w:pPr>
              <w:pStyle w:val="TableContents"/>
              <w:spacing w:before="0" w:after="283"/>
              <w:rPr/>
            </w:pPr>
            <w:r>
              <w:rPr/>
              <w:t>Fee computed on table in exhibit required by Item 25(b) per Exchange Act Rules 14a-6(i)(1) and 0-11.</w:t>
            </w:r>
          </w:p>
        </w:tc>
      </w:tr>
    </w:tbl>
    <w:p>
      <w:pPr>
        <w:pStyle w:val="TextBody"/>
        <w:spacing w:before="0" w:after="0"/>
        <w:jc w:val="left"/>
        <w:rPr>
          <w:highlight w:val="white"/>
        </w:rPr>
      </w:pPr>
      <w:r>
        <w:rPr>
          <w:highlight w:val="white"/>
        </w:rPr>
        <w:t> </w:t>
      </w:r>
    </w:p>
    <w:p>
      <w:pPr>
        <w:pStyle w:val="TextBody"/>
        <w:spacing w:lineRule="atLeast" w:line="141" w:before="0" w:after="0"/>
        <w:jc w:val="left"/>
        <w:rPr>
          <w:highlight w:val="white"/>
          <w:bdr w:val="single" w:sz="2" w:space="1" w:color="000000"/>
        </w:rPr>
      </w:pPr>
      <w:r>
        <w:rPr>
          <w:highlight w:val="white"/>
          <w:bdr w:val="single" w:sz="2" w:space="1" w:color="000000"/>
        </w:rPr>
        <w:t> </w:t>
      </w:r>
    </w:p>
    <w:p>
      <w:pPr>
        <w:pStyle w:val="TextBody"/>
        <w:spacing w:lineRule="atLeast" w:line="141" w:before="0" w:after="40"/>
        <w:jc w:val="left"/>
        <w:rPr>
          <w:highlight w:val="white"/>
          <w:bdr w:val="single" w:sz="2" w:space="1" w:color="000000"/>
        </w:rPr>
      </w:pPr>
      <w:r>
        <w:rPr>
          <w:highlight w:val="white"/>
          <w:bdr w:val="single" w:sz="2" w:space="1" w:color="000000"/>
        </w:rPr>
        <w:t> </w:t>
      </w:r>
    </w:p>
    <w:p>
      <w:pPr>
        <w:pStyle w:val="TextBody"/>
        <w:rPr/>
      </w:pPr>
      <w:r>
        <w:rPr/>
        <w:t>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LAMAR ADVERTISING COMPANY </w:t>
      </w:r>
    </w:p>
    <w:p>
      <w:pPr>
        <w:pStyle w:val="TextBody"/>
        <w:spacing w:before="0" w:after="0"/>
        <w:jc w:val="center"/>
        <w:rPr>
          <w:rFonts w:ascii="Times New Roman" w:hAnsi="Times New Roman"/>
          <w:b/>
          <w:sz w:val="20"/>
        </w:rPr>
      </w:pPr>
      <w:r>
        <w:rPr>
          <w:rFonts w:ascii="Times New Roman" w:hAnsi="Times New Roman"/>
          <w:b/>
          <w:sz w:val="20"/>
        </w:rPr>
        <w:t xml:space="preserve">5321 Corporate Boulevard </w:t>
      </w:r>
    </w:p>
    <w:p>
      <w:pPr>
        <w:pStyle w:val="TextBody"/>
        <w:spacing w:before="0" w:after="0"/>
        <w:jc w:val="center"/>
        <w:rPr>
          <w:rFonts w:ascii="Times New Roman" w:hAnsi="Times New Roman"/>
          <w:b/>
          <w:sz w:val="20"/>
        </w:rPr>
      </w:pPr>
      <w:r>
        <w:rPr>
          <w:rFonts w:ascii="Times New Roman" w:hAnsi="Times New Roman"/>
          <w:b/>
          <w:sz w:val="20"/>
        </w:rPr>
        <w:t xml:space="preserve">Baton Rouge, Louisiana 70808 </w:t>
      </w:r>
    </w:p>
    <w:p>
      <w:pPr>
        <w:pStyle w:val="TextBody"/>
        <w:spacing w:before="0" w:after="0"/>
        <w:jc w:val="center"/>
        <w:rPr>
          <w:rFonts w:ascii="Times New Roman" w:hAnsi="Times New Roman"/>
          <w:b/>
          <w:sz w:val="20"/>
        </w:rPr>
      </w:pPr>
      <w:r>
        <w:rPr>
          <w:rFonts w:ascii="Times New Roman" w:hAnsi="Times New Roman"/>
          <w:b/>
          <w:sz w:val="20"/>
        </w:rPr>
        <w:t xml:space="preserve">(225) 926-1000 </w:t>
      </w:r>
    </w:p>
    <w:p>
      <w:pPr>
        <w:pStyle w:val="TextBody"/>
        <w:spacing w:before="240" w:after="0"/>
        <w:jc w:val="center"/>
        <w:rPr>
          <w:rFonts w:ascii="Times New Roman" w:hAnsi="Times New Roman"/>
          <w:b/>
          <w:sz w:val="20"/>
        </w:rPr>
      </w:pPr>
      <w:r>
        <w:rPr>
          <w:rFonts w:ascii="Times New Roman" w:hAnsi="Times New Roman"/>
          <w:b/>
          <w:sz w:val="20"/>
        </w:rPr>
        <w:t xml:space="preserve">NOTICE OF 2023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ON MAY 10, 2023 </w:t>
      </w:r>
    </w:p>
    <w:p>
      <w:pPr>
        <w:pStyle w:val="TextBody"/>
        <w:spacing w:before="240" w:after="0"/>
        <w:jc w:val="left"/>
        <w:rPr>
          <w:rFonts w:ascii="Times New Roman" w:hAnsi="Times New Roman"/>
          <w:sz w:val="20"/>
        </w:rPr>
      </w:pPr>
      <w:r>
        <w:rPr>
          <w:rFonts w:ascii="Times New Roman" w:hAnsi="Times New Roman"/>
          <w:sz w:val="20"/>
        </w:rPr>
        <w:t xml:space="preserve">To our Stockholders: </w:t>
      </w:r>
    </w:p>
    <w:p>
      <w:pPr>
        <w:pStyle w:val="TextBody"/>
        <w:spacing w:before="240" w:after="0"/>
        <w:jc w:val="left"/>
        <w:rPr>
          <w:rFonts w:ascii="Times New Roman" w:hAnsi="Times New Roman"/>
          <w:sz w:val="20"/>
        </w:rPr>
      </w:pPr>
      <w:r>
        <w:rPr>
          <w:rFonts w:ascii="Times New Roman" w:hAnsi="Times New Roman"/>
          <w:sz w:val="20"/>
        </w:rPr>
        <w:t xml:space="preserve">The 2023 Annual Meeting of Stockholders of Lamar Advertising Company, a Delaware corporation (the “Company”), will be held solely by remote communication, in a virtual-only format, at 9:00 a.m. Central Daylight Time on Wednesday, May 10, 2023, for the following purposes: </w:t>
      </w:r>
    </w:p>
    <w:p>
      <w:pPr>
        <w:pStyle w:val="TextBody"/>
        <w:spacing w:before="0" w:after="0"/>
        <w:jc w:val="left"/>
        <w:rPr/>
      </w:pPr>
      <w:r>
        <w:rPr/>
        <w:t> </w:t>
      </w:r>
    </w:p>
    <w:tbl>
      <w:tblPr>
        <w:tblW w:w="4240" w:type="dxa"/>
        <w:jc w:val="left"/>
        <w:tblInd w:w="0" w:type="dxa"/>
        <w:tblCellMar>
          <w:top w:w="0" w:type="dxa"/>
          <w:left w:w="0" w:type="dxa"/>
          <w:bottom w:w="0" w:type="dxa"/>
          <w:right w:w="0" w:type="dxa"/>
        </w:tblCellMar>
      </w:tblPr>
      <w:tblGrid>
        <w:gridCol w:w="75"/>
        <w:gridCol w:w="200"/>
        <w:gridCol w:w="396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1.</w:t>
            </w:r>
          </w:p>
        </w:tc>
        <w:tc>
          <w:tcPr>
            <w:tcW w:w="39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elect nine directors, each for a one-year term. </w:t>
            </w:r>
          </w:p>
        </w:tc>
      </w:tr>
    </w:tbl>
    <w:p>
      <w:pPr>
        <w:pStyle w:val="TextBody"/>
        <w:spacing w:before="0" w:after="0"/>
        <w:jc w:val="left"/>
        <w:rPr/>
      </w:pPr>
      <w:r>
        <w:rPr/>
        <w:t> </w:t>
      </w:r>
    </w:p>
    <w:tbl>
      <w:tblPr>
        <w:tblW w:w="8020" w:type="dxa"/>
        <w:jc w:val="left"/>
        <w:tblInd w:w="0" w:type="dxa"/>
        <w:tblCellMar>
          <w:top w:w="0" w:type="dxa"/>
          <w:left w:w="0" w:type="dxa"/>
          <w:bottom w:w="0" w:type="dxa"/>
          <w:right w:w="0" w:type="dxa"/>
        </w:tblCellMar>
      </w:tblPr>
      <w:tblGrid>
        <w:gridCol w:w="75"/>
        <w:gridCol w:w="200"/>
        <w:gridCol w:w="774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2.</w:t>
            </w:r>
          </w:p>
        </w:tc>
        <w:tc>
          <w:tcPr>
            <w:tcW w:w="77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conduct an advisory vote on the compensation of the Company’s named executive officers. </w:t>
            </w:r>
          </w:p>
        </w:tc>
      </w:tr>
    </w:tbl>
    <w:p>
      <w:pPr>
        <w:pStyle w:val="TextBody"/>
        <w:spacing w:before="0" w:after="0"/>
        <w:jc w:val="left"/>
        <w:rPr/>
      </w:pPr>
      <w:r>
        <w:rPr/>
        <w:t> </w:t>
      </w:r>
    </w:p>
    <w:tbl>
      <w:tblPr>
        <w:tblW w:w="8380" w:type="dxa"/>
        <w:jc w:val="left"/>
        <w:tblInd w:w="0" w:type="dxa"/>
        <w:tblCellMar>
          <w:top w:w="0" w:type="dxa"/>
          <w:left w:w="0" w:type="dxa"/>
          <w:bottom w:w="0" w:type="dxa"/>
          <w:right w:w="0" w:type="dxa"/>
        </w:tblCellMar>
      </w:tblPr>
      <w:tblGrid>
        <w:gridCol w:w="75"/>
        <w:gridCol w:w="200"/>
        <w:gridCol w:w="810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3.</w:t>
            </w:r>
          </w:p>
        </w:tc>
        <w:tc>
          <w:tcPr>
            <w:tcW w:w="81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conduct an advisory vote on the frequency of future advisory votes on executive compensation.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95"/>
        <w:gridCol w:w="9935"/>
      </w:tblGrid>
      <w:tr>
        <w:trPr/>
        <w:tc>
          <w:tcPr>
            <w:tcW w:w="75"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jc w:val="left"/>
              <w:rPr/>
            </w:pPr>
            <w:r>
              <w:rPr/>
              <w:t>4.</w:t>
            </w:r>
          </w:p>
        </w:tc>
        <w:tc>
          <w:tcPr>
            <w:tcW w:w="9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ratify the appointment of KPMG LLP as the Company’s independent registered public accounting firm for the 2023 fiscal year. </w:t>
            </w:r>
          </w:p>
        </w:tc>
      </w:tr>
    </w:tbl>
    <w:p>
      <w:pPr>
        <w:pStyle w:val="TextBody"/>
        <w:spacing w:before="0" w:after="0"/>
        <w:jc w:val="left"/>
        <w:rPr/>
      </w:pPr>
      <w:r>
        <w:rPr/>
        <w:t> </w:t>
      </w:r>
    </w:p>
    <w:tbl>
      <w:tblPr>
        <w:tblW w:w="6220" w:type="dxa"/>
        <w:jc w:val="left"/>
        <w:tblInd w:w="0" w:type="dxa"/>
        <w:tblCellMar>
          <w:top w:w="0" w:type="dxa"/>
          <w:left w:w="0" w:type="dxa"/>
          <w:bottom w:w="0" w:type="dxa"/>
          <w:right w:w="0" w:type="dxa"/>
        </w:tblCellMar>
      </w:tblPr>
      <w:tblGrid>
        <w:gridCol w:w="75"/>
        <w:gridCol w:w="200"/>
        <w:gridCol w:w="594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pPr>
            <w:r>
              <w:rPr/>
              <w:t>5.</w:t>
            </w:r>
          </w:p>
        </w:tc>
        <w:tc>
          <w:tcPr>
            <w:tcW w:w="59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To transact any other business as may properly come before the meeting. </w:t>
            </w:r>
          </w:p>
        </w:tc>
      </w:tr>
    </w:tbl>
    <w:p>
      <w:pPr>
        <w:pStyle w:val="TextBody"/>
        <w:spacing w:before="240" w:after="0"/>
        <w:jc w:val="left"/>
        <w:rPr>
          <w:rFonts w:ascii="Times New Roman" w:hAnsi="Times New Roman"/>
          <w:sz w:val="20"/>
        </w:rPr>
      </w:pPr>
      <w:r>
        <w:rPr>
          <w:rFonts w:ascii="Times New Roman" w:hAnsi="Times New Roman"/>
          <w:sz w:val="20"/>
        </w:rPr>
        <w:t xml:space="preserve">Only stockholders of record at the close of business on March 13, 2023 will be entitled to vote at the meeting. </w:t>
      </w:r>
    </w:p>
    <w:p>
      <w:pPr>
        <w:pStyle w:val="TextBody"/>
        <w:spacing w:before="240" w:after="0"/>
        <w:jc w:val="left"/>
        <w:rPr>
          <w:rFonts w:ascii="Times New Roman" w:hAnsi="Times New Roman"/>
          <w:sz w:val="20"/>
        </w:rPr>
      </w:pPr>
      <w:r>
        <w:rPr>
          <w:rFonts w:ascii="Times New Roman" w:hAnsi="Times New Roman"/>
          <w:sz w:val="20"/>
        </w:rPr>
        <w:t xml:space="preserve">To be admitted to the virtual-only Annual Meeting, stockholders as of the record date must use the following link: www.virtualshareholdermeeting.com/LAMR2023 and enter the 16-digit control number found on the proxy card or the voting instruction form. By logging into the website, Class A Common Stockholders as of the record date will be able to vote shares electronically on all items to be considered at the Annual Meeting. If a stockholder as of the record date has any question pertaining to the business of the Annual Meeting, it must be submitted in advance of the Annual Meeting by visiting www.proxyvote.com. Questions may be submitted until 10:59 p.m. CDT, on Monday, May 8, 2023. Stockholders must have their proxy cards or voting instruction forms in hand when accessing the website and follow the instructions. To allow us to respond at the Annual Meeting to the maximum number of stockholders, each stockholder will be limited to one question. </w:t>
      </w:r>
    </w:p>
    <w:p>
      <w:pPr>
        <w:pStyle w:val="TextBody"/>
        <w:spacing w:before="240" w:after="0"/>
        <w:jc w:val="left"/>
        <w:rPr>
          <w:rFonts w:ascii="Times New Roman" w:hAnsi="Times New Roman"/>
          <w:sz w:val="20"/>
        </w:rPr>
      </w:pPr>
      <w:r>
        <w:rPr>
          <w:rFonts w:ascii="Times New Roman" w:hAnsi="Times New Roman"/>
          <w:sz w:val="20"/>
        </w:rPr>
        <w:t xml:space="preserve">We have elected to provide access to our proxy materials over the internet for the holders of our Class A Common Stock under the Securities and Exchange Commission’s “notice and access” rules. Detailed information concerning these matters is set forth in the Important Notice Regarding the Availability of Proxy Materials (the “Notice”), which holders of our Class A Common Stock have received in the mail, and in this Notice of Annual Meeting of Stockholders and the attached Proxy Statement. </w:t>
      </w:r>
    </w:p>
    <w:p>
      <w:pPr>
        <w:pStyle w:val="TextBody"/>
        <w:spacing w:before="240" w:after="0"/>
        <w:jc w:val="left"/>
        <w:rPr>
          <w:rFonts w:ascii="Times New Roman" w:hAnsi="Times New Roman"/>
          <w:b/>
          <w:sz w:val="20"/>
        </w:rPr>
      </w:pPr>
      <w:r>
        <w:rPr>
          <w:rFonts w:ascii="Times New Roman" w:hAnsi="Times New Roman"/>
          <w:b/>
          <w:sz w:val="20"/>
        </w:rPr>
        <w:t xml:space="preserve">It is important that your shares be represented at the meeting. Therefore, whether or not you plan to attend the virtual Annual Meeting, please either vote by telephone or internet (if you hold shares of our Class A Common Stock) or, if you received printed proxy materials and wish to vote by mail, please promptly sign and return your proxy card in the enclosed envelope. Please review the instructions on each of your voting options described in the attached Proxy Statement as well as in the Notice you received in the mail. If you attend the virtual Annual Meeting and wish to vote your shares in person, your proxy will not be used. </w:t>
      </w:r>
    </w:p>
    <w:p>
      <w:pPr>
        <w:pStyle w:val="TextBody"/>
        <w:spacing w:before="120" w:after="0"/>
        <w:jc w:val="center"/>
        <w:rPr/>
      </w:pPr>
      <w:r>
        <w:rPr/>
        <w:t>        </w:t>
      </w:r>
      <w:r>
        <w:rPr>
          <w:rFonts w:ascii="Times New Roman" w:hAnsi="Times New Roman"/>
          <w:sz w:val="20"/>
        </w:rPr>
        <w:t xml:space="preserve">By order of the Board of Directors, </w:t>
      </w:r>
    </w:p>
    <w:p>
      <w:pPr>
        <w:pStyle w:val="TextBody"/>
        <w:spacing w:before="0" w:after="0"/>
        <w:jc w:val="center"/>
        <w:rPr>
          <w:rFonts w:ascii="Times New Roman" w:hAnsi="Times New Roman"/>
          <w:sz w:val="20"/>
        </w:rPr>
      </w:pPr>
      <w:r>
        <w:rPr>
          <w:rFonts w:ascii="Times New Roman" w:hAnsi="Times New Roman"/>
          <w:sz w:val="20"/>
        </w:rPr>
        <w:t xml:space="preserve">James R. McIlwain, </w:t>
      </w:r>
      <w:r>
        <w:rPr>
          <w:rFonts w:ascii="Times New Roman" w:hAnsi="Times New Roman"/>
          <w:i/>
          <w:sz w:val="20"/>
        </w:rPr>
        <w:t>Secretary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Baton Rouge, Louisiana </w:t>
      </w:r>
    </w:p>
    <w:p>
      <w:pPr>
        <w:pStyle w:val="TextBody"/>
        <w:spacing w:before="0" w:after="0"/>
        <w:jc w:val="left"/>
        <w:rPr>
          <w:rFonts w:ascii="Times New Roman" w:hAnsi="Times New Roman"/>
          <w:sz w:val="20"/>
        </w:rPr>
      </w:pPr>
      <w:r>
        <w:rPr>
          <w:rFonts w:ascii="Times New Roman" w:hAnsi="Times New Roman"/>
          <w:sz w:val="20"/>
        </w:rPr>
        <w:t xml:space="preserve">March 31, 2023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PROXY STATEMENT </w:t>
      </w:r>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9495"/>
        <w:gridCol w:w="120"/>
        <w:gridCol w:w="96"/>
        <w:gridCol w:w="419"/>
        <w:gridCol w:w="75"/>
      </w:tblGrid>
      <w:tr>
        <w:trPr/>
        <w:tc>
          <w:tcPr>
            <w:tcW w:w="94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Page</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0"/>
              <w:rPr/>
            </w:pPr>
            <w:hyperlink w:anchor="toc440239_1">
              <w:r>
                <w:rPr>
                  <w:rStyle w:val="InternetLink"/>
                  <w:rFonts w:ascii="Times New Roman" w:hAnsi="Times New Roman"/>
                  <w:sz w:val="20"/>
                </w:rPr>
                <w:t>GENERAL INFORMATION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440239_2">
              <w:r>
                <w:rPr>
                  <w:rStyle w:val="InternetLink"/>
                  <w:rFonts w:ascii="Times New Roman" w:hAnsi="Times New Roman"/>
                  <w:sz w:val="20"/>
                </w:rPr>
                <w:t>SHARE OWNERSHIP</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440239_3">
              <w:r>
                <w:rPr>
                  <w:rStyle w:val="InternetLink"/>
                  <w:rFonts w:ascii="Times New Roman" w:hAnsi="Times New Roman"/>
                  <w:sz w:val="20"/>
                </w:rPr>
                <w:t>SECTION 16(A) BENEFICIAL OWNERSHIP REPORTING COMPLIANCE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7</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440239_4">
              <w:r>
                <w:rPr>
                  <w:rStyle w:val="InternetLink"/>
                  <w:rFonts w:ascii="Times New Roman" w:hAnsi="Times New Roman"/>
                  <w:sz w:val="20"/>
                </w:rPr>
                <w:t>EXECUTIVE OFFICERS OF THE REGISTRANT</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7</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440239_5">
              <w:r>
                <w:rPr>
                  <w:rStyle w:val="InternetLink"/>
                  <w:rFonts w:ascii="Times New Roman" w:hAnsi="Times New Roman"/>
                  <w:sz w:val="20"/>
                </w:rPr>
                <w:t>PROPOSAL NO. 1: ELECTION OF DIRECTORS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9</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440239_6">
              <w:r>
                <w:rPr>
                  <w:rStyle w:val="InternetLink"/>
                  <w:rFonts w:ascii="Times New Roman" w:hAnsi="Times New Roman"/>
                  <w:sz w:val="20"/>
                </w:rPr>
                <w:t>BOARD OF DIRECTORS AND COMMITTEES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15</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440239_7">
              <w:r>
                <w:rPr>
                  <w:rStyle w:val="InternetLink"/>
                  <w:rFonts w:ascii="Times New Roman" w:hAnsi="Times New Roman"/>
                  <w:sz w:val="20"/>
                </w:rPr>
                <w:t>CERTAIN RELATIONSHIPS AND RELATED TRANSACTIONS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17</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440239_8">
              <w:r>
                <w:rPr>
                  <w:rStyle w:val="InternetLink"/>
                  <w:rFonts w:ascii="Times New Roman" w:hAnsi="Times New Roman"/>
                  <w:sz w:val="20"/>
                </w:rPr>
                <w:t>EXECUTIVE OFFICER AND DIRECTOR COMPENSATION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19</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440239_9">
              <w:r>
                <w:rPr>
                  <w:rStyle w:val="InternetLink"/>
                  <w:rFonts w:ascii="Times New Roman" w:hAnsi="Times New Roman"/>
                  <w:sz w:val="20"/>
                </w:rPr>
                <w:t>PAY VERSUS PERFORMANCE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34</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440239_10">
              <w:r>
                <w:rPr>
                  <w:rStyle w:val="InternetLink"/>
                  <w:rFonts w:ascii="Times New Roman" w:hAnsi="Times New Roman"/>
                  <w:sz w:val="20"/>
                </w:rPr>
                <w:t>EQUITY COMPENSATION PLAN INFORMATION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38</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440239_11">
              <w:r>
                <w:rPr>
                  <w:rStyle w:val="InternetLink"/>
                  <w:rFonts w:ascii="Times New Roman" w:hAnsi="Times New Roman"/>
                  <w:sz w:val="20"/>
                </w:rPr>
                <w:t>PROPOSAL NO. 2: ADVISORY VOTE ON EXECUTIVE COMPENSATION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39</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440239_12">
              <w:r>
                <w:rPr>
                  <w:rStyle w:val="InternetLink"/>
                  <w:rFonts w:ascii="Times New Roman" w:hAnsi="Times New Roman"/>
                  <w:sz w:val="20"/>
                </w:rPr>
                <w:t>PROPOSAL NO. 3: ADVISORY VOTE ON THE FREQUENCY OF FUTURE ADVISORY VOTES ON EXECUTIVE COMPENSATION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40</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440239_13">
              <w:r>
                <w:rPr>
                  <w:rStyle w:val="InternetLink"/>
                  <w:rFonts w:ascii="Times New Roman" w:hAnsi="Times New Roman"/>
                  <w:sz w:val="20"/>
                </w:rPr>
                <w:t>AUDIT COMMITTEE REPORT</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42</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440239_14">
              <w:r>
                <w:rPr>
                  <w:rStyle w:val="InternetLink"/>
                  <w:rFonts w:ascii="Times New Roman" w:hAnsi="Times New Roman"/>
                  <w:sz w:val="20"/>
                </w:rPr>
                <w:t>PROPOSAL NO. 4: RATIFICATION OF INDEPENDENT REGISTERED PUBLIC ACCOUNTING FIRM</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43</w:t>
            </w:r>
          </w:p>
        </w:tc>
        <w:tc>
          <w:tcPr>
            <w:tcW w:w="75" w:type="dxa"/>
            <w:tcBorders/>
            <w:shd w:fill="auto" w:val="clear"/>
            <w:vAlign w:val="center"/>
          </w:tcPr>
          <w:p>
            <w:pPr>
              <w:pStyle w:val="TableContents"/>
              <w:spacing w:before="0" w:after="283"/>
              <w:rPr/>
            </w:pPr>
            <w:r>
              <w:rPr/>
              <w:t> </w:t>
            </w:r>
          </w:p>
        </w:tc>
      </w:tr>
      <w:tr>
        <w:trPr/>
        <w:tc>
          <w:tcPr>
            <w:tcW w:w="9495" w:type="dxa"/>
            <w:tcBorders/>
            <w:shd w:fill="auto" w:val="clear"/>
            <w:vAlign w:val="center"/>
          </w:tcPr>
          <w:p>
            <w:pPr>
              <w:pStyle w:val="TableContents"/>
              <w:spacing w:before="0" w:after="283"/>
              <w:rPr>
                <w:sz w:val="4"/>
                <w:szCs w:val="4"/>
              </w:rPr>
            </w:pPr>
            <w:r>
              <w:rPr>
                <w:sz w:val="4"/>
                <w:szCs w:val="4"/>
              </w:rPr>
            </w:r>
          </w:p>
        </w:tc>
        <w:tc>
          <w:tcPr>
            <w:tcW w:w="710" w:type="dxa"/>
            <w:gridSpan w:val="4"/>
            <w:tcBorders/>
            <w:shd w:fill="auto" w:val="clear"/>
            <w:vAlign w:val="center"/>
          </w:tcPr>
          <w:p>
            <w:pPr>
              <w:pStyle w:val="TableContents"/>
              <w:spacing w:before="0" w:after="283"/>
              <w:rPr>
                <w:sz w:val="4"/>
                <w:szCs w:val="4"/>
              </w:rPr>
            </w:pPr>
            <w:r>
              <w:rPr>
                <w:sz w:val="4"/>
                <w:szCs w:val="4"/>
              </w:rPr>
            </w:r>
          </w:p>
        </w:tc>
      </w:tr>
      <w:tr>
        <w:trPr/>
        <w:tc>
          <w:tcPr>
            <w:tcW w:w="9495" w:type="dxa"/>
            <w:tcBorders/>
            <w:shd w:fill="auto" w:val="clear"/>
            <w:vAlign w:val="center"/>
          </w:tcPr>
          <w:p>
            <w:pPr>
              <w:pStyle w:val="TableContents"/>
              <w:spacing w:before="0" w:after="0"/>
              <w:rPr/>
            </w:pPr>
            <w:hyperlink w:anchor="toc440239_15">
              <w:r>
                <w:rPr>
                  <w:rStyle w:val="InternetLink"/>
                  <w:rFonts w:ascii="Times New Roman" w:hAnsi="Times New Roman"/>
                  <w:sz w:val="20"/>
                </w:rPr>
                <w:t>ADDITIONAL INFORMATION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45</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LAMAR ADVERTISING COMPANY </w:t>
      </w:r>
    </w:p>
    <w:p>
      <w:pPr>
        <w:pStyle w:val="TextBody"/>
        <w:spacing w:before="240" w:after="0"/>
        <w:jc w:val="center"/>
        <w:rPr>
          <w:rFonts w:ascii="Times New Roman" w:hAnsi="Times New Roman"/>
          <w:b/>
          <w:sz w:val="20"/>
        </w:rPr>
      </w:pPr>
      <w:r>
        <w:rPr>
          <w:rFonts w:ascii="Times New Roman" w:hAnsi="Times New Roman"/>
          <w:b/>
          <w:sz w:val="20"/>
        </w:rPr>
        <w:t xml:space="preserve">PROXY STATEMENT </w:t>
      </w:r>
    </w:p>
    <w:p>
      <w:pPr>
        <w:pStyle w:val="TextBody"/>
        <w:spacing w:before="0" w:after="0"/>
        <w:jc w:val="center"/>
        <w:rPr>
          <w:rFonts w:ascii="Times New Roman" w:hAnsi="Times New Roman"/>
          <w:b/>
          <w:sz w:val="20"/>
        </w:rPr>
      </w:pPr>
      <w:r>
        <w:rPr>
          <w:rFonts w:ascii="Times New Roman" w:hAnsi="Times New Roman"/>
          <w:b/>
          <w:sz w:val="20"/>
        </w:rPr>
        <w:t xml:space="preserve">FOR THE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TO BE HELD ON MAY 10, 2023 </w:t>
      </w:r>
    </w:p>
    <w:p>
      <w:pPr>
        <w:pStyle w:val="TextBody"/>
        <w:spacing w:before="240" w:after="0"/>
        <w:jc w:val="center"/>
        <w:rPr>
          <w:rFonts w:ascii="Times New Roman" w:hAnsi="Times New Roman"/>
          <w:b/>
          <w:sz w:val="20"/>
        </w:rPr>
      </w:pPr>
      <w:bookmarkStart w:id="3" w:name="toc440239_1"/>
      <w:bookmarkEnd w:id="3"/>
      <w:r>
        <w:rPr>
          <w:rFonts w:ascii="Times New Roman" w:hAnsi="Times New Roman"/>
          <w:b/>
          <w:sz w:val="20"/>
        </w:rPr>
        <w:t xml:space="preserve">GENERAL INFORMATION </w:t>
      </w:r>
    </w:p>
    <w:p>
      <w:pPr>
        <w:pStyle w:val="TextBody"/>
        <w:spacing w:before="240" w:after="0"/>
        <w:jc w:val="left"/>
        <w:rPr>
          <w:rFonts w:ascii="Times New Roman" w:hAnsi="Times New Roman"/>
          <w:sz w:val="20"/>
        </w:rPr>
      </w:pPr>
      <w:r>
        <w:rPr>
          <w:rFonts w:ascii="Times New Roman" w:hAnsi="Times New Roman"/>
          <w:sz w:val="20"/>
        </w:rPr>
        <w:t xml:space="preserve">This proxy statement is furnished in connection with the solicitation of proxies by the Board of Directors of Lamar Advertising Company for use at the Annual Meeting of Stockholders to be held solely by remote communication, in a virtual-only format, at 9:00 a.m. Central Daylight Time on Wednesday, May 10, 2023, and at any adjournments of the Annual Meeting. </w:t>
      </w:r>
    </w:p>
    <w:p>
      <w:pPr>
        <w:pStyle w:val="TextBody"/>
        <w:spacing w:before="240" w:after="0"/>
        <w:jc w:val="left"/>
        <w:rPr>
          <w:rFonts w:ascii="Times New Roman" w:hAnsi="Times New Roman"/>
          <w:sz w:val="20"/>
        </w:rPr>
      </w:pPr>
      <w:r>
        <w:rPr>
          <w:rFonts w:ascii="Times New Roman" w:hAnsi="Times New Roman"/>
          <w:sz w:val="20"/>
        </w:rPr>
        <w:t xml:space="preserve">We have elected to distribute our proxy materials for the Annual Meeting to holders of our Class A Common Stock via the internet under the “notice and access” approach permitted by the rules of the Securities and Exchange Commission (the “SEC”). Accordingly, on or about March 31, 2023, we will mail a Notice of Internet Availability of Proxy Materials (the “Notice”) to holders of Class A Common Stock that contains instructions on how to access the proxy materials, including this proxy statement and our annual report to stockholders for the fiscal year ended December 31, 2022, on the internet. Our annual report to stockholders includes a copy of our annual report on Form 10-K for the fiscal year ended December 31, 2022, as filed with the SEC on February 24, 2023, except for certain exhibits. Holders of our Class B Common Stock and Series AA Preferred Stock will receive printed copies of our proxy materials. </w:t>
      </w:r>
    </w:p>
    <w:p>
      <w:pPr>
        <w:pStyle w:val="TextBody"/>
        <w:spacing w:before="240" w:after="0"/>
        <w:jc w:val="left"/>
        <w:rPr>
          <w:rFonts w:ascii="Times New Roman" w:hAnsi="Times New Roman"/>
          <w:sz w:val="20"/>
        </w:rPr>
      </w:pPr>
      <w:r>
        <w:rPr>
          <w:rFonts w:ascii="Times New Roman" w:hAnsi="Times New Roman"/>
          <w:sz w:val="20"/>
        </w:rPr>
        <w:t xml:space="preserve">If you are a holder of our Class A Common Stock and would prefer to receive a paper copy of our proxy materials, please follow the instructions included in the Notice. </w:t>
      </w:r>
    </w:p>
    <w:p>
      <w:pPr>
        <w:pStyle w:val="TextBody"/>
        <w:spacing w:before="240" w:after="0"/>
        <w:jc w:val="left"/>
        <w:rPr>
          <w:rFonts w:ascii="Times New Roman" w:hAnsi="Times New Roman"/>
          <w:sz w:val="20"/>
        </w:rPr>
      </w:pPr>
      <w:r>
        <w:rPr>
          <w:rFonts w:ascii="Times New Roman" w:hAnsi="Times New Roman"/>
          <w:sz w:val="20"/>
        </w:rPr>
        <w:t xml:space="preserve">To be admitted to the virtual-only Annual Meeting, stockholders as of the record date must use the following link: www.virtualshareholdermeeting.com/LAMR2023 and enter the 16-digit control number found on the proxy card or the voting instruction form. By logging into the website, Class A Common Stockholders as of the record date will be able to vote shares electronically on all items to be considered at the Annual Meeting. If a stockholder as of the record date has any question pertaining to the business of the Annual Meeting, it must be submitted in advance of the Annual Meeting by visiting www.proxyvote.com. Questions may be submitted until 10:59 p.m. CDT, on Monday, May 8, 2023. Stockholders must have their proxy cards or voting instruction forms in hand when accessing the website and follow the instructions. To allow us to respond at the Annual Meeting to the maximum number of stockholders, each stockholder will be limited to one question. </w:t>
      </w:r>
    </w:p>
    <w:p>
      <w:pPr>
        <w:pStyle w:val="TextBody"/>
        <w:spacing w:before="480" w:after="0"/>
        <w:jc w:val="center"/>
        <w:rPr>
          <w:rFonts w:ascii="Times New Roman" w:hAnsi="Times New Roman"/>
          <w:b/>
          <w:sz w:val="20"/>
        </w:rPr>
      </w:pPr>
      <w:r>
        <w:rPr>
          <w:rFonts w:ascii="Times New Roman" w:hAnsi="Times New Roman"/>
          <w:b/>
          <w:sz w:val="20"/>
        </w:rPr>
        <w:t xml:space="preserve">Important Notice Regarding the Availability of Proxy Materials </w:t>
      </w:r>
    </w:p>
    <w:p>
      <w:pPr>
        <w:pStyle w:val="TextBody"/>
        <w:spacing w:before="0" w:after="0"/>
        <w:jc w:val="center"/>
        <w:rPr>
          <w:rFonts w:ascii="Times New Roman" w:hAnsi="Times New Roman"/>
          <w:b/>
          <w:sz w:val="20"/>
        </w:rPr>
      </w:pPr>
      <w:r>
        <w:rPr>
          <w:rFonts w:ascii="Times New Roman" w:hAnsi="Times New Roman"/>
          <w:b/>
          <w:sz w:val="20"/>
        </w:rPr>
        <w:t xml:space="preserve">for the Stockholder Meeting to Be Held on May 10, 2023 </w:t>
      </w:r>
    </w:p>
    <w:p>
      <w:pPr>
        <w:pStyle w:val="TextBody"/>
        <w:spacing w:before="240" w:after="0"/>
        <w:jc w:val="left"/>
        <w:rPr>
          <w:rFonts w:ascii="Times New Roman" w:hAnsi="Times New Roman"/>
          <w:sz w:val="20"/>
        </w:rPr>
      </w:pPr>
      <w:r>
        <w:rPr>
          <w:rFonts w:ascii="Times New Roman" w:hAnsi="Times New Roman"/>
          <w:sz w:val="20"/>
        </w:rPr>
        <w:t xml:space="preserve">The proxy statement and annual report to security holders are available at https://materials.proxyvote.com/512816. </w:t>
      </w:r>
    </w:p>
    <w:p>
      <w:pPr>
        <w:pStyle w:val="TextBody"/>
        <w:spacing w:before="360" w:after="0"/>
        <w:jc w:val="left"/>
        <w:rPr>
          <w:rFonts w:ascii="Times New Roman" w:hAnsi="Times New Roman"/>
          <w:b/>
          <w:sz w:val="20"/>
        </w:rPr>
      </w:pPr>
      <w:r>
        <w:rPr>
          <w:rFonts w:ascii="Times New Roman" w:hAnsi="Times New Roman"/>
          <w:b/>
          <w:sz w:val="20"/>
        </w:rPr>
        <w:t xml:space="preserve">Record Date, Voting Rights and Outstanding Shares </w:t>
      </w:r>
    </w:p>
    <w:p>
      <w:pPr>
        <w:pStyle w:val="TextBody"/>
        <w:spacing w:before="120" w:after="0"/>
        <w:jc w:val="left"/>
        <w:rPr>
          <w:rFonts w:ascii="Times New Roman" w:hAnsi="Times New Roman"/>
          <w:sz w:val="20"/>
        </w:rPr>
      </w:pPr>
      <w:r>
        <w:rPr>
          <w:rFonts w:ascii="Times New Roman" w:hAnsi="Times New Roman"/>
          <w:sz w:val="20"/>
        </w:rPr>
        <w:t xml:space="preserve">The Board of Directors has fixed March 13, 2023, as the record date for determining the holders of our capital stock who are entitled to vote at the Annual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have two classes of common stock and one class of preferred stock issued and outstanding: Class A Common Stock, $0.001 par value per share, Class B Common Stock, $0.001 par value per share, and Series AA Preferred Stock, $0.001 par value per share. We refer to our Class A Common Stock and our Class B Common Stock collectively as our common stock. </w:t>
      </w:r>
    </w:p>
    <w:p>
      <w:pPr>
        <w:pStyle w:val="TextBody"/>
        <w:spacing w:before="240" w:after="0"/>
        <w:jc w:val="left"/>
        <w:rPr>
          <w:rFonts w:ascii="Times New Roman" w:hAnsi="Times New Roman"/>
          <w:sz w:val="20"/>
        </w:rPr>
      </w:pPr>
      <w:r>
        <w:rPr>
          <w:rFonts w:ascii="Times New Roman" w:hAnsi="Times New Roman"/>
          <w:sz w:val="20"/>
        </w:rPr>
        <w:t xml:space="preserve">With respect to the matters submitted for vote at the Annual Meeting, each share of Class A Common Stock is entitled to one vote, each share of Class B Common Stock is entitled to ten votes, and each share of Series AA Preferred Stock is entitled to one vote. </w:t>
      </w:r>
    </w:p>
    <w:p>
      <w:pPr>
        <w:pStyle w:val="TextBody"/>
        <w:spacing w:before="240" w:after="0"/>
        <w:jc w:val="left"/>
        <w:rPr>
          <w:rFonts w:ascii="Times New Roman" w:hAnsi="Times New Roman"/>
          <w:sz w:val="20"/>
        </w:rPr>
      </w:pPr>
      <w:r>
        <w:rPr>
          <w:rFonts w:ascii="Times New Roman" w:hAnsi="Times New Roman"/>
          <w:sz w:val="20"/>
        </w:rPr>
        <w:t xml:space="preserve">Our Class A Common Stock, Class B Common Stock and Series AA Preferred Stock will vote as a single class on the matters submitted at the Annual Meeting. On March 13, 2023, there were outstanding and entitled to vote 87,457,686 shares of Class A Common Stock, 14,420,085 shares of Class B Common Stock, and 5,719.49 shares of Series AA Preferred Stock. </w:t>
      </w:r>
    </w:p>
    <w:p>
      <w:pPr>
        <w:pStyle w:val="TextBody"/>
        <w:spacing w:before="240" w:after="0"/>
        <w:jc w:val="left"/>
        <w:rPr>
          <w:rFonts w:ascii="Times New Roman" w:hAnsi="Times New Roman"/>
          <w:sz w:val="20"/>
        </w:rPr>
      </w:pPr>
      <w:r>
        <w:rPr>
          <w:rFonts w:ascii="Times New Roman" w:hAnsi="Times New Roman"/>
          <w:sz w:val="20"/>
        </w:rPr>
        <w:t xml:space="preserve">The presence at the Annual Meeting, in person or by proxy, of the holders of one-third of the issued and outstanding shares of Class A Common Stock, Class B Common Stock, and Series AA Preferred Stock entitled to vote at the close of business on March 13, 2023 will constitute a quorum for the transaction of business. If you are a beneficial owner whose shares are held of record by a broker, you must instruct the broker how to vote your shares. If you do not provide voting instructions, your shares will not be voted on any proposal on which the broker does not have discretionary authority to vote. This is called a “broker non-vote.” We will count broker non-votes, votes withheld, and abstentions as being present at the Annual Meeting for purposes of determining whether a quorum exists. </w:t>
      </w:r>
    </w:p>
    <w:p>
      <w:pPr>
        <w:pStyle w:val="TextBody"/>
        <w:spacing w:before="240" w:after="0"/>
        <w:jc w:val="left"/>
        <w:rPr>
          <w:rFonts w:ascii="Times New Roman" w:hAnsi="Times New Roman"/>
          <w:sz w:val="20"/>
        </w:rPr>
      </w:pPr>
      <w:r>
        <w:rPr>
          <w:rFonts w:ascii="Times New Roman" w:hAnsi="Times New Roman"/>
          <w:sz w:val="20"/>
        </w:rPr>
        <w:t xml:space="preserve">Holders of our Class A Common Stock who do not attend the virtual Annual Meeting may vote their shares electronically via the internet or by telephone, or may request printed proxy materials and submit the proxy card enclosed therein by mail. Holders of our Class B Common Stock and Series AA Preferred Stock who do not attend the virtual Annual Meeting may vote their shares by submitting the proxy card enclosed in our printed proxy materials by mail, but may not vote their shares electronically via the internet or by telephone. </w:t>
      </w:r>
    </w:p>
    <w:p>
      <w:pPr>
        <w:pStyle w:val="TextBody"/>
        <w:spacing w:before="240" w:after="0"/>
        <w:jc w:val="left"/>
        <w:rPr>
          <w:rFonts w:ascii="Times New Roman" w:hAnsi="Times New Roman"/>
          <w:sz w:val="20"/>
        </w:rPr>
      </w:pPr>
      <w:r>
        <w:rPr>
          <w:rFonts w:ascii="Times New Roman" w:hAnsi="Times New Roman"/>
          <w:sz w:val="20"/>
        </w:rPr>
        <w:t xml:space="preserve">Internet and telephone voting are available through 11:59 p.m. Central Daylight Time on May 9, 2023. Proxy cards sent by mail, if received in time for voting and not revoked, will be voted at the Annual Meeting according to the instructions on the proxy cards. If no instructions are indicated, the shares represented by the proxy will be voted: </w:t>
      </w:r>
    </w:p>
    <w:p>
      <w:pPr>
        <w:pStyle w:val="TextBody"/>
        <w:spacing w:before="0" w:after="0"/>
        <w:jc w:val="left"/>
        <w:rPr/>
      </w:pPr>
      <w:r>
        <w:rPr/>
        <w:t> </w:t>
      </w:r>
    </w:p>
    <w:tbl>
      <w:tblPr>
        <w:tblW w:w="4945" w:type="dxa"/>
        <w:jc w:val="left"/>
        <w:tblInd w:w="0" w:type="dxa"/>
        <w:tblCellMar>
          <w:top w:w="0" w:type="dxa"/>
          <w:left w:w="0" w:type="dxa"/>
          <w:bottom w:w="0" w:type="dxa"/>
          <w:right w:w="0" w:type="dxa"/>
        </w:tblCellMar>
      </w:tblPr>
      <w:tblGrid>
        <w:gridCol w:w="75"/>
        <w:gridCol w:w="110"/>
        <w:gridCol w:w="60"/>
        <w:gridCol w:w="47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0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the election of the director nominees named herein;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the approval, on an advisory and non-binding basis, of the compensation of the Company’s named executive officers;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FOR EVERY THREE YEARS</w:t>
            </w:r>
            <w:r>
              <w:rPr>
                <w:rFonts w:ascii="Times New Roman" w:hAnsi="Times New Roman"/>
                <w:sz w:val="20"/>
              </w:rPr>
              <w:t xml:space="preserve"> for the frequency, on an advisory and non-binding basis, of future advisory votes on executive compensation;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b/>
                <w:sz w:val="20"/>
              </w:rPr>
              <w:t xml:space="preserve">FOR </w:t>
            </w:r>
            <w:r>
              <w:rPr>
                <w:rFonts w:ascii="Times New Roman" w:hAnsi="Times New Roman"/>
                <w:sz w:val="20"/>
              </w:rPr>
              <w:t xml:space="preserve">the ratification of the appointment of KPMG LLP as the Company’s independent registered public accounting firm for the 2023 fiscal year;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 accordance with the judgment of the proxy holders as to any other matter that may be properly brought before the Annual Meeting or any adjournments of the Annual Meeting.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Shares counted as present at the Annual Meeting that abstain from voting on a particular matter or that are represented by a broker non-vote as to a particular matter will not be considered as votes cast on that matter. Accordingly, abstentions and broker non-votes will not affect the outcome of any matter to be voted on at the Annual Meeting that requires the affirmative vote of a certain percentage or a plurality of the votes cast on a matter to approve it. </w:t>
      </w:r>
    </w:p>
    <w:p>
      <w:pPr>
        <w:pStyle w:val="TextBody"/>
        <w:spacing w:before="360" w:after="0"/>
        <w:jc w:val="left"/>
        <w:rPr>
          <w:rFonts w:ascii="Times New Roman" w:hAnsi="Times New Roman"/>
          <w:b/>
          <w:sz w:val="20"/>
        </w:rPr>
      </w:pPr>
      <w:r>
        <w:rPr>
          <w:rFonts w:ascii="Times New Roman" w:hAnsi="Times New Roman"/>
          <w:b/>
          <w:sz w:val="20"/>
        </w:rPr>
        <w:t xml:space="preserve">Voting of Proxies </w:t>
      </w:r>
    </w:p>
    <w:p>
      <w:pPr>
        <w:pStyle w:val="TextBody"/>
        <w:spacing w:before="120" w:after="0"/>
        <w:jc w:val="left"/>
        <w:rPr>
          <w:rFonts w:ascii="Times New Roman" w:hAnsi="Times New Roman"/>
          <w:sz w:val="20"/>
        </w:rPr>
      </w:pPr>
      <w:r>
        <w:rPr>
          <w:rFonts w:ascii="Times New Roman" w:hAnsi="Times New Roman"/>
          <w:sz w:val="20"/>
        </w:rPr>
        <w:t xml:space="preserve">If you hold shares of our Class A Common Stock, please refer to the Notice for instructions regarding how to access our proxy materials and vote your shares electronically via the internet or by telephone. The Notice also contains instructions if you would like to receive a paper copy of our proxy materials and vote by mail. You may also vote at the virtual Annual Meeting. If you hold your shares through a bank, broker or other nominee, it will give you separate instructions for voting your shares. </w:t>
      </w:r>
    </w:p>
    <w:p>
      <w:pPr>
        <w:pStyle w:val="TextBody"/>
        <w:spacing w:before="240" w:after="0"/>
        <w:jc w:val="left"/>
        <w:rPr>
          <w:rFonts w:ascii="Times New Roman" w:hAnsi="Times New Roman"/>
          <w:sz w:val="20"/>
        </w:rPr>
      </w:pPr>
      <w:r>
        <w:rPr>
          <w:rFonts w:ascii="Times New Roman" w:hAnsi="Times New Roman"/>
          <w:sz w:val="20"/>
        </w:rPr>
        <w:t xml:space="preserve">If you hold shares of our Class B Common Stock or Series AA Preferred Stock, you may vote by mail by submitting the proxy card enclosed in our printed proxy materials. </w:t>
      </w:r>
    </w:p>
    <w:p>
      <w:pPr>
        <w:pStyle w:val="TextBody"/>
        <w:spacing w:before="360" w:after="0"/>
        <w:jc w:val="left"/>
        <w:rPr>
          <w:rFonts w:ascii="Times New Roman" w:hAnsi="Times New Roman"/>
          <w:b/>
          <w:sz w:val="20"/>
        </w:rPr>
      </w:pPr>
      <w:r>
        <w:rPr>
          <w:rFonts w:ascii="Times New Roman" w:hAnsi="Times New Roman"/>
          <w:b/>
          <w:sz w:val="20"/>
        </w:rPr>
        <w:t xml:space="preserve">Revocability of Proxies </w:t>
      </w:r>
    </w:p>
    <w:p>
      <w:pPr>
        <w:pStyle w:val="TextBody"/>
        <w:spacing w:before="120" w:after="0"/>
        <w:jc w:val="left"/>
        <w:rPr>
          <w:rFonts w:ascii="Times New Roman" w:hAnsi="Times New Roman"/>
          <w:sz w:val="20"/>
        </w:rPr>
      </w:pPr>
      <w:r>
        <w:rPr>
          <w:rFonts w:ascii="Times New Roman" w:hAnsi="Times New Roman"/>
          <w:sz w:val="20"/>
        </w:rPr>
        <w:t xml:space="preserve">Any stockholder giving a proxy has the power to revoke it at any time before it is exercised. You may revoke the proxy by filing an instrument of revocation or a duly executed proxy bearing a later date with our Secretary at our principal executive offices, 5321 Corporate Boulevard, Baton Rouge, Louisiana 70808. You may also revoke your proxy by attending the virtual Annual Meeting and voting through the virtual Annual Meeting platform. If you do not revoke your proxy, we will vote the proxy at the Annual Meeting in accordance with the instructions indicated on your proxy card. </w:t>
      </w:r>
    </w:p>
    <w:p>
      <w:pPr>
        <w:pStyle w:val="TextBody"/>
        <w:spacing w:before="360" w:after="0"/>
        <w:jc w:val="left"/>
        <w:rPr>
          <w:rFonts w:ascii="Times New Roman" w:hAnsi="Times New Roman"/>
          <w:b/>
          <w:sz w:val="20"/>
        </w:rPr>
      </w:pPr>
      <w:r>
        <w:rPr>
          <w:rFonts w:ascii="Times New Roman" w:hAnsi="Times New Roman"/>
          <w:b/>
          <w:sz w:val="20"/>
        </w:rPr>
        <w:t xml:space="preserve">Householding of Annual Meeting Materials </w:t>
      </w:r>
    </w:p>
    <w:p>
      <w:pPr>
        <w:pStyle w:val="TextBody"/>
        <w:spacing w:before="120" w:after="0"/>
        <w:jc w:val="left"/>
        <w:rPr>
          <w:rFonts w:ascii="Times New Roman" w:hAnsi="Times New Roman"/>
          <w:sz w:val="20"/>
        </w:rPr>
      </w:pPr>
      <w:r>
        <w:rPr>
          <w:rFonts w:ascii="Times New Roman" w:hAnsi="Times New Roman"/>
          <w:sz w:val="20"/>
        </w:rPr>
        <w:t xml:space="preserve">As permitted by the SEC, we have adopted a procedure called “householding” to satisfy the rules regarding delivery of proxy materials. This means that only one copy of our Notice or proxy materials may have been sent to multiple stockholders with the same last name in your household. We will promptly deliver a separate copy of any document to you upon request. Requests may be made by calling Broadridge Financial Solutions, Inc., toll-free in the United States at 1-866-540-7095 or by writing to Broadridge Financial Solutions, Inc. Attn. Householding Department, 51 Mercedes Way, Edgewood, New York 11717.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oc440239_2"/>
      <w:bookmarkEnd w:id="4"/>
      <w:r>
        <w:rPr>
          <w:rFonts w:ascii="Times New Roman" w:hAnsi="Times New Roman"/>
          <w:b/>
          <w:sz w:val="20"/>
        </w:rPr>
        <w:t xml:space="preserve">SHARE OWNERSHIP </w:t>
      </w:r>
    </w:p>
    <w:p>
      <w:pPr>
        <w:pStyle w:val="TextBody"/>
        <w:spacing w:before="240" w:after="0"/>
        <w:jc w:val="left"/>
        <w:rPr>
          <w:rFonts w:ascii="Times New Roman" w:hAnsi="Times New Roman"/>
          <w:b/>
          <w:sz w:val="20"/>
        </w:rPr>
      </w:pPr>
      <w:r>
        <w:rPr>
          <w:rFonts w:ascii="Times New Roman" w:hAnsi="Times New Roman"/>
          <w:b/>
          <w:sz w:val="20"/>
        </w:rPr>
        <w:t xml:space="preserve">Common Stock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certain information known to us as of March 13, 2023 with respect to the shares of our Class A Common Stock and Class B Common Stock beneficially owned as of that date by: (i) each of our directors and each of our nominees for director; (ii) each of our executive officers named in the 2022 Summary Compensation Table contained in this proxy statement; (iii) all of our directors and executive officers as a group; and (iv) each person known by us to beneficially own more than 5% of our Class A Common Stock or Class B Common Stock. Our Class B Common Stock is convertible into Class A Common Stock on a one-for-one basis. Except as otherwise indicated, we believe each beneficial owner named below has sole voting and sole investment power with respect to all shares beneficially owned by that holder. Except as otherwise indicated, the address for each stockholder is 5321 Corporate Boulevard, Baton Rouge, Louisiana 70808. Percentage calculations of beneficial ownership are based on 87,457,686 shares of Class A Common Stock and 14,420,085 shares of Class B Common Stock outstanding on March 13, 2023.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724"/>
        <w:gridCol w:w="120"/>
        <w:gridCol w:w="62"/>
        <w:gridCol w:w="1278"/>
        <w:gridCol w:w="324"/>
        <w:gridCol w:w="60"/>
        <w:gridCol w:w="71"/>
        <w:gridCol w:w="1314"/>
        <w:gridCol w:w="481"/>
        <w:gridCol w:w="60"/>
        <w:gridCol w:w="102"/>
        <w:gridCol w:w="953"/>
        <w:gridCol w:w="656"/>
      </w:tblGrid>
      <w:tr>
        <w:trPr/>
        <w:tc>
          <w:tcPr>
            <w:tcW w:w="47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r>
      <w:tr>
        <w:trPr/>
        <w:tc>
          <w:tcPr>
            <w:tcW w:w="4724"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Beneficial Owner</w:t>
            </w:r>
          </w:p>
        </w:tc>
        <w:tc>
          <w:tcPr>
            <w:tcW w:w="120" w:type="dxa"/>
            <w:tcBorders/>
            <w:shd w:fill="auto" w:val="clear"/>
            <w:vAlign w:val="center"/>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Title of Class</w:t>
            </w:r>
          </w:p>
        </w:tc>
        <w:tc>
          <w:tcPr>
            <w:tcW w:w="3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No. of Shares</w:t>
            </w:r>
            <w:r>
              <w:rPr/>
              <w:br/>
            </w:r>
            <w:r>
              <w:rPr>
                <w:b/>
              </w:rPr>
              <w:t>Owned**</w:t>
            </w:r>
          </w:p>
        </w:tc>
        <w:tc>
          <w:tcPr>
            <w:tcW w:w="48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 of</w:t>
            </w:r>
            <w:r>
              <w:rPr/>
              <w:br/>
            </w:r>
            <w:r>
              <w:rPr>
                <w:b/>
              </w:rPr>
              <w:t>Class</w:t>
            </w:r>
          </w:p>
        </w:tc>
        <w:tc>
          <w:tcPr>
            <w:tcW w:w="656" w:type="dxa"/>
            <w:tcBorders/>
            <w:shd w:fill="auto" w:val="clear"/>
            <w:vAlign w:val="center"/>
          </w:tcPr>
          <w:p>
            <w:pPr>
              <w:pStyle w:val="TableContents"/>
              <w:spacing w:before="0" w:after="283"/>
              <w:rPr/>
            </w:pPr>
            <w:r>
              <w:rPr/>
              <w:t> </w:t>
            </w:r>
          </w:p>
        </w:tc>
      </w:tr>
      <w:tr>
        <w:trPr/>
        <w:tc>
          <w:tcPr>
            <w:tcW w:w="4724"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Directors, Nominees for Director and Executive Officers</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sz w:val="4"/>
                <w:szCs w:val="4"/>
              </w:rPr>
            </w:pPr>
            <w:r>
              <w:rPr>
                <w:sz w:val="4"/>
                <w:szCs w:val="4"/>
              </w:rPr>
            </w:r>
          </w:p>
        </w:tc>
        <w:tc>
          <w:tcPr>
            <w:tcW w:w="1278" w:type="dxa"/>
            <w:tcBorders/>
            <w:shd w:fill="CCEEFF" w:val="clear"/>
            <w:vAlign w:val="center"/>
          </w:tcPr>
          <w:p>
            <w:pPr>
              <w:pStyle w:val="TableContents"/>
              <w:spacing w:before="0" w:after="283"/>
              <w:rPr>
                <w:sz w:val="4"/>
                <w:szCs w:val="4"/>
              </w:rPr>
            </w:pPr>
            <w:r>
              <w:rPr>
                <w:sz w:val="4"/>
                <w:szCs w:val="4"/>
              </w:rPr>
            </w:r>
          </w:p>
        </w:tc>
        <w:tc>
          <w:tcPr>
            <w:tcW w:w="324"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sz w:val="4"/>
                <w:szCs w:val="4"/>
              </w:rPr>
            </w:pPr>
            <w:r>
              <w:rPr>
                <w:sz w:val="4"/>
                <w:szCs w:val="4"/>
              </w:rPr>
            </w:r>
          </w:p>
        </w:tc>
        <w:tc>
          <w:tcPr>
            <w:tcW w:w="1314" w:type="dxa"/>
            <w:tcBorders/>
            <w:shd w:fill="CCEEFF" w:val="clear"/>
            <w:vAlign w:val="center"/>
          </w:tcPr>
          <w:p>
            <w:pPr>
              <w:pStyle w:val="TableContents"/>
              <w:spacing w:before="0" w:after="283"/>
              <w:rPr>
                <w:sz w:val="4"/>
                <w:szCs w:val="4"/>
              </w:rPr>
            </w:pPr>
            <w:r>
              <w:rPr>
                <w:sz w:val="4"/>
                <w:szCs w:val="4"/>
              </w:rPr>
            </w:r>
          </w:p>
        </w:tc>
        <w:tc>
          <w:tcPr>
            <w:tcW w:w="481"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sz w:val="4"/>
                <w:szCs w:val="4"/>
              </w:rPr>
            </w:pPr>
            <w:r>
              <w:rPr>
                <w:sz w:val="4"/>
                <w:szCs w:val="4"/>
              </w:rPr>
            </w:r>
          </w:p>
        </w:tc>
        <w:tc>
          <w:tcPr>
            <w:tcW w:w="953" w:type="dxa"/>
            <w:tcBorders/>
            <w:shd w:fill="CCEEFF" w:val="clear"/>
            <w:vAlign w:val="center"/>
          </w:tcPr>
          <w:p>
            <w:pPr>
              <w:pStyle w:val="TableContents"/>
              <w:spacing w:before="0" w:after="283"/>
              <w:rPr>
                <w:sz w:val="4"/>
                <w:szCs w:val="4"/>
              </w:rPr>
            </w:pPr>
            <w:r>
              <w:rPr>
                <w:sz w:val="4"/>
                <w:szCs w:val="4"/>
              </w:rPr>
            </w:r>
          </w:p>
        </w:tc>
        <w:tc>
          <w:tcPr>
            <w:tcW w:w="656" w:type="dxa"/>
            <w:tcBorders/>
            <w:shd w:fill="CCEEFF" w:val="clear"/>
            <w:vAlign w:val="center"/>
          </w:tcPr>
          <w:p>
            <w:pPr>
              <w:pStyle w:val="TableContents"/>
              <w:spacing w:before="0" w:after="283"/>
              <w:rPr>
                <w:sz w:val="4"/>
                <w:szCs w:val="4"/>
              </w:rPr>
            </w:pPr>
            <w:r>
              <w:rPr>
                <w:sz w:val="4"/>
                <w:szCs w:val="4"/>
              </w:rPr>
            </w:r>
          </w:p>
        </w:tc>
      </w:tr>
      <w:tr>
        <w:trPr/>
        <w:tc>
          <w:tcPr>
            <w:tcW w:w="472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Kevin P. Reilly, Jr.†</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78" w:type="dxa"/>
            <w:tcBorders/>
            <w:shd w:fill="auto" w:val="clear"/>
            <w:vAlign w:val="center"/>
          </w:tcPr>
          <w:p>
            <w:pPr>
              <w:pStyle w:val="TableContents"/>
              <w:jc w:val="right"/>
              <w:rPr/>
            </w:pPr>
            <w:r>
              <w:rPr/>
              <w:t>Class A</w:t>
            </w:r>
          </w:p>
          <w:p>
            <w:pPr>
              <w:pStyle w:val="TableContents"/>
              <w:spacing w:before="0" w:after="20"/>
              <w:jc w:val="right"/>
              <w:rPr>
                <w:rFonts w:ascii="Times New Roman" w:hAnsi="Times New Roman"/>
                <w:sz w:val="20"/>
              </w:rPr>
            </w:pPr>
            <w:r>
              <w:rPr>
                <w:rFonts w:ascii="Times New Roman" w:hAnsi="Times New Roman"/>
                <w:sz w:val="20"/>
              </w:rPr>
              <w:t>Class B</w:t>
            </w:r>
          </w:p>
        </w:tc>
        <w:tc>
          <w:tcPr>
            <w:tcW w:w="324" w:type="dxa"/>
            <w:tcBorders/>
            <w:shd w:fill="auto" w:val="clear"/>
            <w:vAlign w:val="center"/>
          </w:tcPr>
          <w:p>
            <w:pPr>
              <w:pStyle w:val="TableContents"/>
              <w:rPr/>
            </w:pPr>
            <w:r>
              <w:rPr/>
              <w:t> </w:t>
            </w:r>
          </w:p>
          <w:p>
            <w:pPr>
              <w:pStyle w:val="TableContents"/>
              <w:spacing w:before="0" w:after="20"/>
              <w:rPr>
                <w:rFonts w:ascii="Times New Roman" w:hAnsi="Times New Roman"/>
                <w:sz w:val="20"/>
              </w:rPr>
            </w:pPr>
            <w:r>
              <w:rPr>
                <w:rFonts w:ascii="Times New Roman" w:hAnsi="Times New Roman"/>
                <w:sz w:val="20"/>
              </w:rPr>
              <w:t>(1)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jc w:val="right"/>
              <w:rPr/>
            </w:pPr>
            <w:r>
              <w:rPr/>
              <w:t>423,607</w:t>
            </w:r>
          </w:p>
          <w:p>
            <w:pPr>
              <w:pStyle w:val="TableContents"/>
              <w:spacing w:before="0" w:after="20"/>
              <w:jc w:val="right"/>
              <w:rPr>
                <w:rFonts w:ascii="Times New Roman" w:hAnsi="Times New Roman"/>
                <w:sz w:val="20"/>
              </w:rPr>
            </w:pPr>
            <w:r>
              <w:rPr>
                <w:rFonts w:ascii="Times New Roman" w:hAnsi="Times New Roman"/>
                <w:sz w:val="20"/>
              </w:rPr>
              <w:t>11,362,250</w:t>
            </w:r>
          </w:p>
        </w:tc>
        <w:tc>
          <w:tcPr>
            <w:tcW w:w="481" w:type="dxa"/>
            <w:tcBorders/>
            <w:shd w:fill="auto" w:val="clear"/>
            <w:vAlign w:val="center"/>
          </w:tcPr>
          <w:p>
            <w:pPr>
              <w:pStyle w:val="TableContents"/>
              <w:rPr/>
            </w:pPr>
            <w:r>
              <w:rPr/>
              <w:t> </w:t>
            </w:r>
          </w:p>
          <w:p>
            <w:pPr>
              <w:pStyle w:val="TableContents"/>
              <w:spacing w:before="0" w:after="20"/>
              <w:rPr>
                <w:rFonts w:ascii="Times New Roman" w:hAnsi="Times New Roman"/>
                <w:sz w:val="20"/>
              </w:rPr>
            </w:pPr>
            <w:r>
              <w:rPr>
                <w:rFonts w:ascii="Times New Roman" w:hAnsi="Times New Roman"/>
                <w:sz w:val="20"/>
              </w:rPr>
              <w:t>(2)(3)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jc w:val="right"/>
              <w:rPr/>
            </w:pPr>
            <w:r>
              <w:rPr/>
            </w:r>
          </w:p>
          <w:p>
            <w:pPr>
              <w:pStyle w:val="TableContents"/>
              <w:spacing w:before="0" w:after="20"/>
              <w:jc w:val="right"/>
              <w:rPr>
                <w:rFonts w:ascii="Times New Roman" w:hAnsi="Times New Roman"/>
                <w:sz w:val="20"/>
              </w:rPr>
            </w:pPr>
            <w:r>
              <w:rPr>
                <w:rFonts w:ascii="Times New Roman" w:hAnsi="Times New Roman"/>
                <w:sz w:val="20"/>
              </w:rPr>
              <w:t>78.79</w:t>
            </w:r>
          </w:p>
        </w:tc>
        <w:tc>
          <w:tcPr>
            <w:tcW w:w="656" w:type="dxa"/>
            <w:tcBorders/>
            <w:shd w:fill="auto" w:val="clear"/>
            <w:vAlign w:val="center"/>
          </w:tcPr>
          <w:p>
            <w:pPr>
              <w:pStyle w:val="TableContents"/>
              <w:rPr/>
            </w:pPr>
            <w:r>
              <w:rPr/>
              <w:t>* </w:t>
            </w:r>
          </w:p>
          <w:p>
            <w:pPr>
              <w:pStyle w:val="TableContents"/>
              <w:spacing w:before="0" w:after="20"/>
              <w:rPr>
                <w:rFonts w:ascii="Times New Roman" w:hAnsi="Times New Roman"/>
                <w:sz w:val="20"/>
              </w:rPr>
            </w:pPr>
            <w:r>
              <w:rPr>
                <w:rFonts w:ascii="Times New Roman" w:hAnsi="Times New Roman"/>
                <w:sz w:val="20"/>
              </w:rPr>
              <w:t>%(4) </w:t>
            </w:r>
          </w:p>
        </w:tc>
      </w:tr>
      <w:tr>
        <w:trPr/>
        <w:tc>
          <w:tcPr>
            <w:tcW w:w="472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Sean E. Reilly</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278" w:type="dxa"/>
            <w:tcBorders/>
            <w:shd w:fill="CCEEFF" w:val="clear"/>
            <w:vAlign w:val="center"/>
          </w:tcPr>
          <w:p>
            <w:pPr>
              <w:pStyle w:val="TableContents"/>
              <w:jc w:val="right"/>
              <w:rPr/>
            </w:pPr>
            <w:r>
              <w:rPr/>
              <w:t>Class A</w:t>
            </w:r>
          </w:p>
          <w:p>
            <w:pPr>
              <w:pStyle w:val="TableContents"/>
              <w:spacing w:before="0" w:after="20"/>
              <w:jc w:val="right"/>
              <w:rPr>
                <w:rFonts w:ascii="Times New Roman" w:hAnsi="Times New Roman"/>
                <w:sz w:val="20"/>
              </w:rPr>
            </w:pPr>
            <w:r>
              <w:rPr>
                <w:rFonts w:ascii="Times New Roman" w:hAnsi="Times New Roman"/>
                <w:sz w:val="20"/>
              </w:rPr>
              <w:t>Class B</w:t>
            </w:r>
          </w:p>
        </w:tc>
        <w:tc>
          <w:tcPr>
            <w:tcW w:w="324" w:type="dxa"/>
            <w:tcBorders/>
            <w:shd w:fill="CCEEFF" w:val="clear"/>
            <w:vAlign w:val="center"/>
          </w:tcPr>
          <w:p>
            <w:pPr>
              <w:pStyle w:val="TableContents"/>
              <w:rPr/>
            </w:pPr>
            <w:r>
              <w:rPr/>
              <w:t> </w:t>
            </w:r>
          </w:p>
          <w:p>
            <w:pPr>
              <w:pStyle w:val="TableContents"/>
              <w:spacing w:before="0" w:after="20"/>
              <w:rPr>
                <w:rFonts w:ascii="Times New Roman" w:hAnsi="Times New Roman"/>
                <w:sz w:val="20"/>
              </w:rPr>
            </w:pPr>
            <w:r>
              <w:rPr>
                <w:rFonts w:ascii="Times New Roman" w:hAnsi="Times New Roman"/>
                <w:sz w:val="20"/>
              </w:rPr>
              <w:t>(1)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314" w:type="dxa"/>
            <w:tcBorders/>
            <w:shd w:fill="CCEEFF" w:val="clear"/>
            <w:vAlign w:val="center"/>
          </w:tcPr>
          <w:p>
            <w:pPr>
              <w:pStyle w:val="TableContents"/>
              <w:jc w:val="right"/>
              <w:rPr/>
            </w:pPr>
            <w:r>
              <w:rPr/>
              <w:t>48,513</w:t>
            </w:r>
          </w:p>
          <w:p>
            <w:pPr>
              <w:pStyle w:val="TableContents"/>
              <w:spacing w:before="0" w:after="20"/>
              <w:jc w:val="right"/>
              <w:rPr>
                <w:rFonts w:ascii="Times New Roman" w:hAnsi="Times New Roman"/>
                <w:sz w:val="20"/>
              </w:rPr>
            </w:pPr>
            <w:r>
              <w:rPr>
                <w:rFonts w:ascii="Times New Roman" w:hAnsi="Times New Roman"/>
                <w:sz w:val="20"/>
              </w:rPr>
              <w:t>10,557,835</w:t>
            </w:r>
          </w:p>
        </w:tc>
        <w:tc>
          <w:tcPr>
            <w:tcW w:w="481" w:type="dxa"/>
            <w:tcBorders/>
            <w:shd w:fill="CCEEFF" w:val="clear"/>
            <w:vAlign w:val="center"/>
          </w:tcPr>
          <w:p>
            <w:pPr>
              <w:pStyle w:val="TableContents"/>
              <w:rPr/>
            </w:pPr>
            <w:r>
              <w:rPr/>
              <w:t> </w:t>
            </w:r>
          </w:p>
          <w:p>
            <w:pPr>
              <w:pStyle w:val="TableContents"/>
              <w:spacing w:before="0" w:after="20"/>
              <w:rPr>
                <w:rFonts w:ascii="Times New Roman" w:hAnsi="Times New Roman"/>
                <w:sz w:val="20"/>
              </w:rPr>
            </w:pPr>
            <w:r>
              <w:rPr>
                <w:rFonts w:ascii="Times New Roman" w:hAnsi="Times New Roman"/>
                <w:sz w:val="20"/>
              </w:rPr>
              <w:t>(3)(5)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953" w:type="dxa"/>
            <w:tcBorders/>
            <w:shd w:fill="CCEEFF" w:val="clear"/>
            <w:vAlign w:val="center"/>
          </w:tcPr>
          <w:p>
            <w:pPr>
              <w:pStyle w:val="TableContents"/>
              <w:jc w:val="right"/>
              <w:rPr/>
            </w:pPr>
            <w:r>
              <w:rPr/>
            </w:r>
          </w:p>
          <w:p>
            <w:pPr>
              <w:pStyle w:val="TableContents"/>
              <w:spacing w:before="0" w:after="20"/>
              <w:jc w:val="right"/>
              <w:rPr>
                <w:rFonts w:ascii="Times New Roman" w:hAnsi="Times New Roman"/>
                <w:sz w:val="20"/>
              </w:rPr>
            </w:pPr>
            <w:r>
              <w:rPr>
                <w:rFonts w:ascii="Times New Roman" w:hAnsi="Times New Roman"/>
                <w:sz w:val="20"/>
              </w:rPr>
              <w:t>73.22</w:t>
            </w:r>
          </w:p>
        </w:tc>
        <w:tc>
          <w:tcPr>
            <w:tcW w:w="656" w:type="dxa"/>
            <w:tcBorders/>
            <w:shd w:fill="CCEEFF" w:val="clear"/>
            <w:vAlign w:val="center"/>
          </w:tcPr>
          <w:p>
            <w:pPr>
              <w:pStyle w:val="TableContents"/>
              <w:rPr/>
            </w:pPr>
            <w:r>
              <w:rPr/>
              <w:t>* </w:t>
            </w:r>
          </w:p>
          <w:p>
            <w:pPr>
              <w:pStyle w:val="TableContents"/>
              <w:spacing w:before="0" w:after="20"/>
              <w:rPr>
                <w:rFonts w:ascii="Times New Roman" w:hAnsi="Times New Roman"/>
                <w:sz w:val="20"/>
              </w:rPr>
            </w:pPr>
            <w:r>
              <w:rPr>
                <w:rFonts w:ascii="Times New Roman" w:hAnsi="Times New Roman"/>
                <w:sz w:val="20"/>
              </w:rPr>
              <w:t>%(6) </w:t>
            </w:r>
          </w:p>
        </w:tc>
      </w:tr>
      <w:tr>
        <w:trPr/>
        <w:tc>
          <w:tcPr>
            <w:tcW w:w="472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Anna Reilly†</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78" w:type="dxa"/>
            <w:tcBorders/>
            <w:shd w:fill="auto" w:val="clear"/>
            <w:vAlign w:val="center"/>
          </w:tcPr>
          <w:p>
            <w:pPr>
              <w:pStyle w:val="TableContents"/>
              <w:jc w:val="right"/>
              <w:rPr/>
            </w:pPr>
            <w:r>
              <w:rPr/>
              <w:t>Class A</w:t>
            </w:r>
          </w:p>
          <w:p>
            <w:pPr>
              <w:pStyle w:val="TableContents"/>
              <w:spacing w:before="0" w:after="20"/>
              <w:jc w:val="right"/>
              <w:rPr>
                <w:rFonts w:ascii="Times New Roman" w:hAnsi="Times New Roman"/>
                <w:sz w:val="20"/>
              </w:rPr>
            </w:pPr>
            <w:r>
              <w:rPr>
                <w:rFonts w:ascii="Times New Roman" w:hAnsi="Times New Roman"/>
                <w:sz w:val="20"/>
              </w:rPr>
              <w:t>Class B</w:t>
            </w:r>
          </w:p>
        </w:tc>
        <w:tc>
          <w:tcPr>
            <w:tcW w:w="324" w:type="dxa"/>
            <w:tcBorders/>
            <w:shd w:fill="auto" w:val="clear"/>
            <w:vAlign w:val="center"/>
          </w:tcPr>
          <w:p>
            <w:pPr>
              <w:pStyle w:val="TableContents"/>
              <w:rPr/>
            </w:pPr>
            <w:r>
              <w:rPr/>
              <w:t> </w:t>
            </w:r>
          </w:p>
          <w:p>
            <w:pPr>
              <w:pStyle w:val="TableContents"/>
              <w:spacing w:before="0" w:after="20"/>
              <w:rPr>
                <w:rFonts w:ascii="Times New Roman" w:hAnsi="Times New Roman"/>
                <w:sz w:val="20"/>
              </w:rPr>
            </w:pPr>
            <w:r>
              <w:rPr>
                <w:rFonts w:ascii="Times New Roman" w:hAnsi="Times New Roman"/>
                <w:sz w:val="20"/>
              </w:rPr>
              <w:t>(1)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jc w:val="right"/>
              <w:rPr/>
            </w:pPr>
            <w:r>
              <w:rPr/>
              <w:t>145,928</w:t>
            </w:r>
          </w:p>
          <w:p>
            <w:pPr>
              <w:pStyle w:val="TableContents"/>
              <w:spacing w:before="0" w:after="20"/>
              <w:jc w:val="right"/>
              <w:rPr>
                <w:rFonts w:ascii="Times New Roman" w:hAnsi="Times New Roman"/>
                <w:sz w:val="20"/>
              </w:rPr>
            </w:pPr>
            <w:r>
              <w:rPr>
                <w:rFonts w:ascii="Times New Roman" w:hAnsi="Times New Roman"/>
                <w:sz w:val="20"/>
              </w:rPr>
              <w:t>10,000,000</w:t>
            </w:r>
          </w:p>
        </w:tc>
        <w:tc>
          <w:tcPr>
            <w:tcW w:w="481" w:type="dxa"/>
            <w:tcBorders/>
            <w:shd w:fill="auto" w:val="clear"/>
            <w:vAlign w:val="center"/>
          </w:tcPr>
          <w:p>
            <w:pPr>
              <w:pStyle w:val="TableContents"/>
              <w:rPr/>
            </w:pPr>
            <w:r>
              <w:rPr/>
              <w:t>(7) </w:t>
            </w:r>
          </w:p>
          <w:p>
            <w:pPr>
              <w:pStyle w:val="TableContents"/>
              <w:spacing w:before="0" w:after="20"/>
              <w:rPr>
                <w:rFonts w:ascii="Times New Roman" w:hAnsi="Times New Roman"/>
                <w:sz w:val="20"/>
              </w:rPr>
            </w:pPr>
            <w:r>
              <w:rPr>
                <w:rFonts w:ascii="Times New Roman" w:hAnsi="Times New Roman"/>
                <w:sz w:val="20"/>
              </w:rPr>
              <w:t>(3)(8)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jc w:val="right"/>
              <w:rPr/>
            </w:pPr>
            <w:r>
              <w:rPr/>
            </w:r>
          </w:p>
          <w:p>
            <w:pPr>
              <w:pStyle w:val="TableContents"/>
              <w:spacing w:before="0" w:after="20"/>
              <w:jc w:val="right"/>
              <w:rPr>
                <w:rFonts w:ascii="Times New Roman" w:hAnsi="Times New Roman"/>
                <w:sz w:val="20"/>
              </w:rPr>
            </w:pPr>
            <w:r>
              <w:rPr>
                <w:rFonts w:ascii="Times New Roman" w:hAnsi="Times New Roman"/>
                <w:sz w:val="20"/>
              </w:rPr>
              <w:t>69.35</w:t>
            </w:r>
          </w:p>
        </w:tc>
        <w:tc>
          <w:tcPr>
            <w:tcW w:w="656" w:type="dxa"/>
            <w:tcBorders/>
            <w:shd w:fill="auto" w:val="clear"/>
            <w:vAlign w:val="center"/>
          </w:tcPr>
          <w:p>
            <w:pPr>
              <w:pStyle w:val="TableContents"/>
              <w:rPr/>
            </w:pPr>
            <w:r>
              <w:rPr/>
              <w:t>* </w:t>
            </w:r>
          </w:p>
          <w:p>
            <w:pPr>
              <w:pStyle w:val="TableContents"/>
              <w:spacing w:before="0" w:after="20"/>
              <w:rPr>
                <w:rFonts w:ascii="Times New Roman" w:hAnsi="Times New Roman"/>
                <w:sz w:val="20"/>
              </w:rPr>
            </w:pPr>
            <w:r>
              <w:rPr>
                <w:rFonts w:ascii="Times New Roman" w:hAnsi="Times New Roman"/>
                <w:sz w:val="20"/>
              </w:rPr>
              <w:t>%(9) </w:t>
            </w:r>
          </w:p>
        </w:tc>
      </w:tr>
      <w:tr>
        <w:trPr/>
        <w:tc>
          <w:tcPr>
            <w:tcW w:w="472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Wendell Reilly†</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278" w:type="dxa"/>
            <w:tcBorders/>
            <w:shd w:fill="CCEEFF" w:val="clear"/>
            <w:vAlign w:val="center"/>
          </w:tcPr>
          <w:p>
            <w:pPr>
              <w:pStyle w:val="TableContents"/>
              <w:jc w:val="right"/>
              <w:rPr/>
            </w:pPr>
            <w:r>
              <w:rPr/>
              <w:t>Class A</w:t>
            </w:r>
          </w:p>
          <w:p>
            <w:pPr>
              <w:pStyle w:val="TableContents"/>
              <w:spacing w:before="0" w:after="20"/>
              <w:jc w:val="right"/>
              <w:rPr>
                <w:rFonts w:ascii="Times New Roman" w:hAnsi="Times New Roman"/>
                <w:sz w:val="20"/>
              </w:rPr>
            </w:pPr>
            <w:r>
              <w:rPr>
                <w:rFonts w:ascii="Times New Roman" w:hAnsi="Times New Roman"/>
                <w:sz w:val="20"/>
              </w:rPr>
              <w:t>Class B</w:t>
            </w:r>
          </w:p>
        </w:tc>
        <w:tc>
          <w:tcPr>
            <w:tcW w:w="324" w:type="dxa"/>
            <w:tcBorders/>
            <w:shd w:fill="CCEEFF" w:val="clear"/>
            <w:vAlign w:val="center"/>
          </w:tcPr>
          <w:p>
            <w:pPr>
              <w:pStyle w:val="TableContents"/>
              <w:rPr/>
            </w:pPr>
            <w:r>
              <w:rPr/>
              <w:t> </w:t>
            </w:r>
          </w:p>
          <w:p>
            <w:pPr>
              <w:pStyle w:val="TableContents"/>
              <w:spacing w:before="0" w:after="20"/>
              <w:rPr>
                <w:rFonts w:ascii="Times New Roman" w:hAnsi="Times New Roman"/>
                <w:sz w:val="20"/>
              </w:rPr>
            </w:pPr>
            <w:r>
              <w:rPr>
                <w:rFonts w:ascii="Times New Roman" w:hAnsi="Times New Roman"/>
                <w:sz w:val="20"/>
              </w:rPr>
              <w:t>(1)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314" w:type="dxa"/>
            <w:tcBorders/>
            <w:shd w:fill="CCEEFF" w:val="clear"/>
            <w:vAlign w:val="center"/>
          </w:tcPr>
          <w:p>
            <w:pPr>
              <w:pStyle w:val="TableContents"/>
              <w:jc w:val="right"/>
              <w:rPr/>
            </w:pPr>
            <w:r>
              <w:rPr/>
              <w:t>10,114</w:t>
            </w:r>
          </w:p>
          <w:p>
            <w:pPr>
              <w:pStyle w:val="TableContents"/>
              <w:spacing w:before="0" w:after="20"/>
              <w:jc w:val="right"/>
              <w:rPr>
                <w:rFonts w:ascii="Times New Roman" w:hAnsi="Times New Roman"/>
                <w:sz w:val="20"/>
              </w:rPr>
            </w:pPr>
            <w:r>
              <w:rPr>
                <w:rFonts w:ascii="Times New Roman" w:hAnsi="Times New Roman"/>
                <w:sz w:val="20"/>
              </w:rPr>
              <w:t>9,500,000</w:t>
            </w:r>
          </w:p>
        </w:tc>
        <w:tc>
          <w:tcPr>
            <w:tcW w:w="481" w:type="dxa"/>
            <w:tcBorders/>
            <w:shd w:fill="CCEEFF" w:val="clear"/>
            <w:vAlign w:val="center"/>
          </w:tcPr>
          <w:p>
            <w:pPr>
              <w:pStyle w:val="TableContents"/>
              <w:rPr/>
            </w:pPr>
            <w:r>
              <w:rPr/>
              <w:t>(10) </w:t>
            </w:r>
          </w:p>
          <w:p>
            <w:pPr>
              <w:pStyle w:val="TableContents"/>
              <w:spacing w:before="0" w:after="20"/>
              <w:rPr>
                <w:rFonts w:ascii="Times New Roman" w:hAnsi="Times New Roman"/>
                <w:sz w:val="20"/>
              </w:rPr>
            </w:pPr>
            <w:r>
              <w:rPr>
                <w:rFonts w:ascii="Times New Roman" w:hAnsi="Times New Roman"/>
                <w:sz w:val="20"/>
              </w:rPr>
              <w:t>(3)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953" w:type="dxa"/>
            <w:tcBorders/>
            <w:shd w:fill="CCEEFF" w:val="clear"/>
            <w:vAlign w:val="center"/>
          </w:tcPr>
          <w:p>
            <w:pPr>
              <w:pStyle w:val="TableContents"/>
              <w:jc w:val="right"/>
              <w:rPr/>
            </w:pPr>
            <w:r>
              <w:rPr/>
            </w:r>
          </w:p>
          <w:p>
            <w:pPr>
              <w:pStyle w:val="TableContents"/>
              <w:spacing w:before="0" w:after="20"/>
              <w:jc w:val="right"/>
              <w:rPr>
                <w:rFonts w:ascii="Times New Roman" w:hAnsi="Times New Roman"/>
                <w:sz w:val="20"/>
              </w:rPr>
            </w:pPr>
            <w:r>
              <w:rPr>
                <w:rFonts w:ascii="Times New Roman" w:hAnsi="Times New Roman"/>
                <w:sz w:val="20"/>
              </w:rPr>
              <w:t>65.88</w:t>
            </w:r>
          </w:p>
        </w:tc>
        <w:tc>
          <w:tcPr>
            <w:tcW w:w="656" w:type="dxa"/>
            <w:tcBorders/>
            <w:shd w:fill="CCEEFF" w:val="clear"/>
            <w:vAlign w:val="center"/>
          </w:tcPr>
          <w:p>
            <w:pPr>
              <w:pStyle w:val="TableContents"/>
              <w:rPr/>
            </w:pPr>
            <w:r>
              <w:rPr/>
              <w:t>* </w:t>
            </w:r>
          </w:p>
          <w:p>
            <w:pPr>
              <w:pStyle w:val="TableContents"/>
              <w:spacing w:before="0" w:after="20"/>
              <w:rPr>
                <w:rFonts w:ascii="Times New Roman" w:hAnsi="Times New Roman"/>
                <w:sz w:val="20"/>
              </w:rPr>
            </w:pPr>
            <w:r>
              <w:rPr>
                <w:rFonts w:ascii="Times New Roman" w:hAnsi="Times New Roman"/>
                <w:sz w:val="20"/>
              </w:rPr>
              <w:t>%(11) </w:t>
            </w:r>
          </w:p>
        </w:tc>
      </w:tr>
      <w:tr>
        <w:trPr/>
        <w:tc>
          <w:tcPr>
            <w:tcW w:w="472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Jay L. Johnson</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78" w:type="dxa"/>
            <w:tcBorders/>
            <w:shd w:fill="auto" w:val="clear"/>
            <w:vAlign w:val="center"/>
          </w:tcPr>
          <w:p>
            <w:pPr>
              <w:pStyle w:val="TableContents"/>
              <w:spacing w:before="0" w:after="283"/>
              <w:jc w:val="right"/>
              <w:rPr/>
            </w:pPr>
            <w:r>
              <w:rPr/>
              <w:t>Class A</w:t>
            </w:r>
          </w:p>
        </w:tc>
        <w:tc>
          <w:tcPr>
            <w:tcW w:w="3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spacing w:before="0" w:after="283"/>
              <w:jc w:val="right"/>
              <w:rPr/>
            </w:pPr>
            <w:r>
              <w:rPr/>
              <w:t>26,000</w:t>
            </w:r>
          </w:p>
        </w:tc>
        <w:tc>
          <w:tcPr>
            <w:tcW w:w="481" w:type="dxa"/>
            <w:tcBorders/>
            <w:shd w:fill="auto" w:val="clear"/>
            <w:vAlign w:val="center"/>
          </w:tcPr>
          <w:p>
            <w:pPr>
              <w:pStyle w:val="TableContents"/>
              <w:spacing w:before="0" w:after="283"/>
              <w:rPr/>
            </w:pPr>
            <w:r>
              <w:rPr/>
              <w:t>(12)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pPr>
            <w:r>
              <w:rPr/>
              <w:t>* </w:t>
            </w:r>
          </w:p>
        </w:tc>
      </w:tr>
      <w:tr>
        <w:trPr/>
        <w:tc>
          <w:tcPr>
            <w:tcW w:w="472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Stephen P. Mumblow†</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278" w:type="dxa"/>
            <w:tcBorders/>
            <w:shd w:fill="CCEEFF" w:val="clear"/>
            <w:vAlign w:val="center"/>
          </w:tcPr>
          <w:p>
            <w:pPr>
              <w:pStyle w:val="TableContents"/>
              <w:spacing w:before="0" w:after="283"/>
              <w:jc w:val="right"/>
              <w:rPr/>
            </w:pPr>
            <w:r>
              <w:rPr/>
              <w:t>Class A</w:t>
            </w:r>
          </w:p>
        </w:tc>
        <w:tc>
          <w:tcPr>
            <w:tcW w:w="3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314" w:type="dxa"/>
            <w:tcBorders/>
            <w:shd w:fill="CCEEFF" w:val="clear"/>
            <w:vAlign w:val="center"/>
          </w:tcPr>
          <w:p>
            <w:pPr>
              <w:pStyle w:val="TableContents"/>
              <w:spacing w:before="0" w:after="283"/>
              <w:jc w:val="right"/>
              <w:rPr/>
            </w:pPr>
            <w:r>
              <w:rPr/>
              <w:t>5,965</w:t>
            </w:r>
          </w:p>
        </w:tc>
        <w:tc>
          <w:tcPr>
            <w:tcW w:w="481" w:type="dxa"/>
            <w:tcBorders/>
            <w:shd w:fill="CCEEFF" w:val="clear"/>
            <w:vAlign w:val="center"/>
          </w:tcPr>
          <w:p>
            <w:pPr>
              <w:pStyle w:val="TableContents"/>
              <w:spacing w:before="0" w:after="283"/>
              <w:rPr/>
            </w:pPr>
            <w:r>
              <w:rPr/>
              <w:t>(13)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953" w:type="dxa"/>
            <w:tcBorders/>
            <w:shd w:fill="CCEEFF" w:val="clear"/>
            <w:vAlign w:val="center"/>
          </w:tcPr>
          <w:p>
            <w:pPr>
              <w:pStyle w:val="TableContents"/>
              <w:spacing w:before="0" w:after="283"/>
              <w:rPr>
                <w:sz w:val="4"/>
                <w:szCs w:val="4"/>
              </w:rPr>
            </w:pPr>
            <w:r>
              <w:rPr>
                <w:sz w:val="4"/>
                <w:szCs w:val="4"/>
              </w:rPr>
            </w:r>
          </w:p>
        </w:tc>
        <w:tc>
          <w:tcPr>
            <w:tcW w:w="656" w:type="dxa"/>
            <w:tcBorders/>
            <w:shd w:fill="CCEEFF" w:val="clear"/>
            <w:vAlign w:val="center"/>
          </w:tcPr>
          <w:p>
            <w:pPr>
              <w:pStyle w:val="TableContents"/>
              <w:spacing w:before="0" w:after="283"/>
              <w:rPr/>
            </w:pPr>
            <w:r>
              <w:rPr/>
              <w:t>* </w:t>
            </w:r>
          </w:p>
        </w:tc>
      </w:tr>
      <w:tr>
        <w:trPr/>
        <w:tc>
          <w:tcPr>
            <w:tcW w:w="472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Thomas V. Reifenheiser†</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78" w:type="dxa"/>
            <w:tcBorders/>
            <w:shd w:fill="auto" w:val="clear"/>
            <w:vAlign w:val="center"/>
          </w:tcPr>
          <w:p>
            <w:pPr>
              <w:pStyle w:val="TableContents"/>
              <w:spacing w:before="0" w:after="283"/>
              <w:jc w:val="right"/>
              <w:rPr/>
            </w:pPr>
            <w:r>
              <w:rPr/>
              <w:t>Class A</w:t>
            </w:r>
          </w:p>
        </w:tc>
        <w:tc>
          <w:tcPr>
            <w:tcW w:w="3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spacing w:before="0" w:after="283"/>
              <w:jc w:val="right"/>
              <w:rPr/>
            </w:pPr>
            <w:r>
              <w:rPr/>
              <w:t>41,674</w:t>
            </w:r>
          </w:p>
        </w:tc>
        <w:tc>
          <w:tcPr>
            <w:tcW w:w="48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pPr>
            <w:r>
              <w:rPr/>
              <w:t>* </w:t>
            </w:r>
          </w:p>
        </w:tc>
      </w:tr>
      <w:tr>
        <w:trPr/>
        <w:tc>
          <w:tcPr>
            <w:tcW w:w="472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John E. Koerner, III†</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278" w:type="dxa"/>
            <w:tcBorders/>
            <w:shd w:fill="CCEEFF" w:val="clear"/>
            <w:vAlign w:val="center"/>
          </w:tcPr>
          <w:p>
            <w:pPr>
              <w:pStyle w:val="TableContents"/>
              <w:spacing w:before="0" w:after="283"/>
              <w:jc w:val="right"/>
              <w:rPr/>
            </w:pPr>
            <w:r>
              <w:rPr/>
              <w:t>Class A</w:t>
            </w:r>
          </w:p>
        </w:tc>
        <w:tc>
          <w:tcPr>
            <w:tcW w:w="3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314" w:type="dxa"/>
            <w:tcBorders/>
            <w:shd w:fill="CCEEFF" w:val="clear"/>
            <w:vAlign w:val="center"/>
          </w:tcPr>
          <w:p>
            <w:pPr>
              <w:pStyle w:val="TableContents"/>
              <w:spacing w:before="0" w:after="283"/>
              <w:jc w:val="right"/>
              <w:rPr/>
            </w:pPr>
            <w:r>
              <w:rPr/>
              <w:t>48,182</w:t>
            </w:r>
          </w:p>
        </w:tc>
        <w:tc>
          <w:tcPr>
            <w:tcW w:w="481" w:type="dxa"/>
            <w:tcBorders/>
            <w:shd w:fill="CCEEFF" w:val="clear"/>
            <w:vAlign w:val="center"/>
          </w:tcPr>
          <w:p>
            <w:pPr>
              <w:pStyle w:val="TableContents"/>
              <w:spacing w:before="0" w:after="283"/>
              <w:rPr/>
            </w:pPr>
            <w:r>
              <w:rPr/>
              <w:t>(14)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953" w:type="dxa"/>
            <w:tcBorders/>
            <w:shd w:fill="CCEEFF" w:val="clear"/>
            <w:vAlign w:val="center"/>
          </w:tcPr>
          <w:p>
            <w:pPr>
              <w:pStyle w:val="TableContents"/>
              <w:spacing w:before="0" w:after="283"/>
              <w:rPr>
                <w:sz w:val="4"/>
                <w:szCs w:val="4"/>
              </w:rPr>
            </w:pPr>
            <w:r>
              <w:rPr>
                <w:sz w:val="4"/>
                <w:szCs w:val="4"/>
              </w:rPr>
            </w:r>
          </w:p>
        </w:tc>
        <w:tc>
          <w:tcPr>
            <w:tcW w:w="656" w:type="dxa"/>
            <w:tcBorders/>
            <w:shd w:fill="CCEEFF" w:val="clear"/>
            <w:vAlign w:val="center"/>
          </w:tcPr>
          <w:p>
            <w:pPr>
              <w:pStyle w:val="TableContents"/>
              <w:spacing w:before="0" w:after="283"/>
              <w:rPr/>
            </w:pPr>
            <w:r>
              <w:rPr/>
              <w:t>* </w:t>
            </w:r>
          </w:p>
        </w:tc>
      </w:tr>
      <w:tr>
        <w:trPr/>
        <w:tc>
          <w:tcPr>
            <w:tcW w:w="472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Marshall Loeb†</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78" w:type="dxa"/>
            <w:tcBorders/>
            <w:shd w:fill="auto" w:val="clear"/>
            <w:vAlign w:val="center"/>
          </w:tcPr>
          <w:p>
            <w:pPr>
              <w:pStyle w:val="TableContents"/>
              <w:spacing w:before="0" w:after="283"/>
              <w:jc w:val="right"/>
              <w:rPr/>
            </w:pPr>
            <w:r>
              <w:rPr/>
              <w:t>Class A</w:t>
            </w:r>
          </w:p>
        </w:tc>
        <w:tc>
          <w:tcPr>
            <w:tcW w:w="3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spacing w:before="0" w:after="283"/>
              <w:jc w:val="right"/>
              <w:rPr/>
            </w:pPr>
            <w:r>
              <w:rPr/>
              <w:t>3,689</w:t>
            </w:r>
          </w:p>
        </w:tc>
        <w:tc>
          <w:tcPr>
            <w:tcW w:w="48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r>
      <w:tr>
        <w:trPr/>
        <w:tc>
          <w:tcPr>
            <w:tcW w:w="472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Elizabeth Thompson†</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278" w:type="dxa"/>
            <w:tcBorders/>
            <w:shd w:fill="CCEEFF" w:val="clear"/>
            <w:vAlign w:val="center"/>
          </w:tcPr>
          <w:p>
            <w:pPr>
              <w:pStyle w:val="TableContents"/>
              <w:spacing w:before="0" w:after="283"/>
              <w:jc w:val="right"/>
              <w:rPr/>
            </w:pPr>
            <w:r>
              <w:rPr/>
              <w:t>Class A</w:t>
            </w:r>
          </w:p>
        </w:tc>
        <w:tc>
          <w:tcPr>
            <w:tcW w:w="3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314" w:type="dxa"/>
            <w:tcBorders/>
            <w:shd w:fill="CCEEFF" w:val="clear"/>
            <w:vAlign w:val="center"/>
          </w:tcPr>
          <w:p>
            <w:pPr>
              <w:pStyle w:val="TableContents"/>
              <w:spacing w:before="0" w:after="283"/>
              <w:jc w:val="right"/>
              <w:rPr/>
            </w:pPr>
            <w:r>
              <w:rPr/>
              <w:t>2,879</w:t>
            </w:r>
          </w:p>
        </w:tc>
        <w:tc>
          <w:tcPr>
            <w:tcW w:w="48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sz w:val="4"/>
                <w:szCs w:val="4"/>
              </w:rPr>
            </w:pPr>
            <w:r>
              <w:rPr>
                <w:sz w:val="4"/>
                <w:szCs w:val="4"/>
              </w:rPr>
            </w:r>
          </w:p>
        </w:tc>
        <w:tc>
          <w:tcPr>
            <w:tcW w:w="953" w:type="dxa"/>
            <w:tcBorders/>
            <w:shd w:fill="CCEEFF" w:val="clear"/>
            <w:vAlign w:val="center"/>
          </w:tcPr>
          <w:p>
            <w:pPr>
              <w:pStyle w:val="TableContents"/>
              <w:spacing w:before="0" w:after="283"/>
              <w:rPr>
                <w:sz w:val="4"/>
                <w:szCs w:val="4"/>
              </w:rPr>
            </w:pPr>
            <w:r>
              <w:rPr>
                <w:sz w:val="4"/>
                <w:szCs w:val="4"/>
              </w:rPr>
            </w:r>
          </w:p>
        </w:tc>
        <w:tc>
          <w:tcPr>
            <w:tcW w:w="656" w:type="dxa"/>
            <w:tcBorders/>
            <w:shd w:fill="CCEEFF" w:val="clear"/>
            <w:vAlign w:val="center"/>
          </w:tcPr>
          <w:p>
            <w:pPr>
              <w:pStyle w:val="TableContents"/>
              <w:spacing w:before="0" w:after="283"/>
              <w:rPr>
                <w:sz w:val="4"/>
                <w:szCs w:val="4"/>
              </w:rPr>
            </w:pPr>
            <w:r>
              <w:rPr>
                <w:sz w:val="4"/>
                <w:szCs w:val="4"/>
              </w:rPr>
            </w:r>
          </w:p>
        </w:tc>
      </w:tr>
      <w:tr>
        <w:trPr/>
        <w:tc>
          <w:tcPr>
            <w:tcW w:w="472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Nancy Fletcher†</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78" w:type="dxa"/>
            <w:tcBorders/>
            <w:shd w:fill="auto" w:val="clear"/>
            <w:vAlign w:val="center"/>
          </w:tcPr>
          <w:p>
            <w:pPr>
              <w:pStyle w:val="TableContents"/>
              <w:spacing w:before="0" w:after="283"/>
              <w:jc w:val="right"/>
              <w:rPr/>
            </w:pPr>
            <w:r>
              <w:rPr/>
              <w:t>Class A</w:t>
            </w:r>
          </w:p>
        </w:tc>
        <w:tc>
          <w:tcPr>
            <w:tcW w:w="3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spacing w:before="0" w:after="283"/>
              <w:jc w:val="right"/>
              <w:rPr/>
            </w:pPr>
            <w:r>
              <w:rPr/>
              <w:t>3,887</w:t>
            </w:r>
          </w:p>
        </w:tc>
        <w:tc>
          <w:tcPr>
            <w:tcW w:w="48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r>
      <w:tr>
        <w:trPr/>
        <w:tc>
          <w:tcPr>
            <w:tcW w:w="472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All Current Directors and Executive Officers as a Group (11 Persons)</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278" w:type="dxa"/>
            <w:tcBorders/>
            <w:shd w:fill="CCEEFF" w:val="clear"/>
            <w:vAlign w:val="center"/>
          </w:tcPr>
          <w:p>
            <w:pPr>
              <w:pStyle w:val="TableContents"/>
              <w:spacing w:before="0" w:after="283"/>
              <w:jc w:val="right"/>
              <w:rPr/>
            </w:pPr>
            <w:r>
              <w:rPr/>
              <w:t>Class A &amp; B</w:t>
            </w:r>
          </w:p>
        </w:tc>
        <w:tc>
          <w:tcPr>
            <w:tcW w:w="3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314" w:type="dxa"/>
            <w:tcBorders/>
            <w:shd w:fill="CCEEFF" w:val="clear"/>
            <w:vAlign w:val="center"/>
          </w:tcPr>
          <w:p>
            <w:pPr>
              <w:pStyle w:val="TableContents"/>
              <w:spacing w:before="0" w:after="283"/>
              <w:jc w:val="right"/>
              <w:rPr/>
            </w:pPr>
            <w:r>
              <w:rPr/>
              <w:t>15,180,523</w:t>
            </w:r>
          </w:p>
        </w:tc>
        <w:tc>
          <w:tcPr>
            <w:tcW w:w="481" w:type="dxa"/>
            <w:tcBorders/>
            <w:shd w:fill="CCEEFF" w:val="clear"/>
            <w:vAlign w:val="center"/>
          </w:tcPr>
          <w:p>
            <w:pPr>
              <w:pStyle w:val="TableContents"/>
              <w:spacing w:before="0" w:after="283"/>
              <w:rPr/>
            </w:pPr>
            <w:r>
              <w:rPr/>
              <w:t>(15)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953" w:type="dxa"/>
            <w:tcBorders/>
            <w:shd w:fill="CCEEFF" w:val="clear"/>
            <w:vAlign w:val="center"/>
          </w:tcPr>
          <w:p>
            <w:pPr>
              <w:pStyle w:val="TableContents"/>
              <w:spacing w:before="0" w:after="283"/>
              <w:jc w:val="right"/>
              <w:rPr/>
            </w:pPr>
            <w:r>
              <w:rPr/>
              <w:t>14.90</w:t>
            </w:r>
          </w:p>
        </w:tc>
        <w:tc>
          <w:tcPr>
            <w:tcW w:w="656" w:type="dxa"/>
            <w:tcBorders/>
            <w:shd w:fill="CCEEFF" w:val="clear"/>
            <w:vAlign w:val="center"/>
          </w:tcPr>
          <w:p>
            <w:pPr>
              <w:pStyle w:val="TableContents"/>
              <w:spacing w:before="0" w:after="283"/>
              <w:rPr/>
            </w:pPr>
            <w:r>
              <w:rPr/>
              <w:t>%(16) </w:t>
            </w:r>
          </w:p>
        </w:tc>
      </w:tr>
      <w:tr>
        <w:trPr/>
        <w:tc>
          <w:tcPr>
            <w:tcW w:w="4724" w:type="dxa"/>
            <w:tcBorders/>
            <w:shd w:fill="auto" w:val="clear"/>
            <w:vAlign w:val="center"/>
          </w:tcPr>
          <w:p>
            <w:pPr>
              <w:pStyle w:val="TableContents"/>
              <w:spacing w:before="0" w:after="283"/>
              <w:rPr>
                <w:sz w:val="4"/>
                <w:szCs w:val="4"/>
              </w:rPr>
            </w:pPr>
            <w:r>
              <w:rPr>
                <w:sz w:val="4"/>
                <w:szCs w:val="4"/>
              </w:rPr>
            </w:r>
          </w:p>
        </w:tc>
        <w:tc>
          <w:tcPr>
            <w:tcW w:w="1784" w:type="dxa"/>
            <w:gridSpan w:val="4"/>
            <w:tcBorders/>
            <w:shd w:fill="auto" w:val="clear"/>
            <w:vAlign w:val="center"/>
          </w:tcPr>
          <w:p>
            <w:pPr>
              <w:pStyle w:val="TableContents"/>
              <w:spacing w:before="0" w:after="283"/>
              <w:rPr>
                <w:sz w:val="4"/>
                <w:szCs w:val="4"/>
              </w:rPr>
            </w:pPr>
            <w:r>
              <w:rPr>
                <w:sz w:val="4"/>
                <w:szCs w:val="4"/>
              </w:rPr>
            </w:r>
          </w:p>
        </w:tc>
        <w:tc>
          <w:tcPr>
            <w:tcW w:w="1926" w:type="dxa"/>
            <w:gridSpan w:val="4"/>
            <w:tcBorders/>
            <w:shd w:fill="auto" w:val="clear"/>
            <w:vAlign w:val="center"/>
          </w:tcPr>
          <w:p>
            <w:pPr>
              <w:pStyle w:val="TableContents"/>
              <w:spacing w:before="0" w:after="283"/>
              <w:rPr>
                <w:sz w:val="4"/>
                <w:szCs w:val="4"/>
              </w:rPr>
            </w:pPr>
            <w:r>
              <w:rPr>
                <w:sz w:val="4"/>
                <w:szCs w:val="4"/>
              </w:rPr>
            </w:r>
          </w:p>
        </w:tc>
        <w:tc>
          <w:tcPr>
            <w:tcW w:w="1771" w:type="dxa"/>
            <w:gridSpan w:val="4"/>
            <w:tcBorders/>
            <w:shd w:fill="auto" w:val="clear"/>
            <w:vAlign w:val="center"/>
          </w:tcPr>
          <w:p>
            <w:pPr>
              <w:pStyle w:val="TableContents"/>
              <w:spacing w:before="0" w:after="283"/>
              <w:rPr>
                <w:sz w:val="4"/>
                <w:szCs w:val="4"/>
              </w:rPr>
            </w:pPr>
            <w:r>
              <w:rPr>
                <w:sz w:val="4"/>
                <w:szCs w:val="4"/>
              </w:rPr>
            </w:r>
          </w:p>
        </w:tc>
      </w:tr>
      <w:tr>
        <w:trPr/>
        <w:tc>
          <w:tcPr>
            <w:tcW w:w="4724" w:type="dxa"/>
            <w:tcBorders/>
            <w:shd w:fill="auto" w:val="clear"/>
            <w:vAlign w:val="center"/>
          </w:tcPr>
          <w:p>
            <w:pPr>
              <w:pStyle w:val="TableContents"/>
              <w:spacing w:before="0" w:after="0"/>
              <w:rPr>
                <w:rFonts w:ascii="Times New Roman" w:hAnsi="Times New Roman"/>
                <w:b/>
                <w:sz w:val="20"/>
              </w:rPr>
            </w:pPr>
            <w:r>
              <w:rPr>
                <w:rFonts w:ascii="Times New Roman" w:hAnsi="Times New Roman"/>
                <w:b/>
                <w:sz w:val="20"/>
              </w:rPr>
              <w:t>Five Percent Stockholders</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sz w:val="4"/>
                <w:szCs w:val="4"/>
              </w:rPr>
            </w:pPr>
            <w:r>
              <w:rPr>
                <w:sz w:val="4"/>
                <w:szCs w:val="4"/>
              </w:rPr>
            </w:r>
          </w:p>
        </w:tc>
        <w:tc>
          <w:tcPr>
            <w:tcW w:w="1278"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r>
      <w:tr>
        <w:trPr/>
        <w:tc>
          <w:tcPr>
            <w:tcW w:w="472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Reilly Family, LLC</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278" w:type="dxa"/>
            <w:tcBorders/>
            <w:shd w:fill="CCEEFF" w:val="clear"/>
            <w:vAlign w:val="center"/>
          </w:tcPr>
          <w:p>
            <w:pPr>
              <w:pStyle w:val="TableContents"/>
              <w:spacing w:before="0" w:after="283"/>
              <w:jc w:val="right"/>
              <w:rPr/>
            </w:pPr>
            <w:r>
              <w:rPr/>
              <w:t>Class B</w:t>
            </w:r>
          </w:p>
        </w:tc>
        <w:tc>
          <w:tcPr>
            <w:tcW w:w="324" w:type="dxa"/>
            <w:tcBorders/>
            <w:shd w:fill="CCEEFF" w:val="clear"/>
            <w:vAlign w:val="center"/>
          </w:tcPr>
          <w:p>
            <w:pPr>
              <w:pStyle w:val="TableContents"/>
              <w:spacing w:before="0" w:after="283"/>
              <w:rPr/>
            </w:pPr>
            <w:r>
              <w:rPr/>
              <w:t>(1)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314" w:type="dxa"/>
            <w:tcBorders/>
            <w:shd w:fill="CCEEFF" w:val="clear"/>
            <w:vAlign w:val="center"/>
          </w:tcPr>
          <w:p>
            <w:pPr>
              <w:pStyle w:val="TableContents"/>
              <w:spacing w:before="0" w:after="283"/>
              <w:jc w:val="right"/>
              <w:rPr/>
            </w:pPr>
            <w:r>
              <w:rPr/>
              <w:t>9,000,000</w:t>
            </w:r>
          </w:p>
        </w:tc>
        <w:tc>
          <w:tcPr>
            <w:tcW w:w="481"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953" w:type="dxa"/>
            <w:tcBorders/>
            <w:shd w:fill="CCEEFF" w:val="clear"/>
            <w:vAlign w:val="center"/>
          </w:tcPr>
          <w:p>
            <w:pPr>
              <w:pStyle w:val="TableContents"/>
              <w:spacing w:before="0" w:after="283"/>
              <w:jc w:val="right"/>
              <w:rPr/>
            </w:pPr>
            <w:r>
              <w:rPr/>
              <w:t>62.41</w:t>
            </w:r>
          </w:p>
        </w:tc>
        <w:tc>
          <w:tcPr>
            <w:tcW w:w="656" w:type="dxa"/>
            <w:tcBorders/>
            <w:shd w:fill="CCEEFF" w:val="clear"/>
            <w:vAlign w:val="center"/>
          </w:tcPr>
          <w:p>
            <w:pPr>
              <w:pStyle w:val="TableContents"/>
              <w:spacing w:before="0" w:after="283"/>
              <w:rPr/>
            </w:pPr>
            <w:r>
              <w:rPr/>
              <w:t>%(17) </w:t>
            </w:r>
          </w:p>
        </w:tc>
      </w:tr>
      <w:tr>
        <w:trPr/>
        <w:tc>
          <w:tcPr>
            <w:tcW w:w="472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The Vanguard Group</w:t>
              <w:br/>
              <w:t>100 Vanguard Blvd.</w:t>
              <w:br/>
              <w:t>Malvern, PA 19355</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78" w:type="dxa"/>
            <w:tcBorders/>
            <w:shd w:fill="auto" w:val="clear"/>
            <w:vAlign w:val="center"/>
          </w:tcPr>
          <w:p>
            <w:pPr>
              <w:pStyle w:val="TableContents"/>
              <w:spacing w:before="0" w:after="283"/>
              <w:jc w:val="right"/>
              <w:rPr/>
            </w:pPr>
            <w:r>
              <w:rPr/>
              <w:t>Class A</w:t>
            </w:r>
          </w:p>
        </w:tc>
        <w:tc>
          <w:tcPr>
            <w:tcW w:w="3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spacing w:before="0" w:after="283"/>
              <w:jc w:val="right"/>
              <w:rPr/>
            </w:pPr>
            <w:r>
              <w:rPr/>
              <w:t>12,664,963</w:t>
            </w:r>
          </w:p>
        </w:tc>
        <w:tc>
          <w:tcPr>
            <w:tcW w:w="481" w:type="dxa"/>
            <w:tcBorders/>
            <w:shd w:fill="auto" w:val="clear"/>
            <w:vAlign w:val="center"/>
          </w:tcPr>
          <w:p>
            <w:pPr>
              <w:pStyle w:val="TableContents"/>
              <w:spacing w:before="0" w:after="283"/>
              <w:rPr/>
            </w:pPr>
            <w:r>
              <w:rPr/>
              <w:t>(18)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jc w:val="right"/>
              <w:rPr/>
            </w:pPr>
            <w:r>
              <w:rPr/>
              <w:t>14.48</w:t>
            </w:r>
          </w:p>
        </w:tc>
        <w:tc>
          <w:tcPr>
            <w:tcW w:w="656" w:type="dxa"/>
            <w:tcBorders/>
            <w:shd w:fill="auto" w:val="clear"/>
            <w:vAlign w:val="center"/>
          </w:tcPr>
          <w:p>
            <w:pPr>
              <w:pStyle w:val="TableContents"/>
              <w:spacing w:before="0" w:after="283"/>
              <w:rPr/>
            </w:pPr>
            <w:r>
              <w:rPr/>
              <w:t>% </w:t>
            </w:r>
          </w:p>
        </w:tc>
      </w:tr>
      <w:tr>
        <w:trPr/>
        <w:tc>
          <w:tcPr>
            <w:tcW w:w="4724"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BlackRock, Inc.</w:t>
              <w:br/>
              <w:t>55 East 52nd Street</w:t>
              <w:br/>
              <w:t>New York, NY 10055</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1278" w:type="dxa"/>
            <w:tcBorders/>
            <w:shd w:fill="CCEEFF" w:val="clear"/>
            <w:vAlign w:val="center"/>
          </w:tcPr>
          <w:p>
            <w:pPr>
              <w:pStyle w:val="TableContents"/>
              <w:spacing w:before="0" w:after="283"/>
              <w:jc w:val="right"/>
              <w:rPr/>
            </w:pPr>
            <w:r>
              <w:rPr/>
              <w:t>Class A</w:t>
            </w:r>
          </w:p>
        </w:tc>
        <w:tc>
          <w:tcPr>
            <w:tcW w:w="32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71" w:type="dxa"/>
            <w:tcBorders/>
            <w:shd w:fill="CCEEFF" w:val="clear"/>
            <w:vAlign w:val="center"/>
          </w:tcPr>
          <w:p>
            <w:pPr>
              <w:pStyle w:val="TableContents"/>
              <w:spacing w:before="0" w:after="283"/>
              <w:rPr/>
            </w:pPr>
            <w:r>
              <w:rPr/>
              <w:t> </w:t>
            </w:r>
          </w:p>
        </w:tc>
        <w:tc>
          <w:tcPr>
            <w:tcW w:w="1314" w:type="dxa"/>
            <w:tcBorders/>
            <w:shd w:fill="CCEEFF" w:val="clear"/>
            <w:vAlign w:val="center"/>
          </w:tcPr>
          <w:p>
            <w:pPr>
              <w:pStyle w:val="TableContents"/>
              <w:spacing w:before="0" w:after="283"/>
              <w:jc w:val="right"/>
              <w:rPr/>
            </w:pPr>
            <w:r>
              <w:rPr/>
              <w:t>8,269,340</w:t>
            </w:r>
          </w:p>
        </w:tc>
        <w:tc>
          <w:tcPr>
            <w:tcW w:w="481" w:type="dxa"/>
            <w:tcBorders/>
            <w:shd w:fill="CCEEFF" w:val="clear"/>
            <w:vAlign w:val="center"/>
          </w:tcPr>
          <w:p>
            <w:pPr>
              <w:pStyle w:val="TableContents"/>
              <w:spacing w:before="0" w:after="283"/>
              <w:rPr/>
            </w:pPr>
            <w:r>
              <w:rPr/>
              <w:t>(19) </w:t>
            </w:r>
          </w:p>
        </w:tc>
        <w:tc>
          <w:tcPr>
            <w:tcW w:w="60" w:type="dxa"/>
            <w:tcBorders/>
            <w:shd w:fill="CCEEFF" w:val="clear"/>
            <w:vAlign w:val="center"/>
          </w:tcPr>
          <w:p>
            <w:pPr>
              <w:pStyle w:val="TableContents"/>
              <w:spacing w:before="0" w:after="283"/>
              <w:rPr/>
            </w:pPr>
            <w:r>
              <w:rPr/>
              <w:t> </w:t>
            </w:r>
          </w:p>
        </w:tc>
        <w:tc>
          <w:tcPr>
            <w:tcW w:w="102" w:type="dxa"/>
            <w:tcBorders/>
            <w:shd w:fill="CCEEFF" w:val="clear"/>
            <w:vAlign w:val="center"/>
          </w:tcPr>
          <w:p>
            <w:pPr>
              <w:pStyle w:val="TableContents"/>
              <w:spacing w:before="0" w:after="283"/>
              <w:rPr/>
            </w:pPr>
            <w:r>
              <w:rPr/>
              <w:t> </w:t>
            </w:r>
          </w:p>
        </w:tc>
        <w:tc>
          <w:tcPr>
            <w:tcW w:w="953" w:type="dxa"/>
            <w:tcBorders/>
            <w:shd w:fill="CCEEFF" w:val="clear"/>
            <w:vAlign w:val="center"/>
          </w:tcPr>
          <w:p>
            <w:pPr>
              <w:pStyle w:val="TableContents"/>
              <w:spacing w:before="0" w:after="283"/>
              <w:jc w:val="right"/>
              <w:rPr/>
            </w:pPr>
            <w:r>
              <w:rPr/>
              <w:t>9.46</w:t>
            </w:r>
          </w:p>
        </w:tc>
        <w:tc>
          <w:tcPr>
            <w:tcW w:w="656" w:type="dxa"/>
            <w:tcBorders/>
            <w:shd w:fill="CCEEFF" w:val="clear"/>
            <w:vAlign w:val="center"/>
          </w:tcPr>
          <w:p>
            <w:pPr>
              <w:pStyle w:val="TableContents"/>
              <w:spacing w:before="0" w:after="283"/>
              <w:rPr/>
            </w:pPr>
            <w:r>
              <w:rPr/>
              <w:t>% </w:t>
            </w:r>
          </w:p>
        </w:tc>
      </w:tr>
      <w:tr>
        <w:trPr/>
        <w:tc>
          <w:tcPr>
            <w:tcW w:w="4724"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FMR LLC</w:t>
              <w:br/>
              <w:t>245 Summer Street</w:t>
              <w:br/>
              <w:t>Boston, MA 02210</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1278" w:type="dxa"/>
            <w:tcBorders/>
            <w:shd w:fill="auto" w:val="clear"/>
            <w:vAlign w:val="center"/>
          </w:tcPr>
          <w:p>
            <w:pPr>
              <w:pStyle w:val="TableContents"/>
              <w:spacing w:before="0" w:after="283"/>
              <w:jc w:val="right"/>
              <w:rPr/>
            </w:pPr>
            <w:r>
              <w:rPr/>
              <w:t>Class A</w:t>
            </w:r>
          </w:p>
        </w:tc>
        <w:tc>
          <w:tcPr>
            <w:tcW w:w="32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 w:type="dxa"/>
            <w:tcBorders/>
            <w:shd w:fill="auto" w:val="clear"/>
            <w:vAlign w:val="center"/>
          </w:tcPr>
          <w:p>
            <w:pPr>
              <w:pStyle w:val="TableContents"/>
              <w:spacing w:before="0" w:after="283"/>
              <w:rPr/>
            </w:pPr>
            <w:r>
              <w:rPr/>
              <w:t> </w:t>
            </w:r>
          </w:p>
        </w:tc>
        <w:tc>
          <w:tcPr>
            <w:tcW w:w="1314" w:type="dxa"/>
            <w:tcBorders/>
            <w:shd w:fill="auto" w:val="clear"/>
            <w:vAlign w:val="center"/>
          </w:tcPr>
          <w:p>
            <w:pPr>
              <w:pStyle w:val="TableContents"/>
              <w:spacing w:before="0" w:after="283"/>
              <w:jc w:val="right"/>
              <w:rPr/>
            </w:pPr>
            <w:r>
              <w:rPr/>
              <w:t>5,818,675</w:t>
            </w:r>
          </w:p>
        </w:tc>
        <w:tc>
          <w:tcPr>
            <w:tcW w:w="481" w:type="dxa"/>
            <w:tcBorders/>
            <w:shd w:fill="auto" w:val="clear"/>
            <w:vAlign w:val="center"/>
          </w:tcPr>
          <w:p>
            <w:pPr>
              <w:pStyle w:val="TableContents"/>
              <w:spacing w:before="0" w:after="283"/>
              <w:rPr/>
            </w:pPr>
            <w:r>
              <w:rPr/>
              <w:t>(20) </w:t>
            </w:r>
          </w:p>
        </w:tc>
        <w:tc>
          <w:tcPr>
            <w:tcW w:w="60"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jc w:val="right"/>
              <w:rPr/>
            </w:pPr>
            <w:r>
              <w:rPr/>
              <w:t>6.65</w:t>
            </w:r>
          </w:p>
        </w:tc>
        <w:tc>
          <w:tcPr>
            <w:tcW w:w="656"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pBdr>
          <w:bottom w:val="single" w:sz="2" w:space="1" w:color="000000"/>
        </w:pBdr>
        <w:spacing w:lineRule="atLeast" w:line="160" w:before="0" w:after="40"/>
        <w:jc w:val="left"/>
        <w:rPr/>
      </w:pPr>
      <w:r>
        <w:rPr/>
        <w:t> </w:t>
      </w:r>
    </w:p>
    <w:tbl>
      <w:tblPr>
        <w:tblW w:w="1360" w:type="dxa"/>
        <w:jc w:val="left"/>
        <w:tblInd w:w="0" w:type="dxa"/>
        <w:tblCellMar>
          <w:top w:w="0" w:type="dxa"/>
          <w:left w:w="0" w:type="dxa"/>
          <w:bottom w:w="0" w:type="dxa"/>
          <w:right w:w="0" w:type="dxa"/>
        </w:tblCellMar>
      </w:tblPr>
      <w:tblGrid>
        <w:gridCol w:w="155"/>
        <w:gridCol w:w="1205"/>
      </w:tblGrid>
      <w:tr>
        <w:trPr/>
        <w:tc>
          <w:tcPr>
            <w:tcW w:w="155" w:type="dxa"/>
            <w:tcBorders/>
            <w:shd w:fill="auto" w:val="clear"/>
            <w:vAlign w:val="center"/>
          </w:tcPr>
          <w:p>
            <w:pPr>
              <w:pStyle w:val="TableContents"/>
              <w:spacing w:before="0" w:after="283"/>
              <w:jc w:val="left"/>
              <w:rPr/>
            </w:pPr>
            <w:r>
              <w:rPr/>
              <w:t>*</w:t>
            </w:r>
          </w:p>
        </w:tc>
        <w:tc>
          <w:tcPr>
            <w:tcW w:w="12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Less than 1%.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283"/>
              <w:jc w:val="left"/>
              <w:rPr/>
            </w:pPr>
            <w:r>
              <w:rPr/>
              <w:t>**</w:t>
            </w:r>
          </w:p>
        </w:tc>
        <w:tc>
          <w:tcPr>
            <w:tcW w:w="1001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This column does not include LTIP Units or Common Units of the Company’s operating partnership, Lamar Advertising Limited Partnership that did not meet the applicable conditions for conversion and redemption into shares of the Company’s Class A Common Stock by March 13, 2023. For 2022 and 2023, our named executive officers have received their equity awards in the form of LTIP Units. </w:t>
            </w:r>
          </w:p>
        </w:tc>
      </w:tr>
    </w:tbl>
    <w:tbl>
      <w:tblPr>
        <w:tblW w:w="1960" w:type="dxa"/>
        <w:jc w:val="left"/>
        <w:tblInd w:w="0" w:type="dxa"/>
        <w:tblCellMar>
          <w:top w:w="0" w:type="dxa"/>
          <w:left w:w="0" w:type="dxa"/>
          <w:bottom w:w="0" w:type="dxa"/>
          <w:right w:w="0" w:type="dxa"/>
        </w:tblCellMar>
      </w:tblPr>
      <w:tblGrid>
        <w:gridCol w:w="155"/>
        <w:gridCol w:w="1805"/>
      </w:tblGrid>
      <w:tr>
        <w:trPr/>
        <w:tc>
          <w:tcPr>
            <w:tcW w:w="155" w:type="dxa"/>
            <w:tcBorders/>
            <w:shd w:fill="auto" w:val="clear"/>
            <w:vAlign w:val="center"/>
          </w:tcPr>
          <w:p>
            <w:pPr>
              <w:pStyle w:val="TableContents"/>
              <w:spacing w:before="0" w:after="283"/>
              <w:jc w:val="left"/>
              <w:rPr/>
            </w:pPr>
            <w:r>
              <w:rPr/>
              <w:t>†</w:t>
            </w:r>
          </w:p>
        </w:tc>
        <w:tc>
          <w:tcPr>
            <w:tcW w:w="18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Nominee for director. </w:t>
            </w:r>
          </w:p>
        </w:tc>
      </w:tr>
    </w:tbl>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283"/>
              <w:jc w:val="left"/>
              <w:rPr/>
            </w:pPr>
            <w:r>
              <w:rPr/>
              <w:t>(1)</w:t>
            </w:r>
          </w:p>
        </w:tc>
        <w:tc>
          <w:tcPr>
            <w:tcW w:w="996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Upon the sale of any shares of Class B Common Stock to a person other than to a Permitted Transferee, such shares will automatically convert into shares of Class A Common Stock. Permitted Transferees include (i) a descendant of Kevin P. Reilly, Sr.; (ii) a spouse or surviving spouse (even if remarried) of any individual named or described in (i) above; (iii) any estate, trust, guardianship, custodianship, curatorship or other fiduciary arrangement for the primary benefit of any one or more of the individuals named or described in (i) and (ii) above; and (iv) any corporation, partnership, limited liability company or other business organization controlled by and substantially all of the interests in which are owned, directly or indirectly, by any one or more of the individuals and entities named or described in (i), (ii), and (iii) above. Except for voting rights, the Class A Common Stock and Class B Common Stock are substantially identical. The holders of Class A Common Stock and Class B Common Stock vote together as a single class (except as may otherwise be required by Delaware law), with the holders of Class A Common Stock entitled to one vote per share and the holders of Class B Common Stock entitled to ten votes per share on all matters on which the holders of common stock are entitled to vote. </w:t>
            </w:r>
          </w:p>
        </w:tc>
      </w:tr>
    </w:tbl>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jc w:val="left"/>
              <w:rPr/>
            </w:pPr>
            <w:r>
              <w:rPr/>
              <w:t>(2)</w:t>
            </w:r>
          </w:p>
        </w:tc>
        <w:tc>
          <w:tcPr>
            <w:tcW w:w="996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566,211 shares held by Ninemile, L.L.C., of which Kevin P. Reilly, Jr. is the managing member, all of which are pledged as collateral for a loan, and 1,796,039 shares held by Grand Pass, L.L.C., of which Kevin P. Reilly, Jr. is the sole manager. Kevin P. Reilly, Jr. has sole voting power over the shares held by Ninemile, L.L.C. but dispositions of the shares require the approval of 66% of the outstanding membership interests. Kevin P. Reilly, Jr. has sole voting and dispositive power over the shares held by Grand Pass, L.L.C. Kevin P. Reilly, Jr. disclaims beneficial ownership in the shares held by Ninemile, L.L.C. and Grand Pass, L.L.C., except to the extent of his pecuniary interest therein. </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jc w:val="left"/>
              <w:rPr/>
            </w:pPr>
            <w:r>
              <w:rPr/>
              <w:t>(3)</w:t>
            </w:r>
          </w:p>
        </w:tc>
        <w:tc>
          <w:tcPr>
            <w:tcW w:w="9964"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9,000,000 shares held by the Reilly Family, LLC (the “RFLLC”), of which Kevin P. Reilly, Jr. is the executive manager. Kevin P. Reilly, Jr.’s three siblings, Anna Reilly (a nominee for director), Sean E. Reilly (our Chief Executive Officer) and Wendell Reilly (a nominee for director) are the other managers of the RFLLC. The executive manager has sole voting power over the shares held by the RFLLC but dispositions of the shares require the approval of managers representing 75% of the limited liability company interests of the RFLLC. Anna Reilly, Sean E. Reilly, and Wendell Reilly disclaim beneficial ownership in the shares held by the RFLLC, except to the extent of their pecuniary interest therein. </w:t>
            </w:r>
          </w:p>
        </w:tc>
      </w:tr>
    </w:tbl>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jc w:val="left"/>
              <w:rPr/>
            </w:pPr>
            <w:r>
              <w:rPr/>
              <w:t>(4)</w:t>
            </w:r>
          </w:p>
        </w:tc>
        <w:tc>
          <w:tcPr>
            <w:tcW w:w="990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11.15% of the Class A Common Stock if all shares of Class B Common Stock are converted into Class A Common Stock. </w:t>
            </w:r>
          </w:p>
        </w:tc>
      </w:tr>
    </w:tbl>
    <w:tbl>
      <w:tblPr>
        <w:tblW w:w="10205" w:type="dxa"/>
        <w:jc w:val="left"/>
        <w:tblInd w:w="0" w:type="dxa"/>
        <w:tblCellMar>
          <w:top w:w="0" w:type="dxa"/>
          <w:left w:w="0" w:type="dxa"/>
          <w:bottom w:w="0" w:type="dxa"/>
          <w:right w:w="0" w:type="dxa"/>
        </w:tblCellMar>
      </w:tblPr>
      <w:tblGrid>
        <w:gridCol w:w="248"/>
        <w:gridCol w:w="9957"/>
      </w:tblGrid>
      <w:tr>
        <w:trPr/>
        <w:tc>
          <w:tcPr>
            <w:tcW w:w="248" w:type="dxa"/>
            <w:tcBorders/>
            <w:shd w:fill="auto" w:val="clear"/>
            <w:vAlign w:val="center"/>
          </w:tcPr>
          <w:p>
            <w:pPr>
              <w:pStyle w:val="TableContents"/>
              <w:spacing w:before="0" w:after="283"/>
              <w:jc w:val="left"/>
              <w:rPr/>
            </w:pPr>
            <w:r>
              <w:rPr/>
              <w:t>(5)</w:t>
            </w:r>
          </w:p>
        </w:tc>
        <w:tc>
          <w:tcPr>
            <w:tcW w:w="995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757,375 shares held by Jennifer and Sean Reilly Family, LLC and 800,460 shares held by SRAA, LLC, of which Sean E. Reilly is the sole manager. Sean E. Reilly has sole voting and dispositive power over the shares held by the Jennifer and Sean Reilly Family, LLC and SRAA, LLC. Sean E. Reilly disclaims beneficial ownership in the shares held by the Jennifer and Sean Reilly Family, LLC and SRAA, LLC, except to the extent of his pecuniary interest therein. </w:t>
            </w:r>
          </w:p>
        </w:tc>
      </w:tr>
    </w:tbl>
    <w:tbl>
      <w:tblPr>
        <w:tblW w:w="10205" w:type="dxa"/>
        <w:jc w:val="left"/>
        <w:tblInd w:w="0" w:type="dxa"/>
        <w:tblCellMar>
          <w:top w:w="0" w:type="dxa"/>
          <w:left w:w="0" w:type="dxa"/>
          <w:bottom w:w="0" w:type="dxa"/>
          <w:right w:w="0" w:type="dxa"/>
        </w:tblCellMar>
      </w:tblPr>
      <w:tblGrid>
        <w:gridCol w:w="298"/>
        <w:gridCol w:w="9907"/>
      </w:tblGrid>
      <w:tr>
        <w:trPr/>
        <w:tc>
          <w:tcPr>
            <w:tcW w:w="298" w:type="dxa"/>
            <w:tcBorders/>
            <w:shd w:fill="auto" w:val="clear"/>
            <w:vAlign w:val="center"/>
          </w:tcPr>
          <w:p>
            <w:pPr>
              <w:pStyle w:val="TableContents"/>
              <w:spacing w:before="0" w:after="283"/>
              <w:jc w:val="left"/>
              <w:rPr/>
            </w:pPr>
            <w:r>
              <w:rPr/>
              <w:t>(6)</w:t>
            </w:r>
          </w:p>
        </w:tc>
        <w:tc>
          <w:tcPr>
            <w:tcW w:w="990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10.36% of the Class A Common Stock if all shares of Class B Common Stock are converted into Class A Common Stock. </w:t>
            </w:r>
          </w:p>
        </w:tc>
      </w:tr>
    </w:tbl>
    <w:tbl>
      <w:tblPr>
        <w:tblW w:w="6100" w:type="dxa"/>
        <w:jc w:val="left"/>
        <w:tblInd w:w="0" w:type="dxa"/>
        <w:tblCellMar>
          <w:top w:w="0" w:type="dxa"/>
          <w:left w:w="0" w:type="dxa"/>
          <w:bottom w:w="0" w:type="dxa"/>
          <w:right w:w="0" w:type="dxa"/>
        </w:tblCellMar>
      </w:tblPr>
      <w:tblGrid>
        <w:gridCol w:w="305"/>
        <w:gridCol w:w="5795"/>
      </w:tblGrid>
      <w:tr>
        <w:trPr/>
        <w:tc>
          <w:tcPr>
            <w:tcW w:w="305" w:type="dxa"/>
            <w:tcBorders/>
            <w:shd w:fill="auto" w:val="clear"/>
            <w:vAlign w:val="center"/>
          </w:tcPr>
          <w:p>
            <w:pPr>
              <w:pStyle w:val="TableContents"/>
              <w:spacing w:before="0" w:after="283"/>
              <w:jc w:val="left"/>
              <w:rPr/>
            </w:pPr>
            <w:r>
              <w:rPr/>
              <w:t>(7)</w:t>
            </w:r>
          </w:p>
        </w:tc>
        <w:tc>
          <w:tcPr>
            <w:tcW w:w="57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144,646 shares owned jointly by Anna Reilly and her spouse. </w:t>
            </w:r>
          </w:p>
        </w:tc>
      </w:tr>
    </w:tbl>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283"/>
              <w:jc w:val="left"/>
              <w:rPr/>
            </w:pPr>
            <w:r>
              <w:rPr/>
              <w:t>(8)</w:t>
            </w:r>
          </w:p>
        </w:tc>
        <w:tc>
          <w:tcPr>
            <w:tcW w:w="993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700,000 shares held by Truckstop Lunch Ladies LLC (“TLL”) and 300,000 shares owned jointly by Ms. Reilly and her spouse. Ms. Reilly’s spouse has sole voting and dispositive power over the shares held by TLL.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99"/>
        <w:gridCol w:w="9906"/>
      </w:tblGrid>
      <w:tr>
        <w:trPr/>
        <w:tc>
          <w:tcPr>
            <w:tcW w:w="299" w:type="dxa"/>
            <w:tcBorders/>
            <w:shd w:fill="auto" w:val="clear"/>
            <w:vAlign w:val="center"/>
          </w:tcPr>
          <w:p>
            <w:pPr>
              <w:pStyle w:val="TableContents"/>
              <w:spacing w:before="0" w:after="283"/>
              <w:jc w:val="left"/>
              <w:rPr/>
            </w:pPr>
            <w:r>
              <w:rPr/>
              <w:t>(9)</w:t>
            </w:r>
          </w:p>
        </w:tc>
        <w:tc>
          <w:tcPr>
            <w:tcW w:w="990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9.82% of the Class A Common Stock if all shares of Class B Common Stock are converted into Class A Common Stock. </w:t>
            </w:r>
          </w:p>
        </w:tc>
      </w:tr>
    </w:tbl>
    <w:tbl>
      <w:tblPr>
        <w:tblW w:w="3835" w:type="dxa"/>
        <w:jc w:val="left"/>
        <w:tblInd w:w="0" w:type="dxa"/>
        <w:tblCellMar>
          <w:top w:w="0" w:type="dxa"/>
          <w:left w:w="0" w:type="dxa"/>
          <w:bottom w:w="0" w:type="dxa"/>
          <w:right w:w="0" w:type="dxa"/>
        </w:tblCellMar>
      </w:tblPr>
      <w:tblGrid>
        <w:gridCol w:w="425"/>
        <w:gridCol w:w="3410"/>
      </w:tblGrid>
      <w:tr>
        <w:trPr/>
        <w:tc>
          <w:tcPr>
            <w:tcW w:w="425" w:type="dxa"/>
            <w:tcBorders/>
            <w:shd w:fill="auto" w:val="clear"/>
            <w:vAlign w:val="center"/>
          </w:tcPr>
          <w:p>
            <w:pPr>
              <w:pStyle w:val="TableContents"/>
              <w:spacing w:before="0" w:after="283"/>
              <w:jc w:val="left"/>
              <w:rPr/>
            </w:pPr>
            <w:r>
              <w:rPr/>
              <w:t>(10)</w:t>
            </w:r>
          </w:p>
        </w:tc>
        <w:tc>
          <w:tcPr>
            <w:tcW w:w="34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5,000 shares held by his spouse. </w:t>
            </w:r>
          </w:p>
        </w:tc>
      </w:tr>
    </w:tbl>
    <w:tbl>
      <w:tblPr>
        <w:tblW w:w="10205" w:type="dxa"/>
        <w:jc w:val="left"/>
        <w:tblInd w:w="0" w:type="dxa"/>
        <w:tblCellMar>
          <w:top w:w="0" w:type="dxa"/>
          <w:left w:w="0" w:type="dxa"/>
          <w:bottom w:w="0" w:type="dxa"/>
          <w:right w:w="0" w:type="dxa"/>
        </w:tblCellMar>
      </w:tblPr>
      <w:tblGrid>
        <w:gridCol w:w="418"/>
        <w:gridCol w:w="9787"/>
      </w:tblGrid>
      <w:tr>
        <w:trPr/>
        <w:tc>
          <w:tcPr>
            <w:tcW w:w="418" w:type="dxa"/>
            <w:tcBorders/>
            <w:shd w:fill="auto" w:val="clear"/>
            <w:vAlign w:val="center"/>
          </w:tcPr>
          <w:p>
            <w:pPr>
              <w:pStyle w:val="TableContents"/>
              <w:spacing w:before="0" w:after="283"/>
              <w:jc w:val="left"/>
              <w:rPr/>
            </w:pPr>
            <w:r>
              <w:rPr/>
              <w:t>(11)</w:t>
            </w:r>
          </w:p>
        </w:tc>
        <w:tc>
          <w:tcPr>
            <w:tcW w:w="978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9.32% of the Class A Common Stock if all shares of Class B Common Stock are converted into Class A Common Stock. </w:t>
            </w:r>
          </w:p>
        </w:tc>
      </w:tr>
    </w:tbl>
    <w:tbl>
      <w:tblPr>
        <w:tblW w:w="4930" w:type="dxa"/>
        <w:jc w:val="left"/>
        <w:tblInd w:w="0" w:type="dxa"/>
        <w:tblCellMar>
          <w:top w:w="0" w:type="dxa"/>
          <w:left w:w="0" w:type="dxa"/>
          <w:bottom w:w="0" w:type="dxa"/>
          <w:right w:w="0" w:type="dxa"/>
        </w:tblCellMar>
      </w:tblPr>
      <w:tblGrid>
        <w:gridCol w:w="425"/>
        <w:gridCol w:w="4505"/>
      </w:tblGrid>
      <w:tr>
        <w:trPr/>
        <w:tc>
          <w:tcPr>
            <w:tcW w:w="425" w:type="dxa"/>
            <w:tcBorders/>
            <w:shd w:fill="auto" w:val="clear"/>
            <w:vAlign w:val="center"/>
          </w:tcPr>
          <w:p>
            <w:pPr>
              <w:pStyle w:val="TableContents"/>
              <w:spacing w:before="0" w:after="283"/>
              <w:jc w:val="left"/>
              <w:rPr/>
            </w:pPr>
            <w:r>
              <w:rPr/>
              <w:t>(12)</w:t>
            </w:r>
          </w:p>
        </w:tc>
        <w:tc>
          <w:tcPr>
            <w:tcW w:w="45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16,000 shares pledged as collateral for a loan. </w:t>
            </w:r>
          </w:p>
        </w:tc>
      </w:tr>
    </w:tbl>
    <w:tbl>
      <w:tblPr>
        <w:tblW w:w="10205" w:type="dxa"/>
        <w:jc w:val="left"/>
        <w:tblInd w:w="0" w:type="dxa"/>
        <w:tblCellMar>
          <w:top w:w="0" w:type="dxa"/>
          <w:left w:w="0" w:type="dxa"/>
          <w:bottom w:w="0" w:type="dxa"/>
          <w:right w:w="0" w:type="dxa"/>
        </w:tblCellMar>
      </w:tblPr>
      <w:tblGrid>
        <w:gridCol w:w="407"/>
        <w:gridCol w:w="9798"/>
      </w:tblGrid>
      <w:tr>
        <w:trPr/>
        <w:tc>
          <w:tcPr>
            <w:tcW w:w="407" w:type="dxa"/>
            <w:tcBorders/>
            <w:shd w:fill="auto" w:val="clear"/>
            <w:vAlign w:val="center"/>
          </w:tcPr>
          <w:p>
            <w:pPr>
              <w:pStyle w:val="TableContents"/>
              <w:spacing w:before="0" w:after="283"/>
              <w:jc w:val="left"/>
              <w:rPr/>
            </w:pPr>
            <w:r>
              <w:rPr/>
              <w:t>(13)</w:t>
            </w:r>
          </w:p>
        </w:tc>
        <w:tc>
          <w:tcPr>
            <w:tcW w:w="979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5,070 shares held in a brokerage margin account. The margin balance outstanding, if any, pursuant to such account may vary from time to time. </w:t>
            </w:r>
          </w:p>
        </w:tc>
      </w:tr>
    </w:tbl>
    <w:tbl>
      <w:tblPr>
        <w:tblW w:w="10205" w:type="dxa"/>
        <w:jc w:val="left"/>
        <w:tblInd w:w="0" w:type="dxa"/>
        <w:tblCellMar>
          <w:top w:w="0" w:type="dxa"/>
          <w:left w:w="0" w:type="dxa"/>
          <w:bottom w:w="0" w:type="dxa"/>
          <w:right w:w="0" w:type="dxa"/>
        </w:tblCellMar>
      </w:tblPr>
      <w:tblGrid>
        <w:gridCol w:w="407"/>
        <w:gridCol w:w="9798"/>
      </w:tblGrid>
      <w:tr>
        <w:trPr/>
        <w:tc>
          <w:tcPr>
            <w:tcW w:w="407" w:type="dxa"/>
            <w:tcBorders/>
            <w:shd w:fill="auto" w:val="clear"/>
            <w:vAlign w:val="center"/>
          </w:tcPr>
          <w:p>
            <w:pPr>
              <w:pStyle w:val="TableContents"/>
              <w:spacing w:before="0" w:after="283"/>
              <w:jc w:val="left"/>
              <w:rPr/>
            </w:pPr>
            <w:r>
              <w:rPr/>
              <w:t>(14)</w:t>
            </w:r>
          </w:p>
        </w:tc>
        <w:tc>
          <w:tcPr>
            <w:tcW w:w="979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17,000 shares held in a brokerage margin account. The margin balance outstanding, if any, pursuant to such account may vary from time to time. </w:t>
            </w:r>
          </w:p>
        </w:tc>
      </w:tr>
    </w:tbl>
    <w:tbl>
      <w:tblPr>
        <w:tblW w:w="3970" w:type="dxa"/>
        <w:jc w:val="left"/>
        <w:tblInd w:w="0" w:type="dxa"/>
        <w:tblCellMar>
          <w:top w:w="0" w:type="dxa"/>
          <w:left w:w="0" w:type="dxa"/>
          <w:bottom w:w="0" w:type="dxa"/>
          <w:right w:w="0" w:type="dxa"/>
        </w:tblCellMar>
      </w:tblPr>
      <w:tblGrid>
        <w:gridCol w:w="425"/>
        <w:gridCol w:w="3545"/>
      </w:tblGrid>
      <w:tr>
        <w:trPr/>
        <w:tc>
          <w:tcPr>
            <w:tcW w:w="425" w:type="dxa"/>
            <w:tcBorders/>
            <w:shd w:fill="auto" w:val="clear"/>
            <w:vAlign w:val="center"/>
          </w:tcPr>
          <w:p>
            <w:pPr>
              <w:pStyle w:val="TableContents"/>
              <w:spacing w:before="0" w:after="283"/>
              <w:jc w:val="left"/>
              <w:rPr/>
            </w:pPr>
            <w:r>
              <w:rPr/>
              <w:t>(15)</w:t>
            </w:r>
          </w:p>
        </w:tc>
        <w:tc>
          <w:tcPr>
            <w:tcW w:w="35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See Notes 1, 2, 3, 5, 7, 8, 10, 12, 13 and 14. </w:t>
            </w:r>
          </w:p>
        </w:tc>
      </w:tr>
    </w:tbl>
    <w:tbl>
      <w:tblPr>
        <w:tblW w:w="8770" w:type="dxa"/>
        <w:jc w:val="left"/>
        <w:tblInd w:w="0" w:type="dxa"/>
        <w:tblCellMar>
          <w:top w:w="0" w:type="dxa"/>
          <w:left w:w="0" w:type="dxa"/>
          <w:bottom w:w="0" w:type="dxa"/>
          <w:right w:w="0" w:type="dxa"/>
        </w:tblCellMar>
      </w:tblPr>
      <w:tblGrid>
        <w:gridCol w:w="425"/>
        <w:gridCol w:w="8345"/>
      </w:tblGrid>
      <w:tr>
        <w:trPr/>
        <w:tc>
          <w:tcPr>
            <w:tcW w:w="425" w:type="dxa"/>
            <w:tcBorders/>
            <w:shd w:fill="auto" w:val="clear"/>
            <w:vAlign w:val="center"/>
          </w:tcPr>
          <w:p>
            <w:pPr>
              <w:pStyle w:val="TableContents"/>
              <w:spacing w:before="0" w:after="283"/>
              <w:jc w:val="left"/>
              <w:rPr/>
            </w:pPr>
            <w:r>
              <w:rPr/>
              <w:t>(16)</w:t>
            </w:r>
          </w:p>
        </w:tc>
        <w:tc>
          <w:tcPr>
            <w:tcW w:w="83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Assumes the conversion of all shares of Class B Common Stock into shares of Class A Common Stock. </w:t>
            </w:r>
          </w:p>
        </w:tc>
      </w:tr>
    </w:tbl>
    <w:tbl>
      <w:tblPr>
        <w:tblW w:w="10205" w:type="dxa"/>
        <w:jc w:val="left"/>
        <w:tblInd w:w="0" w:type="dxa"/>
        <w:tblCellMar>
          <w:top w:w="0" w:type="dxa"/>
          <w:left w:w="0" w:type="dxa"/>
          <w:bottom w:w="0" w:type="dxa"/>
          <w:right w:w="0" w:type="dxa"/>
        </w:tblCellMar>
      </w:tblPr>
      <w:tblGrid>
        <w:gridCol w:w="418"/>
        <w:gridCol w:w="9787"/>
      </w:tblGrid>
      <w:tr>
        <w:trPr/>
        <w:tc>
          <w:tcPr>
            <w:tcW w:w="418" w:type="dxa"/>
            <w:tcBorders/>
            <w:shd w:fill="auto" w:val="clear"/>
            <w:vAlign w:val="center"/>
          </w:tcPr>
          <w:p>
            <w:pPr>
              <w:pStyle w:val="TableContents"/>
              <w:spacing w:before="0" w:after="283"/>
              <w:jc w:val="left"/>
              <w:rPr/>
            </w:pPr>
            <w:r>
              <w:rPr/>
              <w:t>(17)</w:t>
            </w:r>
          </w:p>
        </w:tc>
        <w:tc>
          <w:tcPr>
            <w:tcW w:w="9787"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8.83% of the Class A Common Stock if all shares of Class B Common Stock are converted into Class A Common Stock. </w:t>
            </w:r>
          </w:p>
        </w:tc>
      </w:tr>
    </w:tbl>
    <w:tbl>
      <w:tblPr>
        <w:tblW w:w="10205" w:type="dxa"/>
        <w:jc w:val="left"/>
        <w:tblInd w:w="0" w:type="dxa"/>
        <w:tblCellMar>
          <w:top w:w="0" w:type="dxa"/>
          <w:left w:w="0" w:type="dxa"/>
          <w:bottom w:w="0" w:type="dxa"/>
          <w:right w:w="0" w:type="dxa"/>
        </w:tblCellMar>
      </w:tblPr>
      <w:tblGrid>
        <w:gridCol w:w="377"/>
        <w:gridCol w:w="9828"/>
      </w:tblGrid>
      <w:tr>
        <w:trPr/>
        <w:tc>
          <w:tcPr>
            <w:tcW w:w="377" w:type="dxa"/>
            <w:tcBorders/>
            <w:shd w:fill="auto" w:val="clear"/>
            <w:vAlign w:val="center"/>
          </w:tcPr>
          <w:p>
            <w:pPr>
              <w:pStyle w:val="TableContents"/>
              <w:spacing w:before="0" w:after="283"/>
              <w:jc w:val="left"/>
              <w:rPr/>
            </w:pPr>
            <w:r>
              <w:rPr/>
              <w:t>(18)</w:t>
            </w:r>
          </w:p>
        </w:tc>
        <w:tc>
          <w:tcPr>
            <w:tcW w:w="982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 reported in the Schedule 13G/A filed on February 9, 2023 with the SEC for the year ended December 31, 2022, The Vanguard Group has shared voting power with respect to 37,875 shares, sole dispositive power with respect to 12,540,458 shares and shared dispositive power with respect to 124,505 shares. </w:t>
            </w:r>
          </w:p>
        </w:tc>
      </w:tr>
    </w:tbl>
    <w:tbl>
      <w:tblPr>
        <w:tblW w:w="10205" w:type="dxa"/>
        <w:jc w:val="left"/>
        <w:tblInd w:w="0" w:type="dxa"/>
        <w:tblCellMar>
          <w:top w:w="0" w:type="dxa"/>
          <w:left w:w="0" w:type="dxa"/>
          <w:bottom w:w="0" w:type="dxa"/>
          <w:right w:w="0" w:type="dxa"/>
        </w:tblCellMar>
      </w:tblPr>
      <w:tblGrid>
        <w:gridCol w:w="384"/>
        <w:gridCol w:w="9821"/>
      </w:tblGrid>
      <w:tr>
        <w:trPr/>
        <w:tc>
          <w:tcPr>
            <w:tcW w:w="384" w:type="dxa"/>
            <w:tcBorders/>
            <w:shd w:fill="auto" w:val="clear"/>
            <w:vAlign w:val="center"/>
          </w:tcPr>
          <w:p>
            <w:pPr>
              <w:pStyle w:val="TableContents"/>
              <w:spacing w:before="0" w:after="283"/>
              <w:jc w:val="left"/>
              <w:rPr/>
            </w:pPr>
            <w:r>
              <w:rPr/>
              <w:t>(19)</w:t>
            </w:r>
          </w:p>
        </w:tc>
        <w:tc>
          <w:tcPr>
            <w:tcW w:w="982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 reported in the Schedule 13G/A filed on February 7, 2023 with the SEC for the year ended December 31, 2022, BlackRock, Inc. has sole voting power with respect to 7,954,064 shares and sole dispositive power with respect to 8,269,340 shares. </w:t>
            </w:r>
          </w:p>
        </w:tc>
      </w:tr>
    </w:tbl>
    <w:tbl>
      <w:tblPr>
        <w:tblW w:w="10205" w:type="dxa"/>
        <w:jc w:val="left"/>
        <w:tblInd w:w="0" w:type="dxa"/>
        <w:tblCellMar>
          <w:top w:w="0" w:type="dxa"/>
          <w:left w:w="0" w:type="dxa"/>
          <w:bottom w:w="0" w:type="dxa"/>
          <w:right w:w="0" w:type="dxa"/>
        </w:tblCellMar>
      </w:tblPr>
      <w:tblGrid>
        <w:gridCol w:w="370"/>
        <w:gridCol w:w="9835"/>
      </w:tblGrid>
      <w:tr>
        <w:trPr/>
        <w:tc>
          <w:tcPr>
            <w:tcW w:w="370" w:type="dxa"/>
            <w:tcBorders/>
            <w:shd w:fill="auto" w:val="clear"/>
            <w:vAlign w:val="center"/>
          </w:tcPr>
          <w:p>
            <w:pPr>
              <w:pStyle w:val="TableContents"/>
              <w:spacing w:before="0" w:after="283"/>
              <w:jc w:val="left"/>
              <w:rPr/>
            </w:pPr>
            <w:r>
              <w:rPr/>
              <w:t>(20)</w:t>
            </w:r>
          </w:p>
        </w:tc>
        <w:tc>
          <w:tcPr>
            <w:tcW w:w="98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 reported in the Schedule 13G filed on February 9, 2023 with the SEC for the year ended December 31, 2022, FMR LLC (“FMR”) has sole voting power with respect to 5,739,085 shares and sole dispositive power with respect to 5,818,675 shares, and Abigail P. Johnson, as the Director, the Chairman and the Chief Executive Officer of FMR, has sole dispositive power with respect to 5,818,675 shares. </w:t>
            </w:r>
          </w:p>
        </w:tc>
      </w:tr>
    </w:tbl>
    <w:tbl>
      <w:tblPr>
        <w:tblW w:w="10205" w:type="dxa"/>
        <w:jc w:val="left"/>
        <w:tblInd w:w="0" w:type="dxa"/>
        <w:tblCellMar>
          <w:top w:w="0" w:type="dxa"/>
          <w:left w:w="0" w:type="dxa"/>
          <w:bottom w:w="0" w:type="dxa"/>
          <w:right w:w="0" w:type="dxa"/>
        </w:tblCellMar>
      </w:tblPr>
      <w:tblGrid>
        <w:gridCol w:w="367"/>
        <w:gridCol w:w="9838"/>
      </w:tblGrid>
      <w:tr>
        <w:trPr/>
        <w:tc>
          <w:tcPr>
            <w:tcW w:w="367" w:type="dxa"/>
            <w:tcBorders/>
            <w:shd w:fill="auto" w:val="clear"/>
            <w:vAlign w:val="center"/>
          </w:tcPr>
          <w:p>
            <w:pPr>
              <w:pStyle w:val="TableContents"/>
              <w:spacing w:before="0" w:after="283"/>
              <w:jc w:val="left"/>
              <w:rPr/>
            </w:pPr>
            <w:r>
              <w:rPr/>
              <w:t>(21)</w:t>
            </w:r>
          </w:p>
        </w:tc>
        <w:tc>
          <w:tcPr>
            <w:tcW w:w="983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 reported in the Schedule 13G filed on February 9, 2023 with the SEC for the year ended December 31, 2022, Janus Henderson Group plc (“Janus Henderson”) has an ownership stake in certain asset management entities, which furnish investment advice to various fund, individual and/or institutional clients (“Managed Portfolios”), including Janus Capital Management LLC (“Janus Capital”). Janus Henderson has shared voting and dispositive power with respect to all such shares. </w:t>
            </w:r>
          </w:p>
        </w:tc>
      </w:tr>
    </w:tbl>
    <w:p>
      <w:pPr>
        <w:pStyle w:val="TextBody"/>
        <w:spacing w:before="360" w:after="0"/>
        <w:jc w:val="left"/>
        <w:rPr>
          <w:rFonts w:ascii="Times New Roman" w:hAnsi="Times New Roman"/>
          <w:b/>
          <w:sz w:val="20"/>
        </w:rPr>
      </w:pPr>
      <w:r>
        <w:rPr>
          <w:rFonts w:ascii="Times New Roman" w:hAnsi="Times New Roman"/>
          <w:b/>
          <w:sz w:val="20"/>
        </w:rPr>
        <w:t xml:space="preserve">Preferred Stock </w:t>
      </w:r>
    </w:p>
    <w:p>
      <w:pPr>
        <w:pStyle w:val="TextBody"/>
        <w:spacing w:before="120" w:after="0"/>
        <w:jc w:val="left"/>
        <w:rPr>
          <w:rFonts w:ascii="Times New Roman" w:hAnsi="Times New Roman"/>
          <w:sz w:val="20"/>
        </w:rPr>
      </w:pPr>
      <w:r>
        <w:rPr>
          <w:rFonts w:ascii="Times New Roman" w:hAnsi="Times New Roman"/>
          <w:sz w:val="20"/>
        </w:rPr>
        <w:t xml:space="preserve">The Company also has outstanding 5,719.49 shares of Series AA Preferred Stock. Holders of Series AA Preferred Stock are entitled to one vote per share. The Series AA Preferred Stock is held as follows: 3,134.8 shares (54.8%) by the RFLLC, of which Kevin P. Reilly, Jr. is the executive manager and Anna Reilly, Sean E. Reilly, and Wendell Reilly are managers; 1,500 shares (26.2%) by Charles W. Lamar III; 784.69 shares (13.7%) by Mary Lee Lamar Dixon; and 300 shares (5.3%) by the Josephine P. Lamar Test. Trust #1. The aggregate outstanding Series AA Preferred Stock represents less than 1% of the capital stock of the Company.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oc440239_3"/>
      <w:bookmarkEnd w:id="5"/>
      <w:r>
        <w:rPr>
          <w:rFonts w:ascii="Times New Roman" w:hAnsi="Times New Roman"/>
          <w:b/>
          <w:sz w:val="20"/>
        </w:rPr>
        <w:t xml:space="preserve">SECTION 16(A) BENEFICIAL OWNERSHIP REPORTING COMPLIANCE </w:t>
      </w:r>
    </w:p>
    <w:p>
      <w:pPr>
        <w:pStyle w:val="TextBody"/>
        <w:spacing w:before="240" w:after="0"/>
        <w:jc w:val="left"/>
        <w:rPr>
          <w:rFonts w:ascii="Times New Roman" w:hAnsi="Times New Roman"/>
          <w:sz w:val="20"/>
        </w:rPr>
      </w:pPr>
      <w:r>
        <w:rPr>
          <w:rFonts w:ascii="Times New Roman" w:hAnsi="Times New Roman"/>
          <w:sz w:val="20"/>
        </w:rPr>
        <w:t xml:space="preserve">Our directors, our executive officers and anyone owning beneficially more than ten percent of our registered equity securities are required under Section 16(a) of the Securities Exchange Act of 1934 to file with the SEC reports of their ownership and changes to their ownership of our securities. They must also furnish copies of the reports to us. Based solely on our review of the reports furnished to us and any written representations we received that no other reports were required, we believe that, during the fiscal year ended December 31, 2022, our officers, directors and ten-percent stockholders complied with all Section 16(a) filing requirements applicable to them.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bookmarkStart w:id="6" w:name="toc440239_4"/>
      <w:bookmarkEnd w:id="6"/>
      <w:r>
        <w:rPr>
          <w:rFonts w:ascii="Times New Roman" w:hAnsi="Times New Roman"/>
          <w:b/>
          <w:sz w:val="20"/>
        </w:rPr>
        <w:t xml:space="preserve">EXECUTIVE OFFICERS OF THE REGISTRANT </w:t>
      </w:r>
    </w:p>
    <w:p>
      <w:pPr>
        <w:pStyle w:val="TextBody"/>
        <w:spacing w:before="0" w:after="0"/>
        <w:jc w:val="left"/>
        <w:rPr/>
      </w:pPr>
      <w:r>
        <w:rPr/>
        <w:t> </w:t>
      </w:r>
    </w:p>
    <w:tbl>
      <w:tblPr>
        <w:tblW w:w="8310" w:type="dxa"/>
        <w:jc w:val="left"/>
        <w:tblInd w:w="0" w:type="dxa"/>
        <w:tblCellMar>
          <w:top w:w="0" w:type="dxa"/>
          <w:left w:w="0" w:type="dxa"/>
          <w:bottom w:w="0" w:type="dxa"/>
          <w:right w:w="0" w:type="dxa"/>
        </w:tblCellMar>
      </w:tblPr>
      <w:tblGrid>
        <w:gridCol w:w="1550"/>
        <w:gridCol w:w="120"/>
        <w:gridCol w:w="425"/>
        <w:gridCol w:w="120"/>
        <w:gridCol w:w="6095"/>
      </w:tblGrid>
      <w:tr>
        <w:trPr/>
        <w:tc>
          <w:tcPr>
            <w:tcW w:w="15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95" w:type="dxa"/>
            <w:tcBorders/>
            <w:shd w:fill="auto" w:val="clear"/>
            <w:vAlign w:val="center"/>
          </w:tcPr>
          <w:p>
            <w:pPr>
              <w:pStyle w:val="TableContents"/>
              <w:spacing w:before="0" w:after="283"/>
              <w:rPr>
                <w:sz w:val="4"/>
                <w:szCs w:val="4"/>
              </w:rPr>
            </w:pPr>
            <w:r>
              <w:rPr>
                <w:sz w:val="4"/>
                <w:szCs w:val="4"/>
              </w:rPr>
            </w:r>
          </w:p>
        </w:tc>
      </w:tr>
      <w:tr>
        <w:trPr/>
        <w:tc>
          <w:tcPr>
            <w:tcW w:w="1550"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425" w:type="dxa"/>
            <w:tcBorders>
              <w:bottom w:val="single" w:sz="8" w:space="0" w:color="000000"/>
            </w:tcBorders>
            <w:shd w:fill="auto" w:val="clear"/>
            <w:tcMar>
              <w:bottom w:w="28" w:type="dxa"/>
            </w:tcMar>
            <w:vAlign w:val="center"/>
          </w:tcPr>
          <w:p>
            <w:pPr>
              <w:pStyle w:val="TableContents"/>
              <w:spacing w:before="0" w:after="283"/>
              <w:jc w:val="center"/>
              <w:rPr>
                <w:b/>
              </w:rPr>
            </w:pPr>
            <w:r>
              <w:rPr>
                <w:b/>
              </w:rPr>
              <w:t>Age</w:t>
            </w:r>
          </w:p>
        </w:tc>
        <w:tc>
          <w:tcPr>
            <w:tcW w:w="120" w:type="dxa"/>
            <w:tcBorders/>
            <w:shd w:fill="auto" w:val="clear"/>
            <w:vAlign w:val="center"/>
          </w:tcPr>
          <w:p>
            <w:pPr>
              <w:pStyle w:val="TableContents"/>
              <w:spacing w:before="0" w:after="283"/>
              <w:rPr/>
            </w:pPr>
            <w:r>
              <w:rPr/>
              <w:t>  </w:t>
            </w:r>
          </w:p>
        </w:tc>
        <w:tc>
          <w:tcPr>
            <w:tcW w:w="6095" w:type="dxa"/>
            <w:tcBorders>
              <w:bottom w:val="single" w:sz="8" w:space="0" w:color="000000"/>
            </w:tcBorders>
            <w:shd w:fill="auto" w:val="clear"/>
            <w:tcMar>
              <w:bottom w:w="28" w:type="dxa"/>
            </w:tcMar>
            <w:vAlign w:val="center"/>
          </w:tcPr>
          <w:p>
            <w:pPr>
              <w:pStyle w:val="TableContents"/>
              <w:spacing w:before="0" w:after="20"/>
              <w:rPr>
                <w:rFonts w:ascii="Times New Roman" w:hAnsi="Times New Roman"/>
                <w:b/>
                <w:sz w:val="16"/>
              </w:rPr>
            </w:pPr>
            <w:r>
              <w:rPr>
                <w:rFonts w:ascii="Times New Roman" w:hAnsi="Times New Roman"/>
                <w:b/>
                <w:sz w:val="16"/>
              </w:rPr>
              <w:t>Title</w:t>
            </w:r>
          </w:p>
        </w:tc>
      </w:tr>
      <w:tr>
        <w:trPr/>
        <w:tc>
          <w:tcPr>
            <w:tcW w:w="15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Kevin P. Reilly, Jr.</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68</w:t>
            </w:r>
          </w:p>
        </w:tc>
        <w:tc>
          <w:tcPr>
            <w:tcW w:w="120" w:type="dxa"/>
            <w:tcBorders/>
            <w:shd w:fill="CCEEFF" w:val="clear"/>
            <w:vAlign w:val="center"/>
          </w:tcPr>
          <w:p>
            <w:pPr>
              <w:pStyle w:val="TableContents"/>
              <w:spacing w:before="0" w:after="283"/>
              <w:rPr/>
            </w:pPr>
            <w:r>
              <w:rPr/>
              <w:t>  </w:t>
            </w:r>
          </w:p>
        </w:tc>
        <w:tc>
          <w:tcPr>
            <w:tcW w:w="6095" w:type="dxa"/>
            <w:tcBorders/>
            <w:shd w:fill="CCEEFF" w:val="clear"/>
            <w:vAlign w:val="center"/>
          </w:tcPr>
          <w:p>
            <w:pPr>
              <w:pStyle w:val="TableContents"/>
              <w:spacing w:before="0" w:after="283"/>
              <w:rPr/>
            </w:pPr>
            <w:r>
              <w:rPr/>
              <w:t>Executive Chairman of the Board</w:t>
            </w:r>
          </w:p>
        </w:tc>
      </w:tr>
      <w:tr>
        <w:trPr/>
        <w:tc>
          <w:tcPr>
            <w:tcW w:w="15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Sean E. Reilly</w:t>
            </w:r>
          </w:p>
        </w:tc>
        <w:tc>
          <w:tcPr>
            <w:tcW w:w="12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jc w:val="center"/>
              <w:rPr/>
            </w:pPr>
            <w:r>
              <w:rPr/>
              <w:t>61</w:t>
            </w:r>
          </w:p>
        </w:tc>
        <w:tc>
          <w:tcPr>
            <w:tcW w:w="120" w:type="dxa"/>
            <w:tcBorders/>
            <w:shd w:fill="auto" w:val="clear"/>
            <w:vAlign w:val="center"/>
          </w:tcPr>
          <w:p>
            <w:pPr>
              <w:pStyle w:val="TableContents"/>
              <w:spacing w:before="0" w:after="283"/>
              <w:rPr/>
            </w:pPr>
            <w:r>
              <w:rPr/>
              <w:t>  </w:t>
            </w:r>
          </w:p>
        </w:tc>
        <w:tc>
          <w:tcPr>
            <w:tcW w:w="6095" w:type="dxa"/>
            <w:tcBorders/>
            <w:shd w:fill="auto" w:val="clear"/>
            <w:vAlign w:val="center"/>
          </w:tcPr>
          <w:p>
            <w:pPr>
              <w:pStyle w:val="TableContents"/>
              <w:spacing w:before="0" w:after="283"/>
              <w:rPr/>
            </w:pPr>
            <w:r>
              <w:rPr/>
              <w:t>Chief Executive Officer and President</w:t>
            </w:r>
          </w:p>
        </w:tc>
      </w:tr>
      <w:tr>
        <w:trPr/>
        <w:tc>
          <w:tcPr>
            <w:tcW w:w="15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Jay L. Johnson</w:t>
            </w:r>
          </w:p>
        </w:tc>
        <w:tc>
          <w:tcPr>
            <w:tcW w:w="120" w:type="dxa"/>
            <w:tcBorders/>
            <w:shd w:fill="CCEEFF" w:val="clear"/>
            <w:vAlign w:val="center"/>
          </w:tcPr>
          <w:p>
            <w:pPr>
              <w:pStyle w:val="TableContents"/>
              <w:spacing w:before="0" w:after="283"/>
              <w:rPr/>
            </w:pPr>
            <w:r>
              <w:rPr/>
              <w:t>  </w:t>
            </w:r>
          </w:p>
        </w:tc>
        <w:tc>
          <w:tcPr>
            <w:tcW w:w="425" w:type="dxa"/>
            <w:tcBorders/>
            <w:shd w:fill="CCEEFF" w:val="clear"/>
            <w:vAlign w:val="center"/>
          </w:tcPr>
          <w:p>
            <w:pPr>
              <w:pStyle w:val="TableContents"/>
              <w:spacing w:before="0" w:after="283"/>
              <w:jc w:val="center"/>
              <w:rPr/>
            </w:pPr>
            <w:r>
              <w:rPr/>
              <w:t>46</w:t>
            </w:r>
          </w:p>
        </w:tc>
        <w:tc>
          <w:tcPr>
            <w:tcW w:w="120" w:type="dxa"/>
            <w:tcBorders/>
            <w:shd w:fill="CCEEFF" w:val="clear"/>
            <w:vAlign w:val="center"/>
          </w:tcPr>
          <w:p>
            <w:pPr>
              <w:pStyle w:val="TableContents"/>
              <w:spacing w:before="0" w:after="283"/>
              <w:rPr/>
            </w:pPr>
            <w:r>
              <w:rPr/>
              <w:t>  </w:t>
            </w:r>
          </w:p>
        </w:tc>
        <w:tc>
          <w:tcPr>
            <w:tcW w:w="6095" w:type="dxa"/>
            <w:tcBorders/>
            <w:shd w:fill="CCEEFF" w:val="clear"/>
            <w:vAlign w:val="center"/>
          </w:tcPr>
          <w:p>
            <w:pPr>
              <w:pStyle w:val="TableContents"/>
              <w:spacing w:before="0" w:after="283"/>
              <w:rPr/>
            </w:pPr>
            <w:r>
              <w:rPr/>
              <w:t>Executive Vice President, Chief Financial Officer and Treasurer</w:t>
            </w:r>
          </w:p>
        </w:tc>
      </w:tr>
    </w:tbl>
    <w:p>
      <w:pPr>
        <w:pStyle w:val="TextBody"/>
        <w:spacing w:before="240" w:after="0"/>
        <w:jc w:val="left"/>
        <w:rPr>
          <w:rFonts w:ascii="Times New Roman" w:hAnsi="Times New Roman"/>
          <w:sz w:val="20"/>
        </w:rPr>
      </w:pPr>
      <w:r>
        <w:rPr>
          <w:rFonts w:ascii="Times New Roman" w:hAnsi="Times New Roman"/>
          <w:sz w:val="20"/>
        </w:rPr>
        <w:t xml:space="preserve">Each officer’s term of office extends until the meeting of the Board of Directors following the next Annual Meeting of Stockholders and until a successor is elected and qualified or until his earlier resignation or removal. </w:t>
      </w:r>
    </w:p>
    <w:p>
      <w:pPr>
        <w:pStyle w:val="TextBody"/>
        <w:spacing w:before="240" w:after="0"/>
        <w:jc w:val="left"/>
        <w:rPr>
          <w:rFonts w:ascii="Times New Roman" w:hAnsi="Times New Roman"/>
          <w:sz w:val="20"/>
        </w:rPr>
      </w:pPr>
      <w:r>
        <w:rPr>
          <w:rFonts w:ascii="Times New Roman" w:hAnsi="Times New Roman"/>
          <w:sz w:val="20"/>
        </w:rPr>
        <w:t xml:space="preserve">Kevin P. Reilly, Jr. was appointed as Executive Chairman of the Board in February 2020 and has served as one of our directors since February 1984. He previously served as our President from February 1989 until February 2020. Mr. Reilly also served as our Chief Executive Officer from February 1989 until February 2011. Prior to becoming President and Chief Executive Officer, Mr. Reilly served as the President of our Outdoor Division from 1984 to 1989. Mr. Reilly, our employee since 1978, has also served as General Manager of our Baton Rouge Region and Vice President and General Manager of the Louisiana Region. Mr. Reilly received a B.A. from Harvard University in 1977. </w:t>
      </w:r>
    </w:p>
    <w:p>
      <w:pPr>
        <w:pStyle w:val="TextBody"/>
        <w:spacing w:before="240" w:after="0"/>
        <w:jc w:val="left"/>
        <w:rPr>
          <w:rFonts w:ascii="Times New Roman" w:hAnsi="Times New Roman"/>
          <w:sz w:val="20"/>
        </w:rPr>
      </w:pPr>
      <w:r>
        <w:rPr>
          <w:rFonts w:ascii="Times New Roman" w:hAnsi="Times New Roman"/>
          <w:sz w:val="20"/>
        </w:rPr>
        <w:t xml:space="preserve">Sean E. Reilly has served as our Chief Executive Officer since February 2011 and President since February 2020. Prior to becoming Chief Executive Officer, Mr. Reilly had been Chief Operating Officer and President of the Company’s Outdoor Division, a position that he had held since November 2001. He began working with the Company as Vice President of Mergers and Acquisitions in 1987 and served in that capacity until 1994. He also served as a director of the Company from 1989 to 1996 and from 1999 until 2003. Mr. Reilly was the Chief Executive Officer of Wireless One, Inc., a wireless cable television company, from 1994 to 1997, after which he rejoined the Company. Mr. Reilly received a B.A. from Harvard University in 1984 and a J.D. from Harvard Law School in 1989. </w:t>
      </w:r>
    </w:p>
    <w:p>
      <w:pPr>
        <w:pStyle w:val="TextBody"/>
        <w:spacing w:before="240" w:after="0"/>
        <w:jc w:val="left"/>
        <w:rPr>
          <w:rFonts w:ascii="Times New Roman" w:hAnsi="Times New Roman"/>
          <w:sz w:val="20"/>
        </w:rPr>
      </w:pPr>
      <w:r>
        <w:rPr>
          <w:rFonts w:ascii="Times New Roman" w:hAnsi="Times New Roman"/>
          <w:sz w:val="20"/>
        </w:rPr>
        <w:t xml:space="preserve">Jay L. Johnson has been Chief Financial Officer, Executive Vice President and Treasurer of the Company since October 2019. Prior to joining the Company, Mr. Johnson served as Executive Vice President and Chief Financial Officer of DiamondRock Hospitality Company beginning in April 2018 and as Senior Vice President and Treasurer of Host Hotels &amp; Resorts from 2015 to 2018. Prior to his role as Senior Vice President and Treasurer of Host, Mr. Johnson served from 2010 through 2015 in various roles within the corporate finance/treasury group at Host. Prior to Host, he served in a variety of banking roles at KeyBank Real Estate Capital and Bank of America. Prior to these banking roles, he was in the management consulting practice of Deloitte &amp; Touche LLP, the investment banking group at Prudential Securities and the industrial markets trading division of Enron Corporation. He currently serves as 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member of the boards of directors at Newell Brands, Inc. (Nasdaq: NWL), a global consumer goods company, and SBA Communications Corp. (Nasdaq: SBAC), a leading owner and operator of wireless communications infrastructure. Mr. Johnson received an M.B.A. from Harvard Business School in 2004 and a B.A. in economics from Morehouse College in 1998.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oc440239_5"/>
      <w:bookmarkEnd w:id="7"/>
      <w:r>
        <w:rPr>
          <w:rFonts w:ascii="Times New Roman" w:hAnsi="Times New Roman"/>
          <w:b/>
          <w:sz w:val="20"/>
        </w:rPr>
        <w:t xml:space="preserve">PROPOSAL NO. 1: ELECTION OF DIRECTORS </w:t>
      </w:r>
    </w:p>
    <w:p>
      <w:pPr>
        <w:pStyle w:val="TextBody"/>
        <w:spacing w:before="240" w:after="0"/>
        <w:jc w:val="left"/>
        <w:rPr>
          <w:rFonts w:ascii="Times New Roman" w:hAnsi="Times New Roman"/>
          <w:sz w:val="20"/>
        </w:rPr>
      </w:pPr>
      <w:r>
        <w:rPr>
          <w:rFonts w:ascii="Times New Roman" w:hAnsi="Times New Roman"/>
          <w:sz w:val="20"/>
        </w:rPr>
        <w:t xml:space="preserve">The Board of Directors has fixed the number of directors at nine for the coming year. The Board of Directors, upon recommendation from the Nominating and Governance Committee, has nominated the individuals listed below for election as directors at the Annual Meeting to be held on May 10, 2023, to serve until the next Annual Meeting of Stockholders and until their successors are elected and qualified. Each nominee has consented to being named a nominee in this proxy statement and to serve, if elected, as a director. If any nominee is unable to serve, proxies will be voted for such other candidates as may be nominated by the Board of Directors. </w:t>
      </w:r>
    </w:p>
    <w:p>
      <w:pPr>
        <w:pStyle w:val="TextBody"/>
        <w:spacing w:before="360" w:after="0"/>
        <w:jc w:val="left"/>
        <w:rPr>
          <w:rFonts w:ascii="Times New Roman" w:hAnsi="Times New Roman"/>
          <w:b/>
          <w:sz w:val="20"/>
        </w:rPr>
      </w:pPr>
      <w:r>
        <w:rPr>
          <w:rFonts w:ascii="Times New Roman" w:hAnsi="Times New Roman"/>
          <w:b/>
          <w:sz w:val="20"/>
        </w:rPr>
        <w:t xml:space="preserve">Required Vote </w:t>
      </w:r>
    </w:p>
    <w:p>
      <w:pPr>
        <w:pStyle w:val="TextBody"/>
        <w:spacing w:before="120" w:after="0"/>
        <w:jc w:val="left"/>
        <w:rPr>
          <w:rFonts w:ascii="Times New Roman" w:hAnsi="Times New Roman"/>
          <w:sz w:val="20"/>
        </w:rPr>
      </w:pPr>
      <w:r>
        <w:rPr>
          <w:rFonts w:ascii="Times New Roman" w:hAnsi="Times New Roman"/>
          <w:sz w:val="20"/>
        </w:rPr>
        <w:t xml:space="preserve">Directors will be elected by a plurality of the votes cast by the stockholders entitled to vote on this proposal at the meeting. Abstentions, broker non-votes, and votes withheld will not be treated as votes cast for this purpose and will not affect the outcome of the election. </w:t>
      </w:r>
    </w:p>
    <w:p>
      <w:pPr>
        <w:pStyle w:val="TextBody"/>
        <w:spacing w:before="480" w:after="0"/>
        <w:jc w:val="center"/>
        <w:rPr>
          <w:rFonts w:ascii="Times New Roman" w:hAnsi="Times New Roman"/>
          <w:b/>
          <w:sz w:val="20"/>
        </w:rPr>
      </w:pPr>
      <w:r>
        <w:rPr>
          <w:rFonts w:ascii="Times New Roman" w:hAnsi="Times New Roman"/>
          <w:b/>
          <w:sz w:val="20"/>
        </w:rPr>
        <w:t xml:space="preserve">The Board of Directors recommends that you vote FOR the election </w:t>
      </w:r>
    </w:p>
    <w:p>
      <w:pPr>
        <w:pStyle w:val="TextBody"/>
        <w:spacing w:before="0" w:after="0"/>
        <w:jc w:val="center"/>
        <w:rPr>
          <w:rFonts w:ascii="Times New Roman" w:hAnsi="Times New Roman"/>
          <w:b/>
          <w:sz w:val="20"/>
        </w:rPr>
      </w:pPr>
      <w:r>
        <w:rPr>
          <w:rFonts w:ascii="Times New Roman" w:hAnsi="Times New Roman"/>
          <w:b/>
          <w:sz w:val="20"/>
        </w:rPr>
        <w:t xml:space="preserve">of each of the nominees listed below. </w:t>
      </w:r>
    </w:p>
    <w:p>
      <w:pPr>
        <w:pStyle w:val="TextBody"/>
        <w:spacing w:before="240" w:after="0"/>
        <w:jc w:val="left"/>
        <w:rPr>
          <w:rFonts w:ascii="Times New Roman" w:hAnsi="Times New Roman"/>
          <w:b/>
          <w:sz w:val="20"/>
        </w:rPr>
      </w:pPr>
      <w:r>
        <w:rPr>
          <w:rFonts w:ascii="Times New Roman" w:hAnsi="Times New Roman"/>
          <w:b/>
          <w:sz w:val="20"/>
        </w:rPr>
        <w:t xml:space="preserve">Nominees for Director </w:t>
      </w:r>
    </w:p>
    <w:p>
      <w:pPr>
        <w:pStyle w:val="TextBody"/>
        <w:spacing w:before="120" w:after="0"/>
        <w:jc w:val="left"/>
        <w:rPr>
          <w:rFonts w:ascii="Times New Roman" w:hAnsi="Times New Roman"/>
          <w:sz w:val="20"/>
        </w:rPr>
      </w:pPr>
      <w:r>
        <w:rPr>
          <w:rFonts w:ascii="Times New Roman" w:hAnsi="Times New Roman"/>
          <w:sz w:val="20"/>
        </w:rPr>
        <w:t xml:space="preserve">The following table contains certain information about the nominees for director as of March 13, 2023, including their business experience, qualifications and other directorships. All of the directors’ present terms expire in 2023.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142"/>
        <w:gridCol w:w="120"/>
        <w:gridCol w:w="7932"/>
        <w:gridCol w:w="120"/>
        <w:gridCol w:w="891"/>
      </w:tblGrid>
      <w:tr>
        <w:trPr/>
        <w:tc>
          <w:tcPr>
            <w:tcW w:w="114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r>
      <w:tr>
        <w:trPr/>
        <w:tc>
          <w:tcPr>
            <w:tcW w:w="1142"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Age</w:t>
            </w:r>
          </w:p>
        </w:tc>
        <w:tc>
          <w:tcPr>
            <w:tcW w:w="120" w:type="dxa"/>
            <w:tcBorders/>
            <w:shd w:fill="auto" w:val="clear"/>
            <w:vAlign w:val="center"/>
          </w:tcPr>
          <w:p>
            <w:pPr>
              <w:pStyle w:val="TableContents"/>
              <w:spacing w:before="0" w:after="283"/>
              <w:rPr/>
            </w:pPr>
            <w:r>
              <w:rPr/>
              <w:t>  </w:t>
            </w:r>
          </w:p>
        </w:tc>
        <w:tc>
          <w:tcPr>
            <w:tcW w:w="7932"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Business Experience During Past Five Years,</w:t>
            </w:r>
          </w:p>
          <w:p>
            <w:pPr>
              <w:pStyle w:val="TableContents"/>
              <w:spacing w:before="0" w:after="20"/>
              <w:jc w:val="center"/>
              <w:rPr>
                <w:rFonts w:ascii="Times New Roman" w:hAnsi="Times New Roman"/>
                <w:b/>
                <w:sz w:val="16"/>
              </w:rPr>
            </w:pPr>
            <w:r>
              <w:rPr>
                <w:rFonts w:ascii="Times New Roman" w:hAnsi="Times New Roman"/>
                <w:b/>
                <w:sz w:val="16"/>
              </w:rPr>
              <w:t>Other Directorships and Qualifications</w:t>
            </w:r>
          </w:p>
        </w:tc>
        <w:tc>
          <w:tcPr>
            <w:tcW w:w="120" w:type="dxa"/>
            <w:tcBorders/>
            <w:shd w:fill="auto" w:val="clear"/>
            <w:vAlign w:val="center"/>
          </w:tcPr>
          <w:p>
            <w:pPr>
              <w:pStyle w:val="TableContents"/>
              <w:spacing w:before="0" w:after="283"/>
              <w:rPr/>
            </w:pPr>
            <w:r>
              <w:rPr/>
              <w:t>  </w:t>
            </w:r>
          </w:p>
        </w:tc>
        <w:tc>
          <w:tcPr>
            <w:tcW w:w="891" w:type="dxa"/>
            <w:tcBorders>
              <w:bottom w:val="single" w:sz="8" w:space="0" w:color="000000"/>
            </w:tcBorders>
            <w:shd w:fill="auto" w:val="clear"/>
            <w:tcMar>
              <w:bottom w:w="28" w:type="dxa"/>
            </w:tcMar>
            <w:vAlign w:val="center"/>
          </w:tcPr>
          <w:p>
            <w:pPr>
              <w:pStyle w:val="TableContents"/>
              <w:spacing w:before="0" w:after="283"/>
              <w:jc w:val="center"/>
              <w:rPr/>
            </w:pPr>
            <w:r>
              <w:rPr>
                <w:b/>
              </w:rPr>
              <w:t>Director</w:t>
            </w:r>
            <w:r>
              <w:rPr/>
              <w:br/>
            </w:r>
            <w:r>
              <w:rPr>
                <w:b/>
              </w:rPr>
              <w:t>Since</w:t>
            </w:r>
          </w:p>
        </w:tc>
      </w:tr>
      <w:tr>
        <w:trPr/>
        <w:tc>
          <w:tcPr>
            <w:tcW w:w="114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Kevin P. Reilly, Jr.</w:t>
            </w:r>
          </w:p>
          <w:p>
            <w:pPr>
              <w:pStyle w:val="TableContents"/>
              <w:spacing w:before="0" w:after="20"/>
              <w:rPr>
                <w:rFonts w:ascii="Times New Roman" w:hAnsi="Times New Roman"/>
                <w:sz w:val="20"/>
              </w:rPr>
            </w:pPr>
            <w:r>
              <w:rPr>
                <w:rFonts w:ascii="Times New Roman" w:hAnsi="Times New Roman"/>
                <w:sz w:val="20"/>
              </w:rPr>
              <w:t>Age: 68</w:t>
            </w:r>
          </w:p>
        </w:tc>
        <w:tc>
          <w:tcPr>
            <w:tcW w:w="120" w:type="dxa"/>
            <w:tcBorders/>
            <w:shd w:fill="auto" w:val="clear"/>
            <w:vAlign w:val="center"/>
          </w:tcPr>
          <w:p>
            <w:pPr>
              <w:pStyle w:val="TableContents"/>
              <w:spacing w:before="0" w:after="283"/>
              <w:rPr/>
            </w:pPr>
            <w:r>
              <w:rPr/>
              <w:t>  </w:t>
            </w:r>
          </w:p>
        </w:tc>
        <w:tc>
          <w:tcPr>
            <w:tcW w:w="793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Kevin P. Reilly, Jr. was appointed as Executive Chairman of the Board in February 2020 and has served as one of our directors since February 1984. He previously served as our President from February 1989 until February 2020. Mr. Reilly also served as our Chief Executive Officer from February 1989 until February 2011. Prior to becoming President and Chief Executive Officer, Mr. Reilly served as the President of our Outdoor Division from 1984 to 1989. Mr. Reilly, our employee since 1978, has also served as General Manager of our Baton Rouge Region and Vice President and General Manager of the Louisiana Region.</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Kevin P. Reilly, Jr., with over 35 years of experience at Lamar, has unparalleled knowledge of our business and operating history. He is also the executive manager of our controlling stockholder, the RFLLC. The RFLLC and members of the Reilly family are permitted holders of our Class B Common Stock, which was put in place in connection with our initial public offering in 1996 to provide for continuity of control over the Company and entitles its holders to ten votes per share. Board representation by members of the Reilly family, which has ties to the Lamar family dating back to 1958, also serves to preserve the principles upon which Lamar was founded.</w:t>
            </w:r>
          </w:p>
        </w:tc>
        <w:tc>
          <w:tcPr>
            <w:tcW w:w="120" w:type="dxa"/>
            <w:tcBorders/>
            <w:shd w:fill="auto" w:val="clear"/>
            <w:vAlign w:val="center"/>
          </w:tcPr>
          <w:p>
            <w:pPr>
              <w:pStyle w:val="TableContents"/>
              <w:spacing w:before="0" w:after="283"/>
              <w:rPr/>
            </w:pPr>
            <w:r>
              <w:rPr/>
              <w:t>  </w:t>
            </w:r>
          </w:p>
        </w:tc>
        <w:tc>
          <w:tcPr>
            <w:tcW w:w="891" w:type="dxa"/>
            <w:tcBorders/>
            <w:shd w:fill="auto" w:val="clear"/>
            <w:vAlign w:val="center"/>
          </w:tcPr>
          <w:p>
            <w:pPr>
              <w:pStyle w:val="TableContents"/>
              <w:spacing w:before="0" w:after="283"/>
              <w:jc w:val="center"/>
              <w:rPr/>
            </w:pPr>
            <w:r>
              <w:rPr/>
              <w:t>1984</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1100"/>
        <w:gridCol w:w="120"/>
        <w:gridCol w:w="7975"/>
        <w:gridCol w:w="120"/>
        <w:gridCol w:w="890"/>
      </w:tblGrid>
      <w:tr>
        <w:trPr/>
        <w:tc>
          <w:tcPr>
            <w:tcW w:w="11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r>
      <w:tr>
        <w:trPr/>
        <w:tc>
          <w:tcPr>
            <w:tcW w:w="110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Age</w:t>
            </w:r>
          </w:p>
        </w:tc>
        <w:tc>
          <w:tcPr>
            <w:tcW w:w="120" w:type="dxa"/>
            <w:tcBorders/>
            <w:shd w:fill="auto" w:val="clear"/>
            <w:vAlign w:val="center"/>
          </w:tcPr>
          <w:p>
            <w:pPr>
              <w:pStyle w:val="TableContents"/>
              <w:spacing w:before="0" w:after="283"/>
              <w:rPr/>
            </w:pPr>
            <w:r>
              <w:rPr/>
              <w:t>  </w:t>
            </w:r>
          </w:p>
        </w:tc>
        <w:tc>
          <w:tcPr>
            <w:tcW w:w="797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Business Experience During Past Five Years,</w:t>
            </w:r>
          </w:p>
          <w:p>
            <w:pPr>
              <w:pStyle w:val="TableContents"/>
              <w:spacing w:before="0" w:after="20"/>
              <w:jc w:val="center"/>
              <w:rPr>
                <w:rFonts w:ascii="Times New Roman" w:hAnsi="Times New Roman"/>
                <w:b/>
                <w:sz w:val="16"/>
              </w:rPr>
            </w:pPr>
            <w:r>
              <w:rPr>
                <w:rFonts w:ascii="Times New Roman" w:hAnsi="Times New Roman"/>
                <w:b/>
                <w:sz w:val="16"/>
              </w:rPr>
              <w:t>Other Directorships and Qualifications</w:t>
            </w:r>
          </w:p>
        </w:tc>
        <w:tc>
          <w:tcPr>
            <w:tcW w:w="120" w:type="dxa"/>
            <w:tcBorders/>
            <w:shd w:fill="auto" w:val="clear"/>
            <w:vAlign w:val="center"/>
          </w:tcPr>
          <w:p>
            <w:pPr>
              <w:pStyle w:val="TableContents"/>
              <w:spacing w:before="0" w:after="283"/>
              <w:rPr/>
            </w:pPr>
            <w:r>
              <w:rPr/>
              <w:t>  </w:t>
            </w:r>
          </w:p>
        </w:tc>
        <w:tc>
          <w:tcPr>
            <w:tcW w:w="890" w:type="dxa"/>
            <w:tcBorders>
              <w:bottom w:val="single" w:sz="8" w:space="0" w:color="000000"/>
            </w:tcBorders>
            <w:shd w:fill="auto" w:val="clear"/>
            <w:tcMar>
              <w:bottom w:w="28" w:type="dxa"/>
            </w:tcMar>
            <w:vAlign w:val="center"/>
          </w:tcPr>
          <w:p>
            <w:pPr>
              <w:pStyle w:val="TableContents"/>
              <w:spacing w:before="0" w:after="283"/>
              <w:jc w:val="center"/>
              <w:rPr/>
            </w:pPr>
            <w:r>
              <w:rPr>
                <w:b/>
              </w:rPr>
              <w:t>Director</w:t>
            </w:r>
            <w:r>
              <w:rPr/>
              <w:br/>
            </w:r>
            <w:r>
              <w:rPr>
                <w:b/>
              </w:rPr>
              <w:t>Since</w:t>
            </w:r>
          </w:p>
        </w:tc>
      </w:tr>
      <w:tr>
        <w:trPr/>
        <w:tc>
          <w:tcPr>
            <w:tcW w:w="110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Anna Reilly</w:t>
            </w:r>
          </w:p>
          <w:p>
            <w:pPr>
              <w:pStyle w:val="TableContents"/>
              <w:spacing w:before="0" w:after="20"/>
              <w:rPr>
                <w:rFonts w:ascii="Times New Roman" w:hAnsi="Times New Roman"/>
                <w:sz w:val="20"/>
              </w:rPr>
            </w:pPr>
            <w:r>
              <w:rPr>
                <w:rFonts w:ascii="Times New Roman" w:hAnsi="Times New Roman"/>
                <w:sz w:val="20"/>
              </w:rPr>
              <w:t>Age: 59</w:t>
            </w:r>
          </w:p>
        </w:tc>
        <w:tc>
          <w:tcPr>
            <w:tcW w:w="120" w:type="dxa"/>
            <w:tcBorders/>
            <w:shd w:fill="auto" w:val="clear"/>
            <w:vAlign w:val="center"/>
          </w:tcPr>
          <w:p>
            <w:pPr>
              <w:pStyle w:val="TableContents"/>
              <w:spacing w:before="0" w:after="283"/>
              <w:rPr/>
            </w:pPr>
            <w:r>
              <w:rPr/>
              <w:t>  </w:t>
            </w:r>
          </w:p>
        </w:tc>
        <w:tc>
          <w:tcPr>
            <w:tcW w:w="79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Anna Reilly chairs the Board of the Boston Thurmond Community Network, a Purpose Built Community and serves as a Director on National Board of Book Harvest along with the Advisory Board of Face to Face of Wake Forest University. Rotating off in 2020, she is the former Chair of the Board for Helen Simoneau Danse. From 2009 to 2014, she served on the Asset Development Committee of the Winston Salem Foundation. From 2005 to 2012, she served on the Board of Visitors for Duke University’s Sanford School of Public Policy, during which time she served as the chair of their Developmental Committee for three years. From 2007 to 2012, she served as a Director of the Bethesda Center for the Homeless. From 2001 to 2006, Ms. Reilly served on the Board of Directors of St. Joseph Capital Bank, a public company that is now Old National Bank. During that time, she also served as a trustee of the Stanley Clark School and as a Director of the Community Foundation of St. Joseph County. From 1995 until 2000, Ms. Reilly owned and operated Lula’s Café, a restaurant in South Bend, Indiana.</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Anna Reilly is a manager of our controlling stockholder, the RFLLC, and brings knowledge of our business and operations to the Board. The RFLLC and members of the Reilly family are permitted holders of our Class B Common Stock, which was put in place in connection with our initial public offering in 1996 to provide for continuity of control over the Company and entitles its holders to ten votes per share. In addition, Board representation by members of the Reilly family, which has ties to the Lamar family dating back to 1958, also serves to preserve the principles upon which Lamar was founded. Ms. Reilly’s background and continued commitment to civic service also provide us with a valuable perspective on local issues, which is important to us due to our focus on local advertising.</w:t>
            </w:r>
          </w:p>
        </w:tc>
        <w:tc>
          <w:tcPr>
            <w:tcW w:w="120" w:type="dxa"/>
            <w:tcBorders/>
            <w:shd w:fill="auto" w:val="clear"/>
            <w:vAlign w:val="center"/>
          </w:tcPr>
          <w:p>
            <w:pPr>
              <w:pStyle w:val="TableContents"/>
              <w:spacing w:before="0" w:after="283"/>
              <w:rPr/>
            </w:pPr>
            <w:r>
              <w:rPr/>
              <w:t>  </w:t>
            </w:r>
          </w:p>
        </w:tc>
        <w:tc>
          <w:tcPr>
            <w:tcW w:w="890" w:type="dxa"/>
            <w:tcBorders/>
            <w:shd w:fill="auto" w:val="clear"/>
            <w:vAlign w:val="center"/>
          </w:tcPr>
          <w:p>
            <w:pPr>
              <w:pStyle w:val="TableContents"/>
              <w:spacing w:before="0" w:after="283"/>
              <w:jc w:val="center"/>
              <w:rPr/>
            </w:pPr>
            <w:r>
              <w:rPr/>
              <w:t>2001</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1112"/>
        <w:gridCol w:w="120"/>
        <w:gridCol w:w="7962"/>
        <w:gridCol w:w="120"/>
        <w:gridCol w:w="891"/>
      </w:tblGrid>
      <w:tr>
        <w:trPr/>
        <w:tc>
          <w:tcPr>
            <w:tcW w:w="11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6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r>
      <w:tr>
        <w:trPr/>
        <w:tc>
          <w:tcPr>
            <w:tcW w:w="1112"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Age</w:t>
            </w:r>
          </w:p>
        </w:tc>
        <w:tc>
          <w:tcPr>
            <w:tcW w:w="120" w:type="dxa"/>
            <w:tcBorders/>
            <w:shd w:fill="auto" w:val="clear"/>
            <w:vAlign w:val="center"/>
          </w:tcPr>
          <w:p>
            <w:pPr>
              <w:pStyle w:val="TableContents"/>
              <w:spacing w:before="0" w:after="283"/>
              <w:rPr/>
            </w:pPr>
            <w:r>
              <w:rPr/>
              <w:t>  </w:t>
            </w:r>
          </w:p>
        </w:tc>
        <w:tc>
          <w:tcPr>
            <w:tcW w:w="7962"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Business Experience During Past Five Years,</w:t>
            </w:r>
          </w:p>
          <w:p>
            <w:pPr>
              <w:pStyle w:val="TableContents"/>
              <w:spacing w:before="0" w:after="20"/>
              <w:jc w:val="center"/>
              <w:rPr>
                <w:rFonts w:ascii="Times New Roman" w:hAnsi="Times New Roman"/>
                <w:b/>
                <w:sz w:val="16"/>
              </w:rPr>
            </w:pPr>
            <w:r>
              <w:rPr>
                <w:rFonts w:ascii="Times New Roman" w:hAnsi="Times New Roman"/>
                <w:b/>
                <w:sz w:val="16"/>
              </w:rPr>
              <w:t>Other Directorships and Qualifications</w:t>
            </w:r>
          </w:p>
        </w:tc>
        <w:tc>
          <w:tcPr>
            <w:tcW w:w="120" w:type="dxa"/>
            <w:tcBorders/>
            <w:shd w:fill="auto" w:val="clear"/>
            <w:vAlign w:val="center"/>
          </w:tcPr>
          <w:p>
            <w:pPr>
              <w:pStyle w:val="TableContents"/>
              <w:spacing w:before="0" w:after="283"/>
              <w:rPr/>
            </w:pPr>
            <w:r>
              <w:rPr/>
              <w:t>  </w:t>
            </w:r>
          </w:p>
        </w:tc>
        <w:tc>
          <w:tcPr>
            <w:tcW w:w="891" w:type="dxa"/>
            <w:tcBorders>
              <w:bottom w:val="single" w:sz="8" w:space="0" w:color="000000"/>
            </w:tcBorders>
            <w:shd w:fill="auto" w:val="clear"/>
            <w:tcMar>
              <w:bottom w:w="28" w:type="dxa"/>
            </w:tcMar>
            <w:vAlign w:val="center"/>
          </w:tcPr>
          <w:p>
            <w:pPr>
              <w:pStyle w:val="TableContents"/>
              <w:spacing w:before="0" w:after="283"/>
              <w:jc w:val="center"/>
              <w:rPr/>
            </w:pPr>
            <w:r>
              <w:rPr>
                <w:b/>
              </w:rPr>
              <w:t>Director</w:t>
            </w:r>
            <w:r>
              <w:rPr/>
              <w:br/>
            </w:r>
            <w:r>
              <w:rPr>
                <w:b/>
              </w:rPr>
              <w:t>Since</w:t>
            </w:r>
          </w:p>
        </w:tc>
      </w:tr>
      <w:tr>
        <w:trPr/>
        <w:tc>
          <w:tcPr>
            <w:tcW w:w="111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Wendell Reilly</w:t>
            </w:r>
          </w:p>
          <w:p>
            <w:pPr>
              <w:pStyle w:val="TableContents"/>
              <w:spacing w:before="0" w:after="20"/>
              <w:rPr>
                <w:rFonts w:ascii="Times New Roman" w:hAnsi="Times New Roman"/>
                <w:sz w:val="20"/>
              </w:rPr>
            </w:pPr>
            <w:r>
              <w:rPr>
                <w:rFonts w:ascii="Times New Roman" w:hAnsi="Times New Roman"/>
                <w:sz w:val="20"/>
              </w:rPr>
              <w:t>Age: 65</w:t>
            </w:r>
          </w:p>
        </w:tc>
        <w:tc>
          <w:tcPr>
            <w:tcW w:w="120" w:type="dxa"/>
            <w:tcBorders/>
            <w:shd w:fill="auto" w:val="clear"/>
            <w:vAlign w:val="center"/>
          </w:tcPr>
          <w:p>
            <w:pPr>
              <w:pStyle w:val="TableContents"/>
              <w:spacing w:before="0" w:after="283"/>
              <w:rPr/>
            </w:pPr>
            <w:r>
              <w:rPr/>
              <w:t>  </w:t>
            </w:r>
          </w:p>
        </w:tc>
        <w:tc>
          <w:tcPr>
            <w:tcW w:w="796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Wendell Reilly has been the Managing Partner of Grapevine Partners LLC since 2000, and in 2009, he joined Peachtree Equity Partners II as a General Partner. Mr. Reilly also served as Chairman of Berman Capital Advisors until its merger with Cresset Asset Management in 2021. He currently serves as Chair of the Compensation Committee, and is the former Lead Director, on the board of Brown and Brown, Inc. He also serves as a Trustee Emeritus of Emory University and Trustee of The Carter Center in Atlanta and Director of the International Center for Journalists. He previously served as the Company’s Chief Financial Officer from 1985 to 1989 and director from 1999 to 2001. Mr. Reilly also served as CFO of Haas Publishing Companies from 1989 to 1994, CEO of Grapevine Communications, a group of seven network-affiliated TV stations, from 1996 to 2000 and CEO of SignPost Networks from 2003 to 2011.</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Wendell Reilly, with over 30 years of private equity, entrepreneurial and executive management experience in media and communications, has extensive expertise in our industry from both inside and outside Lamar. He also brings valuable insight into the issues facing our management through his experience as a founder and principal in other media companies. Mr. Reilly is also a manager of our controlling stockholder, the RFLLC. The RFLLC and members of the Reilly family are permitted holders of our Class B Common Stock, which was put in place in connection with our initial public offering in 1996 to provide continuity of control over the Company and entitles its holders to ten votes per share. In addition, Board representation by members of the Reilly family, which has ties to the Lamar family dating back to 1958, also serves to preserve the principles upon which Lamar was founded.</w:t>
            </w:r>
          </w:p>
        </w:tc>
        <w:tc>
          <w:tcPr>
            <w:tcW w:w="120" w:type="dxa"/>
            <w:tcBorders/>
            <w:shd w:fill="auto" w:val="clear"/>
            <w:vAlign w:val="center"/>
          </w:tcPr>
          <w:p>
            <w:pPr>
              <w:pStyle w:val="TableContents"/>
              <w:spacing w:before="0" w:after="283"/>
              <w:rPr/>
            </w:pPr>
            <w:r>
              <w:rPr/>
              <w:t>  </w:t>
            </w:r>
          </w:p>
        </w:tc>
        <w:tc>
          <w:tcPr>
            <w:tcW w:w="891" w:type="dxa"/>
            <w:tcBorders/>
            <w:shd w:fill="auto" w:val="clear"/>
            <w:vAlign w:val="center"/>
          </w:tcPr>
          <w:p>
            <w:pPr>
              <w:pStyle w:val="TableContents"/>
              <w:spacing w:before="0" w:after="283"/>
              <w:jc w:val="center"/>
              <w:rPr/>
            </w:pPr>
            <w:r>
              <w:rPr/>
              <w:t>2005</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1162"/>
        <w:gridCol w:w="120"/>
        <w:gridCol w:w="7912"/>
        <w:gridCol w:w="120"/>
        <w:gridCol w:w="891"/>
      </w:tblGrid>
      <w:tr>
        <w:trPr/>
        <w:tc>
          <w:tcPr>
            <w:tcW w:w="116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1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r>
      <w:tr>
        <w:trPr/>
        <w:tc>
          <w:tcPr>
            <w:tcW w:w="1162"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Age</w:t>
            </w:r>
          </w:p>
        </w:tc>
        <w:tc>
          <w:tcPr>
            <w:tcW w:w="120" w:type="dxa"/>
            <w:tcBorders/>
            <w:shd w:fill="auto" w:val="clear"/>
            <w:vAlign w:val="center"/>
          </w:tcPr>
          <w:p>
            <w:pPr>
              <w:pStyle w:val="TableContents"/>
              <w:spacing w:before="0" w:after="283"/>
              <w:rPr/>
            </w:pPr>
            <w:r>
              <w:rPr/>
              <w:t>  </w:t>
            </w:r>
          </w:p>
        </w:tc>
        <w:tc>
          <w:tcPr>
            <w:tcW w:w="7912"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Business Experience During Past Five Years,</w:t>
            </w:r>
          </w:p>
          <w:p>
            <w:pPr>
              <w:pStyle w:val="TableContents"/>
              <w:spacing w:before="0" w:after="20"/>
              <w:jc w:val="center"/>
              <w:rPr>
                <w:rFonts w:ascii="Times New Roman" w:hAnsi="Times New Roman"/>
                <w:b/>
                <w:sz w:val="16"/>
              </w:rPr>
            </w:pPr>
            <w:r>
              <w:rPr>
                <w:rFonts w:ascii="Times New Roman" w:hAnsi="Times New Roman"/>
                <w:b/>
                <w:sz w:val="16"/>
              </w:rPr>
              <w:t>Other Directorships and Qualifications</w:t>
            </w:r>
          </w:p>
        </w:tc>
        <w:tc>
          <w:tcPr>
            <w:tcW w:w="120" w:type="dxa"/>
            <w:tcBorders/>
            <w:shd w:fill="auto" w:val="clear"/>
            <w:vAlign w:val="center"/>
          </w:tcPr>
          <w:p>
            <w:pPr>
              <w:pStyle w:val="TableContents"/>
              <w:spacing w:before="0" w:after="283"/>
              <w:rPr/>
            </w:pPr>
            <w:r>
              <w:rPr/>
              <w:t>  </w:t>
            </w:r>
          </w:p>
        </w:tc>
        <w:tc>
          <w:tcPr>
            <w:tcW w:w="891" w:type="dxa"/>
            <w:tcBorders>
              <w:bottom w:val="single" w:sz="8" w:space="0" w:color="000000"/>
            </w:tcBorders>
            <w:shd w:fill="auto" w:val="clear"/>
            <w:tcMar>
              <w:bottom w:w="28" w:type="dxa"/>
            </w:tcMar>
            <w:vAlign w:val="center"/>
          </w:tcPr>
          <w:p>
            <w:pPr>
              <w:pStyle w:val="TableContents"/>
              <w:spacing w:before="0" w:after="283"/>
              <w:jc w:val="center"/>
              <w:rPr/>
            </w:pPr>
            <w:r>
              <w:rPr>
                <w:b/>
              </w:rPr>
              <w:t>Director</w:t>
            </w:r>
            <w:r>
              <w:rPr/>
              <w:br/>
            </w:r>
            <w:r>
              <w:rPr>
                <w:b/>
              </w:rPr>
              <w:t>Since</w:t>
            </w:r>
          </w:p>
        </w:tc>
      </w:tr>
      <w:tr>
        <w:trPr/>
        <w:tc>
          <w:tcPr>
            <w:tcW w:w="116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Stephen P. Mumblow</w:t>
            </w:r>
          </w:p>
          <w:p>
            <w:pPr>
              <w:pStyle w:val="TableContents"/>
              <w:spacing w:before="0" w:after="20"/>
              <w:rPr>
                <w:rFonts w:ascii="Times New Roman" w:hAnsi="Times New Roman"/>
                <w:sz w:val="20"/>
              </w:rPr>
            </w:pPr>
            <w:r>
              <w:rPr>
                <w:rFonts w:ascii="Times New Roman" w:hAnsi="Times New Roman"/>
                <w:sz w:val="20"/>
              </w:rPr>
              <w:t>Age: 67</w:t>
            </w:r>
          </w:p>
        </w:tc>
        <w:tc>
          <w:tcPr>
            <w:tcW w:w="120" w:type="dxa"/>
            <w:tcBorders/>
            <w:shd w:fill="auto" w:val="clear"/>
            <w:vAlign w:val="center"/>
          </w:tcPr>
          <w:p>
            <w:pPr>
              <w:pStyle w:val="TableContents"/>
              <w:spacing w:before="0" w:after="283"/>
              <w:rPr/>
            </w:pPr>
            <w:r>
              <w:rPr/>
              <w:t>  </w:t>
            </w:r>
          </w:p>
        </w:tc>
        <w:tc>
          <w:tcPr>
            <w:tcW w:w="791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Stephen P. Mumblow is the President and Owner of Manhan Media, Inc., Deerfield Media, Inc. and the Deerfield Media group of companies, which own and operate television stations in ten mid-size U.S. television markets and engage in the production and distribution of sports related programming in the United States. Until January 2002, Mr. Mumblow was the President and a Director of Communications Corporation of America, a television and radio broadcasting company, having joined that company in 1998. Mr. Mumblow was a Managing Director of Chase Securities, Inc., an investment banking firm, from March 1988 to August 1998. Prior to that, he was a Vice President of Michigan Energy Resources Company, an intrastate natural gas utility company and cable television and broadcasting concern, and Citibank, N.A., a commercial bank.</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Mr. Mumblow brings to the Board experience in advertising and marketing trends based upon his ownership of Manhan Media and Deerfield Media. He also has extensive banking expertise, including with respect to the financing of a wide range of media enterprises and merger and acquisition activity within the media industry. He has also gained valuable expertise both operating and serving on the boards of businesses in the television, radio and newspaper industries, experience which provides him with insight into the Company’s competitive and strategic landscape. His financial acumen and experience, including qualification as an Audit Committee Financial Expert, provides our Board with valuable skills and a strong background in financial reporting and balance sheet management.</w:t>
            </w:r>
          </w:p>
        </w:tc>
        <w:tc>
          <w:tcPr>
            <w:tcW w:w="120" w:type="dxa"/>
            <w:tcBorders/>
            <w:shd w:fill="auto" w:val="clear"/>
            <w:vAlign w:val="center"/>
          </w:tcPr>
          <w:p>
            <w:pPr>
              <w:pStyle w:val="TableContents"/>
              <w:spacing w:before="0" w:after="283"/>
              <w:rPr/>
            </w:pPr>
            <w:r>
              <w:rPr/>
              <w:t>  </w:t>
            </w:r>
          </w:p>
        </w:tc>
        <w:tc>
          <w:tcPr>
            <w:tcW w:w="891" w:type="dxa"/>
            <w:tcBorders/>
            <w:shd w:fill="auto" w:val="clear"/>
            <w:vAlign w:val="center"/>
          </w:tcPr>
          <w:p>
            <w:pPr>
              <w:pStyle w:val="TableContents"/>
              <w:spacing w:before="0" w:after="283"/>
              <w:jc w:val="center"/>
              <w:rPr/>
            </w:pPr>
            <w:r>
              <w:rPr/>
              <w:t>1999</w:t>
            </w:r>
          </w:p>
        </w:tc>
      </w:tr>
      <w:tr>
        <w:trPr/>
        <w:tc>
          <w:tcPr>
            <w:tcW w:w="1162" w:type="dxa"/>
            <w:tcBorders/>
            <w:shd w:fill="auto" w:val="clear"/>
            <w:vAlign w:val="center"/>
          </w:tcPr>
          <w:p>
            <w:pPr>
              <w:pStyle w:val="TableContents"/>
              <w:spacing w:before="0" w:after="283"/>
              <w:rPr>
                <w:sz w:val="4"/>
                <w:szCs w:val="4"/>
              </w:rPr>
            </w:pPr>
            <w:r>
              <w:rPr>
                <w:sz w:val="4"/>
                <w:szCs w:val="4"/>
              </w:rPr>
            </w:r>
          </w:p>
        </w:tc>
        <w:tc>
          <w:tcPr>
            <w:tcW w:w="8032" w:type="dxa"/>
            <w:gridSpan w:val="2"/>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r>
      <w:tr>
        <w:trPr/>
        <w:tc>
          <w:tcPr>
            <w:tcW w:w="116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Thomas V. Reifenheiser</w:t>
            </w:r>
          </w:p>
          <w:p>
            <w:pPr>
              <w:pStyle w:val="TableContents"/>
              <w:spacing w:before="0" w:after="20"/>
              <w:rPr>
                <w:rFonts w:ascii="Times New Roman" w:hAnsi="Times New Roman"/>
                <w:sz w:val="20"/>
              </w:rPr>
            </w:pPr>
            <w:r>
              <w:rPr>
                <w:rFonts w:ascii="Times New Roman" w:hAnsi="Times New Roman"/>
                <w:sz w:val="20"/>
              </w:rPr>
              <w:t>Age: 87</w:t>
            </w:r>
          </w:p>
        </w:tc>
        <w:tc>
          <w:tcPr>
            <w:tcW w:w="120" w:type="dxa"/>
            <w:tcBorders/>
            <w:shd w:fill="auto" w:val="clear"/>
            <w:vAlign w:val="center"/>
          </w:tcPr>
          <w:p>
            <w:pPr>
              <w:pStyle w:val="TableContents"/>
              <w:spacing w:before="0" w:after="283"/>
              <w:rPr/>
            </w:pPr>
            <w:r>
              <w:rPr/>
              <w:t>  </w:t>
            </w:r>
          </w:p>
        </w:tc>
        <w:tc>
          <w:tcPr>
            <w:tcW w:w="791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Thomas V. Reifenheiser was a Managing Director and Group Executive for the Global Media and Telecom Group of Chase Securities Inc., an investment banking firm, from 1995 to 2000. He joined Chase in 1963 and was the Global Media and Telecom Group Executive since 1977. He has served as a director of Cablevision Systems Corporation, Mediacom Communications Corporation, F+W Publications Inc. and Citadel Broadcasting Corporation.</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Mr. Reifenheiser possesses expertise in the finance and banking sector with a specialization in the media industry. His extensive experience serving on corporate boards makes him an invaluable resource on matters of corporate governance, executive compensation, effective board oversight and strategic planning. Mr. Reifenheiser’s vast experience in the broadcasting and publishing industries provides strategic perspective and insight into our industry. His service on our Board also provides us with additional financial expertise.</w:t>
            </w:r>
          </w:p>
        </w:tc>
        <w:tc>
          <w:tcPr>
            <w:tcW w:w="120" w:type="dxa"/>
            <w:tcBorders/>
            <w:shd w:fill="auto" w:val="clear"/>
            <w:vAlign w:val="center"/>
          </w:tcPr>
          <w:p>
            <w:pPr>
              <w:pStyle w:val="TableContents"/>
              <w:spacing w:before="0" w:after="283"/>
              <w:rPr/>
            </w:pPr>
            <w:r>
              <w:rPr/>
              <w:t>  </w:t>
            </w:r>
          </w:p>
        </w:tc>
        <w:tc>
          <w:tcPr>
            <w:tcW w:w="891" w:type="dxa"/>
            <w:tcBorders/>
            <w:shd w:fill="auto" w:val="clear"/>
            <w:vAlign w:val="center"/>
          </w:tcPr>
          <w:p>
            <w:pPr>
              <w:pStyle w:val="TableContents"/>
              <w:spacing w:before="0" w:after="283"/>
              <w:jc w:val="center"/>
              <w:rPr/>
            </w:pPr>
            <w:r>
              <w:rPr/>
              <w:t>2000</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1146"/>
        <w:gridCol w:w="120"/>
        <w:gridCol w:w="7928"/>
        <w:gridCol w:w="120"/>
        <w:gridCol w:w="891"/>
      </w:tblGrid>
      <w:tr>
        <w:trPr/>
        <w:tc>
          <w:tcPr>
            <w:tcW w:w="114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2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r>
      <w:tr>
        <w:trPr/>
        <w:tc>
          <w:tcPr>
            <w:tcW w:w="1146"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Age</w:t>
            </w:r>
          </w:p>
        </w:tc>
        <w:tc>
          <w:tcPr>
            <w:tcW w:w="120" w:type="dxa"/>
            <w:tcBorders/>
            <w:shd w:fill="auto" w:val="clear"/>
            <w:vAlign w:val="center"/>
          </w:tcPr>
          <w:p>
            <w:pPr>
              <w:pStyle w:val="TableContents"/>
              <w:spacing w:before="0" w:after="283"/>
              <w:rPr/>
            </w:pPr>
            <w:r>
              <w:rPr/>
              <w:t>  </w:t>
            </w:r>
          </w:p>
        </w:tc>
        <w:tc>
          <w:tcPr>
            <w:tcW w:w="7928"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Business Experience During Past Five Years,</w:t>
            </w:r>
          </w:p>
          <w:p>
            <w:pPr>
              <w:pStyle w:val="TableContents"/>
              <w:spacing w:before="0" w:after="20"/>
              <w:jc w:val="center"/>
              <w:rPr>
                <w:rFonts w:ascii="Times New Roman" w:hAnsi="Times New Roman"/>
                <w:b/>
                <w:sz w:val="16"/>
              </w:rPr>
            </w:pPr>
            <w:r>
              <w:rPr>
                <w:rFonts w:ascii="Times New Roman" w:hAnsi="Times New Roman"/>
                <w:b/>
                <w:sz w:val="16"/>
              </w:rPr>
              <w:t>Other Directorships and Qualifications</w:t>
            </w:r>
          </w:p>
        </w:tc>
        <w:tc>
          <w:tcPr>
            <w:tcW w:w="120" w:type="dxa"/>
            <w:tcBorders/>
            <w:shd w:fill="auto" w:val="clear"/>
            <w:vAlign w:val="center"/>
          </w:tcPr>
          <w:p>
            <w:pPr>
              <w:pStyle w:val="TableContents"/>
              <w:spacing w:before="0" w:after="283"/>
              <w:rPr/>
            </w:pPr>
            <w:r>
              <w:rPr/>
              <w:t>  </w:t>
            </w:r>
          </w:p>
        </w:tc>
        <w:tc>
          <w:tcPr>
            <w:tcW w:w="891" w:type="dxa"/>
            <w:tcBorders>
              <w:bottom w:val="single" w:sz="8" w:space="0" w:color="000000"/>
            </w:tcBorders>
            <w:shd w:fill="auto" w:val="clear"/>
            <w:tcMar>
              <w:bottom w:w="28" w:type="dxa"/>
            </w:tcMar>
            <w:vAlign w:val="center"/>
          </w:tcPr>
          <w:p>
            <w:pPr>
              <w:pStyle w:val="TableContents"/>
              <w:spacing w:before="0" w:after="283"/>
              <w:jc w:val="center"/>
              <w:rPr/>
            </w:pPr>
            <w:r>
              <w:rPr>
                <w:b/>
              </w:rPr>
              <w:t>Director</w:t>
            </w:r>
            <w:r>
              <w:rPr/>
              <w:br/>
            </w:r>
            <w:r>
              <w:rPr>
                <w:b/>
              </w:rPr>
              <w:t>Since</w:t>
            </w:r>
          </w:p>
        </w:tc>
      </w:tr>
      <w:tr>
        <w:trPr/>
        <w:tc>
          <w:tcPr>
            <w:tcW w:w="114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John E. Koerner, III</w:t>
            </w:r>
          </w:p>
          <w:p>
            <w:pPr>
              <w:pStyle w:val="TableContents"/>
              <w:spacing w:before="0" w:after="20"/>
              <w:rPr>
                <w:rFonts w:ascii="Times New Roman" w:hAnsi="Times New Roman"/>
                <w:sz w:val="20"/>
              </w:rPr>
            </w:pPr>
            <w:r>
              <w:rPr>
                <w:rFonts w:ascii="Times New Roman" w:hAnsi="Times New Roman"/>
                <w:sz w:val="20"/>
              </w:rPr>
              <w:t>Age: 80</w:t>
            </w:r>
          </w:p>
        </w:tc>
        <w:tc>
          <w:tcPr>
            <w:tcW w:w="120" w:type="dxa"/>
            <w:tcBorders/>
            <w:shd w:fill="auto" w:val="clear"/>
            <w:vAlign w:val="center"/>
          </w:tcPr>
          <w:p>
            <w:pPr>
              <w:pStyle w:val="TableContents"/>
              <w:spacing w:before="0" w:after="283"/>
              <w:rPr/>
            </w:pPr>
            <w:r>
              <w:rPr/>
              <w:t>  </w:t>
            </w:r>
          </w:p>
        </w:tc>
        <w:tc>
          <w:tcPr>
            <w:tcW w:w="792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John E. Koerner, III has been the managing member of Koerner Capital, LLC, a private investment company, or the President of its predecessor, Koerner Capital Corporation, since 1995. From 1976 to 1995, Mr. Koerner was President and co-owner of Barq’s, Inc. and its subsidiary, The Delaware Punch Company. Mr. Koerner is a member of a number of civic boards including The Nature Conservancy of Louisiana and the World War II Museum. He served as Chairman of the New Orleans Regional Chamber of Commerce for 1995, was a past Co-Chairman of Metrovision, and was the 2002 - 2003 Chairman of the New Orleans Business Council. He serves on a number of business boards including Geocent, LLC. Mr. Koerner served on the board of Legg Mason, Inc. until July 2014 and IBERIABANK Corporation until 2020.</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Mr. Koerner has extensive experience in corporate finance, the management of capital intensive organizations, and capital markets. Through his service on other boards, Mr. Koerner also has experience with a broad range of corporate governance matters. Mr. Koerner’s background and civic board service also provide us with a valuable link to our community, which is important to us because of our focus on local advertising.</w:t>
            </w:r>
          </w:p>
        </w:tc>
        <w:tc>
          <w:tcPr>
            <w:tcW w:w="120" w:type="dxa"/>
            <w:tcBorders/>
            <w:shd w:fill="auto" w:val="clear"/>
            <w:vAlign w:val="center"/>
          </w:tcPr>
          <w:p>
            <w:pPr>
              <w:pStyle w:val="TableContents"/>
              <w:spacing w:before="0" w:after="283"/>
              <w:rPr/>
            </w:pPr>
            <w:r>
              <w:rPr/>
              <w:t>  </w:t>
            </w:r>
          </w:p>
        </w:tc>
        <w:tc>
          <w:tcPr>
            <w:tcW w:w="891" w:type="dxa"/>
            <w:tcBorders/>
            <w:shd w:fill="auto" w:val="clear"/>
            <w:vAlign w:val="center"/>
          </w:tcPr>
          <w:p>
            <w:pPr>
              <w:pStyle w:val="TableContents"/>
              <w:spacing w:before="0" w:after="283"/>
              <w:jc w:val="center"/>
              <w:rPr/>
            </w:pPr>
            <w:r>
              <w:rPr/>
              <w:t>2007</w:t>
            </w:r>
          </w:p>
        </w:tc>
      </w:tr>
      <w:tr>
        <w:trPr/>
        <w:tc>
          <w:tcPr>
            <w:tcW w:w="1146" w:type="dxa"/>
            <w:tcBorders/>
            <w:shd w:fill="auto" w:val="clear"/>
            <w:vAlign w:val="center"/>
          </w:tcPr>
          <w:p>
            <w:pPr>
              <w:pStyle w:val="TableContents"/>
              <w:spacing w:before="0" w:after="283"/>
              <w:rPr>
                <w:sz w:val="4"/>
                <w:szCs w:val="4"/>
              </w:rPr>
            </w:pPr>
            <w:r>
              <w:rPr>
                <w:sz w:val="4"/>
                <w:szCs w:val="4"/>
              </w:rPr>
            </w:r>
          </w:p>
        </w:tc>
        <w:tc>
          <w:tcPr>
            <w:tcW w:w="8048" w:type="dxa"/>
            <w:gridSpan w:val="2"/>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r>
      <w:tr>
        <w:trPr/>
        <w:tc>
          <w:tcPr>
            <w:tcW w:w="114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Marshall A. Loeb</w:t>
            </w:r>
          </w:p>
          <w:p>
            <w:pPr>
              <w:pStyle w:val="TableContents"/>
              <w:spacing w:before="0" w:after="20"/>
              <w:rPr>
                <w:rFonts w:ascii="Times New Roman" w:hAnsi="Times New Roman"/>
                <w:sz w:val="20"/>
              </w:rPr>
            </w:pPr>
            <w:r>
              <w:rPr>
                <w:rFonts w:ascii="Times New Roman" w:hAnsi="Times New Roman"/>
                <w:sz w:val="20"/>
              </w:rPr>
              <w:t>Age: 60</w:t>
            </w:r>
          </w:p>
        </w:tc>
        <w:tc>
          <w:tcPr>
            <w:tcW w:w="120" w:type="dxa"/>
            <w:tcBorders/>
            <w:shd w:fill="auto" w:val="clear"/>
            <w:vAlign w:val="center"/>
          </w:tcPr>
          <w:p>
            <w:pPr>
              <w:pStyle w:val="TableContents"/>
              <w:spacing w:before="0" w:after="283"/>
              <w:rPr/>
            </w:pPr>
            <w:r>
              <w:rPr/>
              <w:t>  </w:t>
            </w:r>
          </w:p>
        </w:tc>
        <w:tc>
          <w:tcPr>
            <w:tcW w:w="792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Marshall A. Loeb is the President, Chief Executive Officer and a director of EastGroup Properties, Inc., a self-administered equity real estate investment trust (REIT) focused on the development, acquisition and operation of industrial properties. He previously served as President and Chief Operating Officer of Glimcher Realty Trust from 2005 to 2015. From 2000 to 2005, he served as Chief Financial Officer of Parkway Properties, Inc.</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Mr. Loeb has more than 25 years of experience with publicly held REITs. He possesses extensive expertise in the real estate industry and in finance. His experience serving in a variety of executive roles at other REITs provides us with an invaluable strategic perspective.</w:t>
            </w:r>
          </w:p>
        </w:tc>
        <w:tc>
          <w:tcPr>
            <w:tcW w:w="120" w:type="dxa"/>
            <w:tcBorders/>
            <w:shd w:fill="auto" w:val="clear"/>
            <w:vAlign w:val="center"/>
          </w:tcPr>
          <w:p>
            <w:pPr>
              <w:pStyle w:val="TableContents"/>
              <w:spacing w:before="0" w:after="283"/>
              <w:rPr/>
            </w:pPr>
            <w:r>
              <w:rPr/>
              <w:t>  </w:t>
            </w:r>
          </w:p>
        </w:tc>
        <w:tc>
          <w:tcPr>
            <w:tcW w:w="891" w:type="dxa"/>
            <w:tcBorders/>
            <w:shd w:fill="auto" w:val="clear"/>
            <w:vAlign w:val="center"/>
          </w:tcPr>
          <w:p>
            <w:pPr>
              <w:pStyle w:val="TableContents"/>
              <w:spacing w:before="0" w:after="283"/>
              <w:jc w:val="center"/>
              <w:rPr/>
            </w:pPr>
            <w:r>
              <w:rPr/>
              <w:t>2018</w:t>
            </w:r>
          </w:p>
        </w:tc>
      </w:tr>
      <w:tr>
        <w:trPr/>
        <w:tc>
          <w:tcPr>
            <w:tcW w:w="1146" w:type="dxa"/>
            <w:tcBorders/>
            <w:shd w:fill="auto" w:val="clear"/>
            <w:vAlign w:val="center"/>
          </w:tcPr>
          <w:p>
            <w:pPr>
              <w:pStyle w:val="TableContents"/>
              <w:spacing w:before="0" w:after="283"/>
              <w:rPr>
                <w:sz w:val="4"/>
                <w:szCs w:val="4"/>
              </w:rPr>
            </w:pPr>
            <w:r>
              <w:rPr>
                <w:sz w:val="4"/>
                <w:szCs w:val="4"/>
              </w:rPr>
            </w:r>
          </w:p>
        </w:tc>
        <w:tc>
          <w:tcPr>
            <w:tcW w:w="8048" w:type="dxa"/>
            <w:gridSpan w:val="2"/>
            <w:tcBorders/>
            <w:shd w:fill="auto" w:val="clear"/>
            <w:vAlign w:val="center"/>
          </w:tcPr>
          <w:p>
            <w:pPr>
              <w:pStyle w:val="TableContents"/>
              <w:spacing w:before="0" w:after="283"/>
              <w:rPr>
                <w:sz w:val="4"/>
                <w:szCs w:val="4"/>
              </w:rPr>
            </w:pPr>
            <w:r>
              <w:rPr>
                <w:sz w:val="4"/>
                <w:szCs w:val="4"/>
              </w:rPr>
            </w:r>
          </w:p>
        </w:tc>
        <w:tc>
          <w:tcPr>
            <w:tcW w:w="1011" w:type="dxa"/>
            <w:gridSpan w:val="2"/>
            <w:tcBorders/>
            <w:shd w:fill="auto" w:val="clear"/>
            <w:vAlign w:val="center"/>
          </w:tcPr>
          <w:p>
            <w:pPr>
              <w:pStyle w:val="TableContents"/>
              <w:spacing w:before="0" w:after="283"/>
              <w:rPr>
                <w:sz w:val="4"/>
                <w:szCs w:val="4"/>
              </w:rPr>
            </w:pPr>
            <w:r>
              <w:rPr>
                <w:sz w:val="4"/>
                <w:szCs w:val="4"/>
              </w:rPr>
            </w:r>
          </w:p>
        </w:tc>
      </w:tr>
      <w:tr>
        <w:trPr/>
        <w:tc>
          <w:tcPr>
            <w:tcW w:w="114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Elizabeth Thompson</w:t>
            </w:r>
          </w:p>
          <w:p>
            <w:pPr>
              <w:pStyle w:val="TableContents"/>
              <w:spacing w:before="0" w:after="20"/>
              <w:rPr>
                <w:rFonts w:ascii="Times New Roman" w:hAnsi="Times New Roman"/>
                <w:sz w:val="20"/>
              </w:rPr>
            </w:pPr>
            <w:r>
              <w:rPr>
                <w:rFonts w:ascii="Times New Roman" w:hAnsi="Times New Roman"/>
                <w:sz w:val="20"/>
              </w:rPr>
              <w:t>Age: 59</w:t>
            </w:r>
          </w:p>
        </w:tc>
        <w:tc>
          <w:tcPr>
            <w:tcW w:w="120" w:type="dxa"/>
            <w:tcBorders/>
            <w:shd w:fill="auto" w:val="clear"/>
            <w:vAlign w:val="center"/>
          </w:tcPr>
          <w:p>
            <w:pPr>
              <w:pStyle w:val="TableContents"/>
              <w:spacing w:before="0" w:after="283"/>
              <w:rPr/>
            </w:pPr>
            <w:r>
              <w:rPr/>
              <w:t>  </w:t>
            </w:r>
          </w:p>
        </w:tc>
        <w:tc>
          <w:tcPr>
            <w:tcW w:w="792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Elizabeth Thompson is the co-founder and Office Director of Cleveland Avenue, LLC, an Investment Firm. Ms. Thompson also serves as President of the Cleveland Avenue Foundation for Education Group, a non-profit organization focused on providing financial and programmatic support to leaders in education and The Cleveland Avenue Foundation for Education, a family foundation. In addition, Ms. Thompson serves as a director of a number of non-profit organizations, including Chicago Public Media, Partnership for College Completion and Braven, and is a former Trustee of the University of Chicago.</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Ms. Thompson has extensive leadership experience and decades of experience as a director of non-profit organizations. Through her board service, Ms. Thompson has experience navigating a wide-array of organizational challenges, allowing her to serve as a critical resource. Ms. Thompson’s background and commitment to civic service provides us with a valuable perspective on local issues, which is important to us due to our focus on local advertising.</w:t>
            </w:r>
          </w:p>
        </w:tc>
        <w:tc>
          <w:tcPr>
            <w:tcW w:w="120" w:type="dxa"/>
            <w:tcBorders/>
            <w:shd w:fill="auto" w:val="clear"/>
            <w:vAlign w:val="center"/>
          </w:tcPr>
          <w:p>
            <w:pPr>
              <w:pStyle w:val="TableContents"/>
              <w:spacing w:before="0" w:after="283"/>
              <w:rPr/>
            </w:pPr>
            <w:r>
              <w:rPr/>
              <w:t>  </w:t>
            </w:r>
          </w:p>
        </w:tc>
        <w:tc>
          <w:tcPr>
            <w:tcW w:w="891" w:type="dxa"/>
            <w:tcBorders/>
            <w:shd w:fill="auto" w:val="clear"/>
            <w:vAlign w:val="center"/>
          </w:tcPr>
          <w:p>
            <w:pPr>
              <w:pStyle w:val="TableContents"/>
              <w:spacing w:before="0" w:after="283"/>
              <w:jc w:val="center"/>
              <w:rPr/>
            </w:pPr>
            <w:r>
              <w:rPr/>
              <w:t>2019</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1136"/>
        <w:gridCol w:w="120"/>
        <w:gridCol w:w="7938"/>
        <w:gridCol w:w="120"/>
        <w:gridCol w:w="891"/>
      </w:tblGrid>
      <w:tr>
        <w:trPr/>
        <w:tc>
          <w:tcPr>
            <w:tcW w:w="11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93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r>
      <w:tr>
        <w:trPr/>
        <w:tc>
          <w:tcPr>
            <w:tcW w:w="1136"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Age</w:t>
            </w:r>
          </w:p>
        </w:tc>
        <w:tc>
          <w:tcPr>
            <w:tcW w:w="120" w:type="dxa"/>
            <w:tcBorders/>
            <w:shd w:fill="auto" w:val="clear"/>
            <w:vAlign w:val="center"/>
          </w:tcPr>
          <w:p>
            <w:pPr>
              <w:pStyle w:val="TableContents"/>
              <w:spacing w:before="0" w:after="283"/>
              <w:rPr/>
            </w:pPr>
            <w:r>
              <w:rPr/>
              <w:t>  </w:t>
            </w:r>
          </w:p>
        </w:tc>
        <w:tc>
          <w:tcPr>
            <w:tcW w:w="7938"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Business Experience During Past Five Years,</w:t>
            </w:r>
          </w:p>
          <w:p>
            <w:pPr>
              <w:pStyle w:val="TableContents"/>
              <w:spacing w:before="0" w:after="20"/>
              <w:jc w:val="center"/>
              <w:rPr>
                <w:rFonts w:ascii="Times New Roman" w:hAnsi="Times New Roman"/>
                <w:b/>
                <w:sz w:val="16"/>
              </w:rPr>
            </w:pPr>
            <w:r>
              <w:rPr>
                <w:rFonts w:ascii="Times New Roman" w:hAnsi="Times New Roman"/>
                <w:b/>
                <w:sz w:val="16"/>
              </w:rPr>
              <w:t>Other Directorships and Qualifications</w:t>
            </w:r>
          </w:p>
        </w:tc>
        <w:tc>
          <w:tcPr>
            <w:tcW w:w="120" w:type="dxa"/>
            <w:tcBorders/>
            <w:shd w:fill="auto" w:val="clear"/>
            <w:vAlign w:val="center"/>
          </w:tcPr>
          <w:p>
            <w:pPr>
              <w:pStyle w:val="TableContents"/>
              <w:spacing w:before="0" w:after="283"/>
              <w:rPr/>
            </w:pPr>
            <w:r>
              <w:rPr/>
              <w:t>  </w:t>
            </w:r>
          </w:p>
        </w:tc>
        <w:tc>
          <w:tcPr>
            <w:tcW w:w="891" w:type="dxa"/>
            <w:tcBorders>
              <w:bottom w:val="single" w:sz="8" w:space="0" w:color="000000"/>
            </w:tcBorders>
            <w:shd w:fill="auto" w:val="clear"/>
            <w:tcMar>
              <w:bottom w:w="28" w:type="dxa"/>
            </w:tcMar>
            <w:vAlign w:val="center"/>
          </w:tcPr>
          <w:p>
            <w:pPr>
              <w:pStyle w:val="TableContents"/>
              <w:spacing w:before="0" w:after="283"/>
              <w:jc w:val="center"/>
              <w:rPr/>
            </w:pPr>
            <w:r>
              <w:rPr>
                <w:b/>
              </w:rPr>
              <w:t>Director</w:t>
            </w:r>
            <w:r>
              <w:rPr/>
              <w:br/>
            </w:r>
            <w:r>
              <w:rPr>
                <w:b/>
              </w:rPr>
              <w:t>Since</w:t>
            </w:r>
          </w:p>
        </w:tc>
      </w:tr>
      <w:tr>
        <w:trPr/>
        <w:tc>
          <w:tcPr>
            <w:tcW w:w="113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Nancy Fletcher</w:t>
            </w:r>
          </w:p>
          <w:p>
            <w:pPr>
              <w:pStyle w:val="TableContents"/>
              <w:spacing w:before="0" w:after="20"/>
              <w:rPr>
                <w:rFonts w:ascii="Times New Roman" w:hAnsi="Times New Roman"/>
                <w:sz w:val="20"/>
              </w:rPr>
            </w:pPr>
            <w:r>
              <w:rPr>
                <w:rFonts w:ascii="Times New Roman" w:hAnsi="Times New Roman"/>
                <w:sz w:val="20"/>
              </w:rPr>
              <w:t>Age: 68</w:t>
            </w:r>
          </w:p>
        </w:tc>
        <w:tc>
          <w:tcPr>
            <w:tcW w:w="120" w:type="dxa"/>
            <w:tcBorders/>
            <w:shd w:fill="auto" w:val="clear"/>
            <w:vAlign w:val="center"/>
          </w:tcPr>
          <w:p>
            <w:pPr>
              <w:pStyle w:val="TableContents"/>
              <w:spacing w:before="0" w:after="283"/>
              <w:rPr/>
            </w:pPr>
            <w:r>
              <w:rPr/>
              <w:t>  </w:t>
            </w:r>
          </w:p>
        </w:tc>
        <w:tc>
          <w:tcPr>
            <w:tcW w:w="7938"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Nancy Fletcher served as the President and Chief Executive Officer of the Outdoor Advertising Association of America, Inc., a trade association representing the out of home advertising industry in the United States, from 1991 until her retirement in 2019.</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Ms. Fletcher has extensive knowledge and experience in our industry. She has particular expertise in navigating various regulatory issues and challenges to our business. She also brings her extensive knowledge of industry best practices, allowing us to better understand and respond to trends in our industry.</w:t>
            </w:r>
          </w:p>
        </w:tc>
        <w:tc>
          <w:tcPr>
            <w:tcW w:w="120" w:type="dxa"/>
            <w:tcBorders/>
            <w:shd w:fill="auto" w:val="clear"/>
            <w:vAlign w:val="center"/>
          </w:tcPr>
          <w:p>
            <w:pPr>
              <w:pStyle w:val="TableContents"/>
              <w:spacing w:before="0" w:after="283"/>
              <w:rPr/>
            </w:pPr>
            <w:r>
              <w:rPr/>
              <w:t>  </w:t>
            </w:r>
          </w:p>
        </w:tc>
        <w:tc>
          <w:tcPr>
            <w:tcW w:w="891" w:type="dxa"/>
            <w:tcBorders/>
            <w:shd w:fill="auto" w:val="clear"/>
            <w:vAlign w:val="center"/>
          </w:tcPr>
          <w:p>
            <w:pPr>
              <w:pStyle w:val="TableContents"/>
              <w:spacing w:before="0" w:after="283"/>
              <w:jc w:val="center"/>
              <w:rPr/>
            </w:pPr>
            <w:r>
              <w:rPr/>
              <w:t>2020</w:t>
            </w:r>
          </w:p>
        </w:tc>
      </w:tr>
    </w:tbl>
    <w:p>
      <w:pPr>
        <w:pStyle w:val="TextBody"/>
        <w:spacing w:before="360" w:after="0"/>
        <w:jc w:val="left"/>
        <w:rPr>
          <w:rFonts w:ascii="Times New Roman" w:hAnsi="Times New Roman"/>
          <w:b/>
          <w:sz w:val="20"/>
        </w:rPr>
      </w:pPr>
      <w:r>
        <w:rPr>
          <w:rFonts w:ascii="Times New Roman" w:hAnsi="Times New Roman"/>
          <w:b/>
          <w:sz w:val="20"/>
        </w:rPr>
        <w:t xml:space="preserve">Board Diversity Matrix (as of March 13, 2023) </w:t>
      </w:r>
    </w:p>
    <w:p>
      <w:pPr>
        <w:pStyle w:val="TextBody"/>
        <w:spacing w:before="120" w:after="0"/>
        <w:jc w:val="left"/>
        <w:rPr>
          <w:rFonts w:ascii="Times New Roman" w:hAnsi="Times New Roman"/>
          <w:sz w:val="20"/>
        </w:rPr>
      </w:pPr>
      <w:r>
        <w:rPr>
          <w:rFonts w:ascii="Times New Roman" w:hAnsi="Times New Roman"/>
          <w:sz w:val="20"/>
        </w:rPr>
        <w:t xml:space="preserve">The table below highlights the current gender identity and demographic background of the members of the Board of Directors, in compliance with Nasdaq’s Listing Rule 5605. We have excluded categories that are not applicable to our Directors. </w:t>
      </w:r>
    </w:p>
    <w:p>
      <w:pPr>
        <w:pStyle w:val="TextBody"/>
        <w:spacing w:before="0" w:after="0"/>
        <w:jc w:val="left"/>
        <w:rPr/>
      </w:pPr>
      <w:r>
        <w:rPr/>
        <w:t> </w:t>
      </w:r>
    </w:p>
    <w:tbl>
      <w:tblPr>
        <w:tblW w:w="3750" w:type="dxa"/>
        <w:jc w:val="left"/>
        <w:tblInd w:w="0" w:type="dxa"/>
        <w:tblCellMar>
          <w:top w:w="0" w:type="dxa"/>
          <w:left w:w="0" w:type="dxa"/>
          <w:bottom w:w="0" w:type="dxa"/>
          <w:right w:w="0" w:type="dxa"/>
        </w:tblCellMar>
      </w:tblPr>
      <w:tblGrid>
        <w:gridCol w:w="2285"/>
        <w:gridCol w:w="120"/>
        <w:gridCol w:w="710"/>
        <w:gridCol w:w="120"/>
        <w:gridCol w:w="515"/>
      </w:tblGrid>
      <w:tr>
        <w:trPr/>
        <w:tc>
          <w:tcPr>
            <w:tcW w:w="22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r>
      <w:tr>
        <w:trPr/>
        <w:tc>
          <w:tcPr>
            <w:tcW w:w="2285"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Total Number of Directors</w:t>
            </w:r>
          </w:p>
        </w:tc>
        <w:tc>
          <w:tcPr>
            <w:tcW w:w="120" w:type="dxa"/>
            <w:tcBorders/>
            <w:shd w:fill="CCEEFF" w:val="clear"/>
            <w:vAlign w:val="center"/>
          </w:tcPr>
          <w:p>
            <w:pPr>
              <w:pStyle w:val="TableContents"/>
              <w:spacing w:before="0" w:after="283"/>
              <w:rPr/>
            </w:pPr>
            <w:r>
              <w:rPr/>
              <w:t>  </w:t>
            </w:r>
          </w:p>
        </w:tc>
        <w:tc>
          <w:tcPr>
            <w:tcW w:w="1345" w:type="dxa"/>
            <w:gridSpan w:val="3"/>
            <w:tcBorders/>
            <w:shd w:fill="CCEEFF" w:val="clear"/>
            <w:vAlign w:val="center"/>
          </w:tcPr>
          <w:p>
            <w:pPr>
              <w:pStyle w:val="TableContents"/>
              <w:spacing w:before="0" w:after="283"/>
              <w:jc w:val="center"/>
              <w:rPr/>
            </w:pPr>
            <w:r>
              <w:rPr/>
              <w:t>9</w:t>
            </w:r>
          </w:p>
        </w:tc>
      </w:tr>
      <w:tr>
        <w:trPr/>
        <w:tc>
          <w:tcPr>
            <w:tcW w:w="22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center"/>
              <w:rPr/>
            </w:pPr>
            <w:r>
              <w:rPr/>
              <w:t>Female</w:t>
            </w:r>
          </w:p>
        </w:tc>
        <w:tc>
          <w:tcPr>
            <w:tcW w:w="12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jc w:val="center"/>
              <w:rPr/>
            </w:pPr>
            <w:r>
              <w:rPr/>
              <w:t>Male</w:t>
            </w:r>
          </w:p>
        </w:tc>
      </w:tr>
      <w:tr>
        <w:trPr/>
        <w:tc>
          <w:tcPr>
            <w:tcW w:w="3750" w:type="dxa"/>
            <w:gridSpan w:val="5"/>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Part I: Gender Identity</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Directors</w:t>
            </w:r>
          </w:p>
        </w:tc>
        <w:tc>
          <w:tcPr>
            <w:tcW w:w="12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center"/>
              <w:rPr/>
            </w:pPr>
            <w:r>
              <w:rPr/>
              <w:t>3</w:t>
            </w:r>
          </w:p>
        </w:tc>
        <w:tc>
          <w:tcPr>
            <w:tcW w:w="12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jc w:val="center"/>
              <w:rPr/>
            </w:pPr>
            <w:r>
              <w:rPr/>
              <w:t>6</w:t>
            </w:r>
          </w:p>
        </w:tc>
      </w:tr>
      <w:tr>
        <w:trPr/>
        <w:tc>
          <w:tcPr>
            <w:tcW w:w="3750" w:type="dxa"/>
            <w:gridSpan w:val="5"/>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Part II: Demographic Background</w:t>
            </w:r>
          </w:p>
        </w:tc>
      </w:tr>
      <w:tr>
        <w:trPr/>
        <w:tc>
          <w:tcPr>
            <w:tcW w:w="228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African American or Black</w:t>
            </w:r>
          </w:p>
        </w:tc>
        <w:tc>
          <w:tcPr>
            <w:tcW w:w="12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center"/>
              <w:rPr/>
            </w:pPr>
            <w:r>
              <w:rPr/>
              <w:t>1</w:t>
            </w:r>
          </w:p>
        </w:tc>
        <w:tc>
          <w:tcPr>
            <w:tcW w:w="120" w:type="dxa"/>
            <w:tcBorders/>
            <w:shd w:fill="auto" w:val="clear"/>
            <w:vAlign w:val="center"/>
          </w:tcPr>
          <w:p>
            <w:pPr>
              <w:pStyle w:val="TableContents"/>
              <w:spacing w:before="0" w:after="283"/>
              <w:rPr/>
            </w:pPr>
            <w:r>
              <w:rPr/>
              <w:t>  </w:t>
            </w:r>
          </w:p>
        </w:tc>
        <w:tc>
          <w:tcPr>
            <w:tcW w:w="515" w:type="dxa"/>
            <w:tcBorders/>
            <w:shd w:fill="auto" w:val="clear"/>
            <w:vAlign w:val="center"/>
          </w:tcPr>
          <w:p>
            <w:pPr>
              <w:pStyle w:val="TableContents"/>
              <w:spacing w:before="0" w:after="283"/>
              <w:jc w:val="center"/>
              <w:rPr/>
            </w:pPr>
            <w:r>
              <w:rPr/>
              <w:t>0</w:t>
            </w:r>
          </w:p>
        </w:tc>
      </w:tr>
      <w:tr>
        <w:trPr/>
        <w:tc>
          <w:tcPr>
            <w:tcW w:w="228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White</w:t>
            </w:r>
          </w:p>
        </w:tc>
        <w:tc>
          <w:tcPr>
            <w:tcW w:w="120" w:type="dxa"/>
            <w:tcBorders/>
            <w:shd w:fill="CCEEFF" w:val="clear"/>
            <w:vAlign w:val="center"/>
          </w:tcPr>
          <w:p>
            <w:pPr>
              <w:pStyle w:val="TableContents"/>
              <w:spacing w:before="0" w:after="283"/>
              <w:rPr/>
            </w:pPr>
            <w:r>
              <w:rPr/>
              <w:t>  </w:t>
            </w:r>
          </w:p>
        </w:tc>
        <w:tc>
          <w:tcPr>
            <w:tcW w:w="710" w:type="dxa"/>
            <w:tcBorders/>
            <w:shd w:fill="CCEEFF" w:val="clear"/>
            <w:vAlign w:val="center"/>
          </w:tcPr>
          <w:p>
            <w:pPr>
              <w:pStyle w:val="TableContents"/>
              <w:spacing w:before="0" w:after="283"/>
              <w:jc w:val="center"/>
              <w:rPr/>
            </w:pPr>
            <w:r>
              <w:rPr/>
              <w:t>2</w:t>
            </w:r>
          </w:p>
        </w:tc>
        <w:tc>
          <w:tcPr>
            <w:tcW w:w="120" w:type="dxa"/>
            <w:tcBorders/>
            <w:shd w:fill="CCEEFF" w:val="clear"/>
            <w:vAlign w:val="center"/>
          </w:tcPr>
          <w:p>
            <w:pPr>
              <w:pStyle w:val="TableContents"/>
              <w:spacing w:before="0" w:after="283"/>
              <w:rPr/>
            </w:pPr>
            <w:r>
              <w:rPr/>
              <w:t>  </w:t>
            </w:r>
          </w:p>
        </w:tc>
        <w:tc>
          <w:tcPr>
            <w:tcW w:w="515" w:type="dxa"/>
            <w:tcBorders/>
            <w:shd w:fill="CCEEFF" w:val="clear"/>
            <w:vAlign w:val="center"/>
          </w:tcPr>
          <w:p>
            <w:pPr>
              <w:pStyle w:val="TableContents"/>
              <w:spacing w:before="0" w:after="283"/>
              <w:jc w:val="center"/>
              <w:rPr/>
            </w:pPr>
            <w:r>
              <w:rPr/>
              <w:t>6</w:t>
            </w:r>
          </w:p>
        </w:tc>
      </w:tr>
    </w:tbl>
    <w:p>
      <w:pPr>
        <w:pStyle w:val="TextBody"/>
        <w:spacing w:before="360" w:after="0"/>
        <w:jc w:val="left"/>
        <w:rPr>
          <w:rFonts w:ascii="Times New Roman" w:hAnsi="Times New Roman"/>
          <w:b/>
          <w:sz w:val="20"/>
        </w:rPr>
      </w:pPr>
      <w:r>
        <w:rPr>
          <w:rFonts w:ascii="Times New Roman" w:hAnsi="Times New Roman"/>
          <w:b/>
          <w:sz w:val="20"/>
        </w:rPr>
        <w:t xml:space="preserve">Family Relationships </w:t>
      </w:r>
    </w:p>
    <w:p>
      <w:pPr>
        <w:pStyle w:val="TextBody"/>
        <w:spacing w:before="120" w:after="0"/>
        <w:jc w:val="left"/>
        <w:rPr>
          <w:rFonts w:ascii="Times New Roman" w:hAnsi="Times New Roman"/>
          <w:sz w:val="20"/>
        </w:rPr>
      </w:pPr>
      <w:r>
        <w:rPr>
          <w:rFonts w:ascii="Times New Roman" w:hAnsi="Times New Roman"/>
          <w:sz w:val="20"/>
        </w:rPr>
        <w:t xml:space="preserve">Kevin P. Reilly, Jr., our Executive Chairman of the Board, Sean E. Reilly, our Chief Executive Officer and President, and our directors Anna Reilly and Wendell Reilly are siblings. Kevin P. Reilly, Jr., Anna Reilly and Wendell Reilly are also nominees for director at the Annual Meeting.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oc440239_6"/>
      <w:bookmarkEnd w:id="8"/>
      <w:r>
        <w:rPr>
          <w:rFonts w:ascii="Times New Roman" w:hAnsi="Times New Roman"/>
          <w:b/>
          <w:sz w:val="20"/>
        </w:rPr>
        <w:t xml:space="preserve">BOARD OF DIRECTORS AND COMMITTEES </w:t>
      </w:r>
    </w:p>
    <w:p>
      <w:pPr>
        <w:pStyle w:val="TextBody"/>
        <w:spacing w:before="240" w:after="0"/>
        <w:jc w:val="left"/>
        <w:rPr>
          <w:rFonts w:ascii="Times New Roman" w:hAnsi="Times New Roman"/>
          <w:sz w:val="20"/>
        </w:rPr>
      </w:pPr>
      <w:r>
        <w:rPr>
          <w:rFonts w:ascii="Times New Roman" w:hAnsi="Times New Roman"/>
          <w:sz w:val="20"/>
        </w:rPr>
        <w:t xml:space="preserve">During the year ended December 31, 2022, our Board of Directors held four meetings. Each of our directors attended at least 75% of the aggregate of the total number of meetings of our Board and the total number of meetings of our Board’s committee meetings for the committee(s) on which that director served. The Board has standing Audit, Compensation, and Nominating and Governance Committees. During the year ended December 31, 2022, the Audit Committee held five meetings, the Compensation Committee held seven meetings, and the Nominating and Governance Committee held two meetings. We encourage, but do not require, our Board members to attend the Annual Meeting of Stockholders. Last year, all of our directors attended the Annual Meeting of Stockholders. </w:t>
      </w:r>
    </w:p>
    <w:p>
      <w:pPr>
        <w:pStyle w:val="TextBody"/>
        <w:spacing w:before="240" w:after="0"/>
        <w:jc w:val="left"/>
        <w:rPr>
          <w:rFonts w:ascii="Times New Roman" w:hAnsi="Times New Roman"/>
          <w:sz w:val="20"/>
        </w:rPr>
      </w:pPr>
      <w:r>
        <w:rPr>
          <w:rFonts w:ascii="Times New Roman" w:hAnsi="Times New Roman"/>
          <w:b/>
          <w:i/>
          <w:sz w:val="20"/>
        </w:rPr>
        <w:t xml:space="preserve">Leadership Structure. </w:t>
      </w:r>
      <w:r>
        <w:rPr>
          <w:rFonts w:ascii="Times New Roman" w:hAnsi="Times New Roman"/>
          <w:sz w:val="20"/>
        </w:rPr>
        <w:t xml:space="preserve">Kevin P. Reilly, Jr. currently serves as our Executive Chairman of the Board, and Sean E. Reilly serves as our Chief Executive Officer and President. The Board does not have a policy regarding the separation of the roles of Executive Chairman of the Board and Chief Executive Officer, as the Board believes it is in our best interests to make this determination based on an assessment of the current condition of our Company and composition of the Board. The Board has determined that having a member of senior management serve as Executive Chairman of the Board and a separate member of senior management to serve as Chief Executive Officer is in the best interests of our stockholders at this time. This structure makes the best use of management’s extensive knowledge of the Company and our industry, as well as fostering greater communication between management and the Board. </w:t>
      </w:r>
    </w:p>
    <w:p>
      <w:pPr>
        <w:pStyle w:val="TextBody"/>
        <w:spacing w:before="240" w:after="0"/>
        <w:jc w:val="left"/>
        <w:rPr>
          <w:rFonts w:ascii="Times New Roman" w:hAnsi="Times New Roman"/>
          <w:sz w:val="20"/>
        </w:rPr>
      </w:pPr>
      <w:r>
        <w:rPr>
          <w:rFonts w:ascii="Times New Roman" w:hAnsi="Times New Roman"/>
          <w:b/>
          <w:i/>
          <w:sz w:val="20"/>
        </w:rPr>
        <w:t>Director Independence.</w:t>
      </w:r>
      <w:r>
        <w:rPr>
          <w:rFonts w:ascii="Times New Roman" w:hAnsi="Times New Roman"/>
          <w:sz w:val="20"/>
        </w:rPr>
        <w:t xml:space="preserve"> The Board has determined that Messrs. Koerner, Loeb, Mumblow and Reifenheiser and Mss. Thompson and Fletcher are “independent directors” as defined in the Nasdaq Stock Market listing standards, based on information known to the Company and on the annual questionnaire completed by each director. </w:t>
      </w:r>
    </w:p>
    <w:p>
      <w:pPr>
        <w:pStyle w:val="TextBody"/>
        <w:spacing w:before="240" w:after="0"/>
        <w:jc w:val="left"/>
        <w:rPr>
          <w:rFonts w:ascii="Times New Roman" w:hAnsi="Times New Roman"/>
          <w:sz w:val="20"/>
        </w:rPr>
      </w:pPr>
      <w:r>
        <w:rPr>
          <w:rFonts w:ascii="Times New Roman" w:hAnsi="Times New Roman"/>
          <w:b/>
          <w:i/>
          <w:sz w:val="20"/>
        </w:rPr>
        <w:t xml:space="preserve">Meetings in Executive Session. </w:t>
      </w:r>
      <w:r>
        <w:rPr>
          <w:rFonts w:ascii="Times New Roman" w:hAnsi="Times New Roman"/>
          <w:sz w:val="20"/>
        </w:rPr>
        <w:t xml:space="preserve">Our independent directors have regularly scheduled meetings at which only independent directors are present. During 2022, the independent directors met in executive session on two occasions. </w:t>
      </w:r>
    </w:p>
    <w:p>
      <w:pPr>
        <w:pStyle w:val="TextBody"/>
        <w:spacing w:before="240" w:after="0"/>
        <w:jc w:val="left"/>
        <w:rPr>
          <w:rFonts w:ascii="Times New Roman" w:hAnsi="Times New Roman"/>
          <w:sz w:val="20"/>
        </w:rPr>
      </w:pPr>
      <w:r>
        <w:rPr>
          <w:rFonts w:ascii="Times New Roman" w:hAnsi="Times New Roman"/>
          <w:b/>
          <w:i/>
          <w:sz w:val="20"/>
        </w:rPr>
        <w:t>Risk Oversight</w:t>
      </w:r>
      <w:r>
        <w:rPr>
          <w:rFonts w:ascii="Times New Roman" w:hAnsi="Times New Roman"/>
          <w:sz w:val="20"/>
        </w:rPr>
        <w:t xml:space="preserve">. As part of its charter, the Board is responsible for monitoring the risks that affect the Company, including operational, legal, regulatory, strategic and reputational risks. As part of routine Board meetings, management presents the Board with updates regarding key facets of the Company’s operations. The Board is responsible for assessing risks based on their working knowledge of the Company and the risks inherent in its business. As discussed below, the Audit Committee is responsible for monitoring the Company’s financial risk. </w:t>
      </w:r>
    </w:p>
    <w:p>
      <w:pPr>
        <w:pStyle w:val="TextBody"/>
        <w:spacing w:before="240" w:after="0"/>
        <w:jc w:val="left"/>
        <w:rPr>
          <w:rFonts w:ascii="Times New Roman" w:hAnsi="Times New Roman"/>
          <w:sz w:val="20"/>
        </w:rPr>
      </w:pPr>
      <w:r>
        <w:rPr>
          <w:rFonts w:ascii="Times New Roman" w:hAnsi="Times New Roman"/>
          <w:b/>
          <w:i/>
          <w:sz w:val="20"/>
        </w:rPr>
        <w:t>Audit Committee</w:t>
      </w:r>
      <w:r>
        <w:rPr>
          <w:rFonts w:ascii="Times New Roman" w:hAnsi="Times New Roman"/>
          <w:sz w:val="20"/>
        </w:rPr>
        <w:t xml:space="preserve">. The Audit Committee currently consists of Stephen P. Mumblow (Chair), Thomas V. Reifenheiser, Marshall Loeb and John E. Koerner, III. Our Board of Directors has determined that each member of the Audit Committee satisfies the independence and financial literacy requirements as defined by applicable Nasdaq Stock Market listing standards governing the qualifications of Audit Committee members. Stephen P. Mumblow qualifies as an “audit committee financial expert” under the rules of the SEC and satisfies the financial sophistication requirements under applicable Nasdaq Stock Market listing qualifications. The Audit Committee assists our Board of Directors in fulfilling its responsibility for general oversight over the integrity of our financial statements, including compliance with legal and regulatory requirements, the independent registered public accounting firm’s qualifications and independence, and the performance of our internal audit function. The Audit Committee is also responsible for the appointment (and when appropriate, replacement) and oversight of our independent registered public accounting firm and our internal auditor. The Audit Committee operates under a written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charter adopted by the Board of Directors. The Board has delegated to the Audit Committee the responsibility of monitoring the Company’s financial risks. Any material financial risks identified by the Audit Committee are reported to the full Board. </w:t>
      </w:r>
    </w:p>
    <w:p>
      <w:pPr>
        <w:pStyle w:val="TextBody"/>
        <w:spacing w:before="240" w:after="0"/>
        <w:jc w:val="left"/>
        <w:rPr>
          <w:rFonts w:ascii="Times New Roman" w:hAnsi="Times New Roman"/>
          <w:sz w:val="20"/>
        </w:rPr>
      </w:pPr>
      <w:r>
        <w:rPr>
          <w:rFonts w:ascii="Times New Roman" w:hAnsi="Times New Roman"/>
          <w:b/>
          <w:i/>
          <w:sz w:val="20"/>
        </w:rPr>
        <w:t xml:space="preserve">Compensation Committee. </w:t>
      </w:r>
      <w:r>
        <w:rPr>
          <w:rFonts w:ascii="Times New Roman" w:hAnsi="Times New Roman"/>
          <w:sz w:val="20"/>
        </w:rPr>
        <w:t xml:space="preserve">The Compensation Committee currently consists of Thomas V. Reifenheiser (Chair), John E. Koerner, III, Stephen P. Mumblow and Nancy Fletcher, all of whom our Board has determined are independent directors under the listing standards of the Nasdaq Stock Market governing the independence of directors. The Compensation Committee’s responsibilities include evaluating the performance of the Chief Executive Officer and our other executive officers and reviewing and determining such officers’ cash and equity-based compensation and benefits. The Compensation Committee operates under a written charter adopted by the Board of Directors. For additional information regarding the Compensation Committee’s role in setting compensation, delegation of their authority and our use of compensation consultants, please see the Compensation Discussion and Analysis section of this proxy statement, which begins on page 19. </w:t>
      </w:r>
    </w:p>
    <w:p>
      <w:pPr>
        <w:pStyle w:val="TextBody"/>
        <w:spacing w:before="240" w:after="0"/>
        <w:jc w:val="left"/>
        <w:rPr>
          <w:rFonts w:ascii="Times New Roman" w:hAnsi="Times New Roman"/>
          <w:sz w:val="20"/>
        </w:rPr>
      </w:pPr>
      <w:r>
        <w:rPr>
          <w:rFonts w:ascii="Times New Roman" w:hAnsi="Times New Roman"/>
          <w:b/>
          <w:i/>
          <w:sz w:val="20"/>
        </w:rPr>
        <w:t xml:space="preserve">Nominating and Governance Committee. </w:t>
      </w:r>
      <w:r>
        <w:rPr>
          <w:rFonts w:ascii="Times New Roman" w:hAnsi="Times New Roman"/>
          <w:sz w:val="20"/>
        </w:rPr>
        <w:t xml:space="preserve">The Nominating and Governance Committee currently consists of John E. Koerner, III (Chair), Thomas V. Reifenheiser, Stephen P. Mumblow and Elizabeth Thompson, all of whom our Board has determined are independent directors under the listing standards of the Nasdaq Stock Market governing the independence of directors. The Nominating and Governance Committee’s responsibilities include identifying individuals qualified to become Board members and recommending to the Board the director nominees for the next Annual Meeting of Stockholders, as well as candidates to fill vacancies on the Board. Additionally, the Nominating and Governance Committee recommends to the Board the directors to be appointed to Board committees. The Nominating and Governance Committee also developed and recommended to the Board a set of corporate governance guidelines and oversees the effectiveness of our corporate governance in accordance with those guidelines. The Nominating and Governance Committee operates under a written charter adopted by the Board of Directors. </w:t>
      </w:r>
    </w:p>
    <w:p>
      <w:pPr>
        <w:pStyle w:val="TextBody"/>
        <w:spacing w:before="240" w:after="0"/>
        <w:jc w:val="left"/>
        <w:rPr>
          <w:rFonts w:ascii="Times New Roman" w:hAnsi="Times New Roman"/>
          <w:sz w:val="20"/>
        </w:rPr>
      </w:pPr>
      <w:r>
        <w:rPr>
          <w:rFonts w:ascii="Times New Roman" w:hAnsi="Times New Roman"/>
          <w:sz w:val="20"/>
        </w:rPr>
        <w:t xml:space="preserve">To assist in identifying director candidates in the future, the Nominating and Governance Committee may engage the services of third party firms. The Nominating and Governance Committee also considers director candidates suggested by members of the Nominating and Governance Committee, other directors, management and stockholders. The process followed by the Nominating and Governance Committee to evaluate director candidates, includes evaluating biographical information and background materials relating to potential candidates and interviewing (with Board members) selected candidates. </w:t>
      </w:r>
    </w:p>
    <w:p>
      <w:pPr>
        <w:pStyle w:val="TextBody"/>
        <w:spacing w:before="240" w:after="0"/>
        <w:jc w:val="left"/>
        <w:rPr>
          <w:rFonts w:ascii="Times New Roman" w:hAnsi="Times New Roman"/>
          <w:sz w:val="20"/>
        </w:rPr>
      </w:pPr>
      <w:r>
        <w:rPr>
          <w:rFonts w:ascii="Times New Roman" w:hAnsi="Times New Roman"/>
          <w:sz w:val="20"/>
        </w:rPr>
        <w:t xml:space="preserve">In considering whether to recommend any candidate for inclusion in the Board’s slate of director nominees, the Nominating and Governance Committee will evaluate the candidate against the standards and qualifications set out in the Company’s Corporate Governance Guidelines, including, among others: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extent to which the candidate’s skills, experience, and perspective adds to the range of talent appropriate for the Board and whether such attributes are relevant to our industry; </w:t>
            </w:r>
          </w:p>
        </w:tc>
      </w:tr>
    </w:tbl>
    <w:p>
      <w:pPr>
        <w:pStyle w:val="TextBody"/>
        <w:spacing w:before="0" w:after="0"/>
        <w:jc w:val="left"/>
        <w:rPr/>
      </w:pPr>
      <w:r>
        <w:rPr/>
        <w:t> </w:t>
      </w:r>
    </w:p>
    <w:tbl>
      <w:tblPr>
        <w:tblW w:w="9400" w:type="dxa"/>
        <w:jc w:val="left"/>
        <w:tblInd w:w="0" w:type="dxa"/>
        <w:tblCellMar>
          <w:top w:w="0" w:type="dxa"/>
          <w:left w:w="0" w:type="dxa"/>
          <w:bottom w:w="0" w:type="dxa"/>
          <w:right w:w="0" w:type="dxa"/>
        </w:tblCellMar>
      </w:tblPr>
      <w:tblGrid>
        <w:gridCol w:w="75"/>
        <w:gridCol w:w="110"/>
        <w:gridCol w:w="60"/>
        <w:gridCol w:w="9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5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candidate’s ability to dedicate the time and resources sufficient for the diligent performance of Board duties; </w:t>
            </w:r>
          </w:p>
        </w:tc>
      </w:tr>
    </w:tbl>
    <w:p>
      <w:pPr>
        <w:pStyle w:val="TextBody"/>
        <w:spacing w:before="0" w:after="0"/>
        <w:jc w:val="left"/>
        <w:rPr/>
      </w:pPr>
      <w:r>
        <w:rPr/>
        <w:t> </w:t>
      </w:r>
    </w:p>
    <w:tbl>
      <w:tblPr>
        <w:tblW w:w="10180" w:type="dxa"/>
        <w:jc w:val="left"/>
        <w:tblInd w:w="0" w:type="dxa"/>
        <w:tblCellMar>
          <w:top w:w="0" w:type="dxa"/>
          <w:left w:w="0" w:type="dxa"/>
          <w:bottom w:w="0" w:type="dxa"/>
          <w:right w:w="0" w:type="dxa"/>
        </w:tblCellMar>
      </w:tblPr>
      <w:tblGrid>
        <w:gridCol w:w="75"/>
        <w:gridCol w:w="110"/>
        <w:gridCol w:w="60"/>
        <w:gridCol w:w="99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whether the candidate meets the independence requirements under applicable Nasdaq Stock Market listing standards; and </w:t>
            </w:r>
          </w:p>
        </w:tc>
      </w:tr>
    </w:tbl>
    <w:p>
      <w:pPr>
        <w:pStyle w:val="TextBody"/>
        <w:spacing w:before="0" w:after="0"/>
        <w:jc w:val="left"/>
        <w:rPr/>
      </w:pPr>
      <w:r>
        <w:rPr/>
        <w:t> </w:t>
      </w:r>
    </w:p>
    <w:tbl>
      <w:tblPr>
        <w:tblW w:w="9265" w:type="dxa"/>
        <w:jc w:val="left"/>
        <w:tblInd w:w="0" w:type="dxa"/>
        <w:tblCellMar>
          <w:top w:w="0" w:type="dxa"/>
          <w:left w:w="0" w:type="dxa"/>
          <w:bottom w:w="0" w:type="dxa"/>
          <w:right w:w="0" w:type="dxa"/>
        </w:tblCellMar>
      </w:tblPr>
      <w:tblGrid>
        <w:gridCol w:w="75"/>
        <w:gridCol w:w="110"/>
        <w:gridCol w:w="60"/>
        <w:gridCol w:w="9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02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extent to which the candidate holds any position that would conflict with responsibilities to the Company.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Nominating and Governance Committee believes that the backgrounds and qualifications of the directors, considered as a group, should provide a significant composite mix of experience, knowledge, and abilities that will allow the Board to fulfill its responsibilities. </w:t>
      </w:r>
    </w:p>
    <w:p>
      <w:pPr>
        <w:pStyle w:val="TextBody"/>
        <w:spacing w:before="240" w:after="0"/>
        <w:jc w:val="left"/>
        <w:rPr>
          <w:rFonts w:ascii="Times New Roman" w:hAnsi="Times New Roman"/>
          <w:sz w:val="20"/>
        </w:rPr>
      </w:pPr>
      <w:r>
        <w:rPr>
          <w:rFonts w:ascii="Times New Roman" w:hAnsi="Times New Roman"/>
          <w:sz w:val="20"/>
        </w:rPr>
        <w:t xml:space="preserve">The Nominating and Governance Committee and the Board do not have a formal diversity policy. In identifying nominees for director, however, consideration is given to the diversity of professional experience, education and backgrounds among the directors so that a variety of points of view are represented in Board discussions and deliberations concerning our business. </w:t>
      </w:r>
    </w:p>
    <w:p>
      <w:pPr>
        <w:pStyle w:val="TextBody"/>
        <w:spacing w:before="240" w:after="0"/>
        <w:jc w:val="left"/>
        <w:rPr>
          <w:rFonts w:ascii="Times New Roman" w:hAnsi="Times New Roman"/>
          <w:sz w:val="20"/>
        </w:rPr>
      </w:pPr>
      <w:r>
        <w:rPr>
          <w:rFonts w:ascii="Times New Roman" w:hAnsi="Times New Roman"/>
          <w:sz w:val="20"/>
        </w:rPr>
        <w:t xml:space="preserve">Stockholders may recommend candidates for the Nominating and Governance Committee to consider as potential director nominees by submitting names, biographical information, and background materials to the Nominating and Governance Committee, c/o General Counsel, Lamar Advertising Company, 5321 Corporate Boulevard, Baton Rouge, Louisiana 70808. The Nominating and Governance Committee will consider a recommendation only if appropriate biographical information and background material is provided on a timely basis as further described in the Nominating and Governance Committee’s charter. See “Board of Directors and Committees—Committee Charters” below. Assuming that appropriate biographical and background material is provided for candidates recommended by stockholders, the Nominating and Governance Committee will evaluate those candidates by following substantially the same process, and applying substantially the same criteria used for candidates submitted by Board members. The Nominating and Governance Committee will also consider whether to nominate any person nominated by a stockholder in accordance with the provisions of the Company’s bylaws relating to stockholder nominations as described in “Deadline for Stockholder Proposals and Director Nominations” below. To date, no stockholder has recommended a candidate for director nominee to the Nominating and Governance Committee or to the Board of Directors. </w:t>
      </w:r>
    </w:p>
    <w:p>
      <w:pPr>
        <w:pStyle w:val="TextBody"/>
        <w:spacing w:before="240" w:after="0"/>
        <w:jc w:val="left"/>
        <w:rPr>
          <w:rFonts w:ascii="Times New Roman" w:hAnsi="Times New Roman"/>
          <w:sz w:val="20"/>
        </w:rPr>
      </w:pPr>
      <w:r>
        <w:rPr>
          <w:rFonts w:ascii="Times New Roman" w:hAnsi="Times New Roman"/>
          <w:b/>
          <w:i/>
          <w:sz w:val="20"/>
        </w:rPr>
        <w:t xml:space="preserve">Committee Charters. </w:t>
      </w:r>
      <w:r>
        <w:rPr>
          <w:rFonts w:ascii="Times New Roman" w:hAnsi="Times New Roman"/>
          <w:sz w:val="20"/>
        </w:rPr>
        <w:t xml:space="preserve">You may view copies of the charters of the Audit Committee, the Compensation Committee, and the Nominating and Governance Committee, as currently in effect, on the corporate governance section of our website, www.lamar.com.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bookmarkStart w:id="9" w:name="toc440239_7"/>
      <w:bookmarkEnd w:id="9"/>
      <w:r>
        <w:rPr>
          <w:rFonts w:ascii="Times New Roman" w:hAnsi="Times New Roman"/>
          <w:b/>
          <w:sz w:val="20"/>
        </w:rPr>
        <w:t xml:space="preserve">CERTAIN RELATIONSHIPS AND RELATED TRANSACTIONS </w:t>
      </w:r>
    </w:p>
    <w:p>
      <w:pPr>
        <w:pStyle w:val="TextBody"/>
        <w:spacing w:before="240" w:after="0"/>
        <w:jc w:val="left"/>
        <w:rPr>
          <w:rFonts w:ascii="Times New Roman" w:hAnsi="Times New Roman"/>
          <w:b/>
          <w:sz w:val="20"/>
        </w:rPr>
      </w:pPr>
      <w:r>
        <w:rPr>
          <w:rFonts w:ascii="Times New Roman" w:hAnsi="Times New Roman"/>
          <w:b/>
          <w:sz w:val="20"/>
        </w:rPr>
        <w:t xml:space="preserve">Related Person Transactions </w:t>
      </w:r>
    </w:p>
    <w:p>
      <w:pPr>
        <w:pStyle w:val="TextBody"/>
        <w:spacing w:before="120" w:after="0"/>
        <w:jc w:val="left"/>
        <w:rPr>
          <w:rFonts w:ascii="Times New Roman" w:hAnsi="Times New Roman"/>
          <w:sz w:val="20"/>
        </w:rPr>
      </w:pPr>
      <w:r>
        <w:rPr>
          <w:rFonts w:ascii="Times New Roman" w:hAnsi="Times New Roman"/>
          <w:sz w:val="20"/>
        </w:rPr>
        <w:t xml:space="preserve">REV Broadband (“REV”), a telecommunications company, is 100% owned by entities owned by members of the Reilly family. Entities owned by Sean E. Reilly, Kevin P. Reilly, Jr., and members of their respective immediate families hold a majority stake in REV of approximately 89%. The RFLLC, which is owned by Sean E. Reilly, Kevin P. Reilly, Jr., Anna Reilly and Wendell Reilly, and entities owned by each of them and members of their respective immediate families, holds the remaining minority stake in REV of approximately 11%. EATELCORP, LLC (“EATEL”), a wholly-owned subsidiary of REV, provides phone and internet services to consumers and businesses in Louisiana. EATEL also provides data back-up and recovery services to businesses. During the year ended December 31, 2022, the Company was a customer of EATEL for data back-up and recovery services. The aggregate amount paid by the Company to EATEL for such services since January 1, 2022 was approximately $255,000. Since January 1, 2022, the Company has been contracted by EATEL to provide advertising services in the aggregate amount of approximately $180,000. </w:t>
      </w:r>
    </w:p>
    <w:p>
      <w:pPr>
        <w:pStyle w:val="TextBody"/>
        <w:spacing w:before="240" w:after="0"/>
        <w:jc w:val="left"/>
        <w:rPr>
          <w:rFonts w:ascii="Times New Roman" w:hAnsi="Times New Roman"/>
          <w:sz w:val="20"/>
        </w:rPr>
      </w:pPr>
      <w:r>
        <w:rPr>
          <w:rFonts w:ascii="Times New Roman" w:hAnsi="Times New Roman"/>
          <w:sz w:val="20"/>
        </w:rPr>
        <w:t xml:space="preserve">Ross L. Reilly is the son of Kevin P. Reilly, Jr., our Executive Chairman of the Board and nominee for director, and the nephew of Sean Reilly, our Chief Executive Officer and President, and our directors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and director nominees Wendell and Anna Reilly. Ross is employed as the Vice President of Mergers and Acquisitions and Business Analytics of the Company. In connection with his employment during 2022, Ross’s aggregate compensation, including his base salary, bonus and value of performance stock awards, was approximately $535,000. He is eligible to participate in customary employee benefit programs for his position. </w:t>
      </w:r>
    </w:p>
    <w:p>
      <w:pPr>
        <w:pStyle w:val="TextBody"/>
        <w:spacing w:before="360" w:after="0"/>
        <w:jc w:val="left"/>
        <w:rPr>
          <w:rFonts w:ascii="Times New Roman" w:hAnsi="Times New Roman"/>
          <w:b/>
          <w:sz w:val="20"/>
        </w:rPr>
      </w:pPr>
      <w:r>
        <w:rPr>
          <w:rFonts w:ascii="Times New Roman" w:hAnsi="Times New Roman"/>
          <w:b/>
          <w:sz w:val="20"/>
        </w:rPr>
        <w:t xml:space="preserve">Policy on Related Person Transactions </w:t>
      </w:r>
    </w:p>
    <w:p>
      <w:pPr>
        <w:pStyle w:val="TextBody"/>
        <w:spacing w:before="120" w:after="0"/>
        <w:jc w:val="left"/>
        <w:rPr>
          <w:rFonts w:ascii="Times New Roman" w:hAnsi="Times New Roman"/>
          <w:sz w:val="20"/>
        </w:rPr>
      </w:pPr>
      <w:r>
        <w:rPr>
          <w:rFonts w:ascii="Times New Roman" w:hAnsi="Times New Roman"/>
          <w:sz w:val="20"/>
        </w:rPr>
        <w:t xml:space="preserve">Related persons include any of our directors or executive officers, certain of our stockholders and their immediate family members. A conflict of interest may occur when an individual’s private interest interferes, or appears to interfere, in any way with the interests of the Company. Our Code of Business Conduct and Ethics requires all directors, officers and employees to disclose to management any situations that may be, or appear to be, a conflict of interest. Once management receives notice of a conflict of interest, they will review and investigate the relevant facts and will then generally consult with our General Counsel and the Audit Committee as appropriate. </w:t>
      </w:r>
    </w:p>
    <w:p>
      <w:pPr>
        <w:pStyle w:val="TextBody"/>
        <w:spacing w:before="240" w:after="0"/>
        <w:jc w:val="left"/>
        <w:rPr>
          <w:rFonts w:ascii="Times New Roman" w:hAnsi="Times New Roman"/>
          <w:sz w:val="20"/>
        </w:rPr>
      </w:pPr>
      <w:r>
        <w:rPr>
          <w:rFonts w:ascii="Times New Roman" w:hAnsi="Times New Roman"/>
          <w:sz w:val="20"/>
        </w:rPr>
        <w:t xml:space="preserve">Under the Audit Committee’s charter, the Audit Committee is responsible for reviewing and pre-approving any related party transactions. Copies of our Code of Business Conduct and Ethics and of our Audit Committee charter are available on our website at www.lamar.com. </w:t>
      </w:r>
    </w:p>
    <w:p>
      <w:pPr>
        <w:pStyle w:val="TextBody"/>
        <w:spacing w:before="240" w:after="0"/>
        <w:jc w:val="left"/>
        <w:rPr>
          <w:rFonts w:ascii="Times New Roman" w:hAnsi="Times New Roman"/>
          <w:sz w:val="20"/>
        </w:rPr>
      </w:pPr>
      <w:r>
        <w:rPr>
          <w:rFonts w:ascii="Times New Roman" w:hAnsi="Times New Roman"/>
          <w:sz w:val="20"/>
        </w:rPr>
        <w:t xml:space="preserve">In addition to the reporting requirements under the Code of Business Conduct and Ethics, each year our directors and executive officers complete questionnaires identifying any transactions with us in which the executive officers or directors or any immediate family members have an interest. Any such transactions or other related party transactions are reviewed and brought to the attention of the Audit Committee as appropriate. </w:t>
      </w:r>
    </w:p>
    <w:p>
      <w:pPr>
        <w:pStyle w:val="TextBody"/>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spacing w:before="120" w:after="0"/>
        <w:jc w:val="left"/>
        <w:rPr>
          <w:rFonts w:ascii="Times New Roman" w:hAnsi="Times New Roman"/>
          <w:sz w:val="20"/>
        </w:rPr>
      </w:pPr>
      <w:r>
        <w:rPr>
          <w:rFonts w:ascii="Times New Roman" w:hAnsi="Times New Roman"/>
          <w:sz w:val="20"/>
        </w:rPr>
        <w:t xml:space="preserve">The Compensation Committee currently consists of Thomas V. Reifenheiser (Chair), John E. Koerner, III, Stephen P. Mumblow and Nancy Fletcher. None of our executive officers serves as a member of the board of directors or compensation committee of any other company that has one or more executive officers serving as a member of our Board of Directors or Compensation Committee.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oc440239_8"/>
      <w:bookmarkEnd w:id="10"/>
      <w:r>
        <w:rPr>
          <w:rFonts w:ascii="Times New Roman" w:hAnsi="Times New Roman"/>
          <w:b/>
          <w:sz w:val="20"/>
        </w:rPr>
        <w:t xml:space="preserve">EXECUTIVE OFFICER AND DIRECTOR COMPENSATION </w:t>
      </w:r>
    </w:p>
    <w:p>
      <w:pPr>
        <w:pStyle w:val="TextBody"/>
        <w:spacing w:before="240" w:after="0"/>
        <w:jc w:val="left"/>
        <w:rPr>
          <w:rFonts w:ascii="Times New Roman" w:hAnsi="Times New Roman"/>
          <w:b/>
          <w:sz w:val="20"/>
        </w:rPr>
      </w:pPr>
      <w:r>
        <w:rPr>
          <w:rFonts w:ascii="Times New Roman" w:hAnsi="Times New Roman"/>
          <w:b/>
          <w:sz w:val="20"/>
        </w:rPr>
        <w:t xml:space="preserve">Compensation Discussion and Analysis </w:t>
      </w:r>
    </w:p>
    <w:p>
      <w:pPr>
        <w:pStyle w:val="TextBody"/>
        <w:spacing w:before="120" w:after="0"/>
        <w:jc w:val="left"/>
        <w:rPr>
          <w:rFonts w:ascii="Times New Roman" w:hAnsi="Times New Roman"/>
          <w:sz w:val="20"/>
        </w:rPr>
      </w:pPr>
      <w:r>
        <w:rPr>
          <w:rFonts w:ascii="Times New Roman" w:hAnsi="Times New Roman"/>
          <w:sz w:val="20"/>
        </w:rPr>
        <w:t xml:space="preserve">Our Compensation Committee has responsibility for establishing, implementing and maintaining the compensation program for our executive officers. For the year ended December 31, 2022, our executive officers consisted of Kevin P. Reilly, Jr., Sean E. Reilly, and Jay L. Johnson, who are also referred to herein as the “named executive officers.” This Compensation Discussion and Analysis sets forth the objectives and material elements of the compensation paid to our named executive officers for fiscal 2022. </w:t>
      </w:r>
    </w:p>
    <w:p>
      <w:pPr>
        <w:pStyle w:val="TextBody"/>
        <w:spacing w:before="360" w:after="0"/>
        <w:jc w:val="left"/>
        <w:rPr>
          <w:rFonts w:ascii="Times New Roman" w:hAnsi="Times New Roman"/>
          <w:b/>
          <w:i/>
          <w:sz w:val="20"/>
        </w:rPr>
      </w:pPr>
      <w:r>
        <w:rPr>
          <w:rFonts w:ascii="Times New Roman" w:hAnsi="Times New Roman"/>
          <w:b/>
          <w:i/>
          <w:sz w:val="20"/>
        </w:rPr>
        <w:t xml:space="preserve">Executive Compensation Philosophy </w:t>
      </w:r>
    </w:p>
    <w:p>
      <w:pPr>
        <w:pStyle w:val="TextBody"/>
        <w:spacing w:before="120" w:after="0"/>
        <w:jc w:val="left"/>
        <w:rPr>
          <w:rFonts w:ascii="Times New Roman" w:hAnsi="Times New Roman"/>
          <w:sz w:val="20"/>
        </w:rPr>
      </w:pPr>
      <w:r>
        <w:rPr>
          <w:rFonts w:ascii="Times New Roman" w:hAnsi="Times New Roman"/>
          <w:sz w:val="20"/>
        </w:rPr>
        <w:t xml:space="preserve">The primary objective of our executive compensation program is to retain and reward executive officers who contribute to our long-term success. We believe this requires a competitive compensation structure both as compared to similarly situated companies in the media industry and other companies that are our peers in terms of annual revenues. Additionally, we seek to align a significant portion of executive officer compensation to the achievement of specified Company performance goals. Incentive cash bonuses are included to drive executive performance by having pay at risk so that a significant portion of potential cash compensation is tied to goal achievement. We also include performance-based equity grants as a significant component of prospective executive compensation so that the value of a portion of executive compensation is tied directly to the performance of our Class A Common Stock. In addition, discretionary bonuses may be made to executive officers based upon accomplishments outside the scope of the performance metrics used in the Company’s incentive programs. </w:t>
      </w:r>
    </w:p>
    <w:p>
      <w:pPr>
        <w:pStyle w:val="TextBody"/>
        <w:spacing w:before="360" w:after="0"/>
        <w:jc w:val="left"/>
        <w:rPr>
          <w:rFonts w:ascii="Times New Roman" w:hAnsi="Times New Roman"/>
          <w:b/>
          <w:i/>
          <w:sz w:val="20"/>
        </w:rPr>
      </w:pPr>
      <w:r>
        <w:rPr>
          <w:rFonts w:ascii="Times New Roman" w:hAnsi="Times New Roman"/>
          <w:b/>
          <w:i/>
          <w:sz w:val="20"/>
        </w:rPr>
        <w:t xml:space="preserve">Use of Compensation Consultants and Peer Group Data </w:t>
      </w:r>
    </w:p>
    <w:p>
      <w:pPr>
        <w:pStyle w:val="TextBody"/>
        <w:spacing w:before="120" w:after="0"/>
        <w:jc w:val="left"/>
        <w:rPr>
          <w:rFonts w:ascii="Times New Roman" w:hAnsi="Times New Roman"/>
          <w:sz w:val="20"/>
        </w:rPr>
      </w:pPr>
      <w:r>
        <w:rPr>
          <w:rFonts w:ascii="Times New Roman" w:hAnsi="Times New Roman"/>
          <w:sz w:val="20"/>
        </w:rPr>
        <w:t xml:space="preserve">The Compensation Committee did not consult with any compensation consultants in conjunction with its executive officer compensation determinations for fiscal 2022. The Compensation Committee did not set executive officer compensation to a specific percentile of the range of total compensation represented by a specified peer group when making its executive compensation determinations for fiscal 2022. </w:t>
      </w:r>
    </w:p>
    <w:p>
      <w:pPr>
        <w:pStyle w:val="TextBody"/>
        <w:spacing w:before="360" w:after="0"/>
        <w:jc w:val="left"/>
        <w:rPr>
          <w:rFonts w:ascii="Times New Roman" w:hAnsi="Times New Roman"/>
          <w:b/>
          <w:i/>
          <w:sz w:val="20"/>
        </w:rPr>
      </w:pPr>
      <w:r>
        <w:rPr>
          <w:rFonts w:ascii="Times New Roman" w:hAnsi="Times New Roman"/>
          <w:b/>
          <w:i/>
          <w:sz w:val="20"/>
        </w:rPr>
        <w:t xml:space="preserve">Material Elements of Executive Officer Compensation </w:t>
      </w:r>
    </w:p>
    <w:p>
      <w:pPr>
        <w:pStyle w:val="TextBody"/>
        <w:spacing w:before="120" w:after="0"/>
        <w:jc w:val="left"/>
        <w:rPr>
          <w:rFonts w:ascii="Times New Roman" w:hAnsi="Times New Roman"/>
          <w:sz w:val="20"/>
        </w:rPr>
      </w:pPr>
      <w:r>
        <w:rPr>
          <w:rFonts w:ascii="Times New Roman" w:hAnsi="Times New Roman"/>
          <w:sz w:val="20"/>
        </w:rPr>
        <w:t xml:space="preserve">The key elements of compensation for our executive officers are base salaries, performance-based cash incentive awards and performance-based equity awards. Executives may also participate, on the same terms as all other employees, in a 401(k) retirement savings plan and health and welfare benefits. </w:t>
      </w:r>
    </w:p>
    <w:p>
      <w:pPr>
        <w:pStyle w:val="TextBody"/>
        <w:spacing w:before="240" w:after="0"/>
        <w:jc w:val="left"/>
        <w:rPr>
          <w:rFonts w:ascii="Times New Roman" w:hAnsi="Times New Roman"/>
          <w:sz w:val="20"/>
        </w:rPr>
      </w:pPr>
      <w:r>
        <w:rPr>
          <w:rFonts w:ascii="Times New Roman" w:hAnsi="Times New Roman"/>
          <w:i/>
          <w:sz w:val="20"/>
        </w:rPr>
        <w:t>Base Salary</w:t>
      </w:r>
      <w:r>
        <w:rPr>
          <w:rFonts w:ascii="Times New Roman" w:hAnsi="Times New Roman"/>
          <w:sz w:val="20"/>
        </w:rPr>
        <w:t xml:space="preserve">. We pay a base salary to each of our named executive officers. The objective of base salary is to provide a fixed component of cash compensation to the executive that reflects the level of responsibility associated with the executive’s position and is competitive with the base compensation the executive could earn in a similar position at comparable companies. Base salary for our named executive officers is reviewed annually in light of market compensation, tenure, individual performance, Company performance and other subjective considerations. Typically, Kevin P. Reilly, Jr. makes recommendations to the Compensation Committee with regard to base salary for the executive officers that he believes are justified in light of these considerations. </w:t>
      </w:r>
    </w:p>
    <w:p>
      <w:pPr>
        <w:pStyle w:val="TextBody"/>
        <w:spacing w:before="240" w:after="0"/>
        <w:jc w:val="left"/>
        <w:rPr>
          <w:rFonts w:ascii="Times New Roman" w:hAnsi="Times New Roman"/>
          <w:sz w:val="20"/>
        </w:rPr>
      </w:pPr>
      <w:r>
        <w:rPr>
          <w:rFonts w:ascii="Times New Roman" w:hAnsi="Times New Roman"/>
          <w:sz w:val="20"/>
        </w:rPr>
        <w:t xml:space="preserve">In March 2022, the Compensation Committee reviewed current base salaries in conjunction with Kevin P. Reilly, Jr. The Compensation Committee reviewed the roles and responsibilities of each executive officer and determined that no changes were warranted.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Performance-Based Incentive Compensation.</w:t>
      </w:r>
      <w:r>
        <w:rPr>
          <w:rFonts w:ascii="Times New Roman" w:hAnsi="Times New Roman"/>
          <w:sz w:val="20"/>
        </w:rPr>
        <w:t xml:space="preserve"> The Company’s incentive compensation program for executive officers consists of two types of awards that are granted under the Company’s 1996 Equity Incentive Plan, as amended: (i) a performance-based incentive cash bonus and (ii) a performance-based incentive equity award. This compensation program was designed by the Compensation Committee to link a significant portion of overall executive officer compensation to the achievement of enumerated performance targets. Beginning in 2022, our executive officers received their performance-based incentive equity awards in the form of LTIP Units of Lamar Advertising Limited Partnership (the “OP”), a subsidiary of the Company, with the initial grants occurring on July 1, 2022. LTIP Units are a class of units intended to qualify as “profits interests” of the OP, meaning that initially, an LTIP Unit is not economically equivalent in value to a share of our Class A Common Stock, but over time can increase in value to one-for-one parity with Class A Common Stock by operation of special profit and loss allocations applicable to partners in the OP, including LTIP Unit holders. LTIP Units convert into Common Units of the OP upon the occurrence of certain events, and Common Units of the OP are redeemable by the holder, after a holding period, for shares of the Company’s Class A Common Stock after a holding period, which is generally twelve months, or for cash at the general partner’s option. The general partner of the OP is a wholly owned subsidiary of the Company. Each LTIP unit awarded is deemed equivalent to an award of one share of Class A Common Stock reserved under the Company’s 1996 Equity Incentive Plan, as amended. </w:t>
      </w:r>
    </w:p>
    <w:p>
      <w:pPr>
        <w:pStyle w:val="TextBody"/>
        <w:spacing w:before="240" w:after="0"/>
        <w:jc w:val="left"/>
        <w:rPr>
          <w:rFonts w:ascii="Times New Roman" w:hAnsi="Times New Roman"/>
          <w:sz w:val="20"/>
        </w:rPr>
      </w:pPr>
      <w:r>
        <w:rPr>
          <w:rFonts w:ascii="Times New Roman" w:hAnsi="Times New Roman"/>
          <w:sz w:val="20"/>
        </w:rPr>
        <w:t xml:space="preserve">The LTIP Units granted to the executives in 2022 were subject to vesting and forfeiture conditions established by the Compensation Committee, based on the achievement of performance conditions for fiscal 2022, as further described below. The maximum number of LTIP Units granted to each executive officer in 2022 was the same as the maximum number of shares of Class A Common Stock each executive officer was eligible to receive in the prior fiscal year, which the Compensation Committee determined was appropriate since the Company intends to operate the OP so that LTIP Units will ultimately convert into shares of Class A Common Stock on a one-for-one basis. By utilizing equity awards as a significant portion of executive compensation that are denominated as a fixed number of LTIP Units, in 2022, and shares of Class A Common Stock, for fiscal periods prior to 2022, rather than a set dollar value, the aggregate value of each executive officer’s compensation is aligned with the performance of the Company’s Class A Common Stock. </w:t>
      </w:r>
    </w:p>
    <w:p>
      <w:pPr>
        <w:pStyle w:val="TextBody"/>
        <w:spacing w:before="240" w:after="0"/>
        <w:jc w:val="left"/>
        <w:rPr>
          <w:rFonts w:ascii="Times New Roman" w:hAnsi="Times New Roman"/>
          <w:sz w:val="20"/>
        </w:rPr>
      </w:pPr>
      <w:r>
        <w:rPr>
          <w:rFonts w:ascii="Times New Roman" w:hAnsi="Times New Roman"/>
          <w:i/>
          <w:sz w:val="20"/>
        </w:rPr>
        <w:t xml:space="preserve">Incentive Cash Bonus. </w:t>
      </w:r>
      <w:r>
        <w:rPr>
          <w:rFonts w:ascii="Times New Roman" w:hAnsi="Times New Roman"/>
          <w:sz w:val="20"/>
        </w:rPr>
        <w:t xml:space="preserve">In March 2022, the Compensation Committee set target amounts for incentive cash bonuses for each of Kevin P. Reilly, Jr., Sean E. Reilly and Jay L. Johnson with corresponding performance goals. The Compensation Committee reviews those target amounts annually based the executive’s roles and responsibilities, the Company’s performance, and the current economic environment. The Compensation Committee determined that the 2022 target incentive cash bonus of the Kevin P. Reilly, Jr., Sean E. Reilly and Jay L. Johnson, would remain unchanged at $250,000, $400,000, and $300,000, respectively. The Compensation Committee then approved the performance goals for 2022 pursuant to which any payout of incentive cash bonus awards would be based. The Compensation Committee also continued its practice of providing the possibility of higher payouts that provide incentives for superior performance above the 100% targeted levels of achievement, which can result in an incentive cash bonus in an amount that is up to 200% of the target amount. </w:t>
      </w:r>
    </w:p>
    <w:p>
      <w:pPr>
        <w:pStyle w:val="TextBody"/>
        <w:spacing w:before="240" w:after="0"/>
        <w:jc w:val="left"/>
        <w:rPr>
          <w:rFonts w:ascii="Times New Roman" w:hAnsi="Times New Roman"/>
          <w:sz w:val="20"/>
        </w:rPr>
      </w:pPr>
      <w:r>
        <w:rPr>
          <w:rFonts w:ascii="Times New Roman" w:hAnsi="Times New Roman"/>
          <w:sz w:val="20"/>
        </w:rPr>
        <w:t xml:space="preserve">When setting the performance goals for these executive officers’ incentive cash bonuses for fiscal 2022, the Compensation Committee met with management to review current operating budgets and financial projections along with any current initiatives that could impact the Company’s anticipated 2022 results. The Compensation Committee determined that the Company’s pro forma net revenue growth and pro forma earnings before interest, taxes, depreciation and amortization and adjusted for gain or loss on disposition of assets and investments (referred to in this proxy statement as “EBITDA”) growth continue to be the appropriate measures on which to base incentive compensation as these measures are the primary measures used by both management and the investor community to evaluate the Company’s performance.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Compensation Committee’s goal when determining the specific performance thresholds is to set target (100%) goal achievement at a challenging but achievable level based on the 2022 operating budget in order to provide appropriate incentives for management in the context of the current fiscal year’s projected results and current business plan. To align the Company’s performance and the level of award achievement, the Compensation Committee maintained a 65% threshold for minimum achievement of both cash incentive and equity incentive awards. The 2022 performance goals for incentive cash bonuses were based on achievement of pro forma revenue growth and pro forma EBITDA growth for fiscal 2022 over fiscal 2021 with 50% of the total bonus amount tied to each metric. Tables setting forth the actual performance thresholds for fiscal 2022 are set forth below on pages 23 and 24. </w:t>
      </w:r>
    </w:p>
    <w:p>
      <w:pPr>
        <w:pStyle w:val="TextBody"/>
        <w:spacing w:before="240" w:after="0"/>
        <w:jc w:val="left"/>
        <w:rPr>
          <w:rFonts w:ascii="Times New Roman" w:hAnsi="Times New Roman"/>
          <w:sz w:val="20"/>
        </w:rPr>
      </w:pPr>
      <w:r>
        <w:rPr>
          <w:rFonts w:ascii="Times New Roman" w:hAnsi="Times New Roman"/>
          <w:sz w:val="20"/>
        </w:rPr>
        <w:t xml:space="preserve">Following this review, the Compensation Committee certified that (i) the Company’s pro forma net revenue growth resulted in attainment of 200% of each such named executive officer’s target cash incentive bonus for fiscal 2022 based on revenue, and (ii) the Company’s pro forma EBITDA growth resulted in attainment of 200% of each such named executive officer’s target cash incentive bonus for fiscal 2022 based on EBITDA. The total 2022 cash incentive bonus for each of Kevin P. Reilly, Jr., Sean E. Reilly, and Jay L. Johnson is set forth below and is reflected in the Non-Equity Incentive Plan Compensation column of the 2022 Summary Compensation Table. </w:t>
      </w:r>
    </w:p>
    <w:p>
      <w:pPr>
        <w:pStyle w:val="TextBody"/>
        <w:spacing w:before="480" w:after="0"/>
        <w:jc w:val="center"/>
        <w:rPr>
          <w:rFonts w:ascii="Times New Roman" w:hAnsi="Times New Roman"/>
          <w:b/>
          <w:sz w:val="20"/>
        </w:rPr>
      </w:pPr>
      <w:r>
        <w:rPr>
          <w:rFonts w:ascii="Times New Roman" w:hAnsi="Times New Roman"/>
          <w:b/>
          <w:sz w:val="20"/>
        </w:rPr>
        <w:t xml:space="preserve">Incentive Cash Bonus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586"/>
        <w:gridCol w:w="120"/>
        <w:gridCol w:w="373"/>
        <w:gridCol w:w="2137"/>
        <w:gridCol w:w="60"/>
        <w:gridCol w:w="120"/>
        <w:gridCol w:w="388"/>
        <w:gridCol w:w="2224"/>
        <w:gridCol w:w="60"/>
        <w:gridCol w:w="120"/>
        <w:gridCol w:w="140"/>
        <w:gridCol w:w="800"/>
        <w:gridCol w:w="77"/>
      </w:tblGrid>
      <w:tr>
        <w:trPr/>
        <w:tc>
          <w:tcPr>
            <w:tcW w:w="358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22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r>
      <w:tr>
        <w:trPr/>
        <w:tc>
          <w:tcPr>
            <w:tcW w:w="3586"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22"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2022 Awards</w:t>
            </w:r>
          </w:p>
        </w:tc>
        <w:tc>
          <w:tcPr>
            <w:tcW w:w="77" w:type="dxa"/>
            <w:tcBorders/>
            <w:shd w:fill="auto" w:val="clear"/>
            <w:vAlign w:val="center"/>
          </w:tcPr>
          <w:p>
            <w:pPr>
              <w:pStyle w:val="TableContents"/>
              <w:spacing w:before="0" w:after="283"/>
              <w:rPr/>
            </w:pPr>
            <w:r>
              <w:rPr/>
              <w:t> </w:t>
            </w:r>
          </w:p>
        </w:tc>
      </w:tr>
      <w:tr>
        <w:trPr/>
        <w:tc>
          <w:tcPr>
            <w:tcW w:w="3586"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1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Portion (50%) Based on</w:t>
            </w:r>
            <w:r>
              <w:rPr/>
              <w:br/>
            </w:r>
            <w:r>
              <w:rPr>
                <w:b/>
              </w:rPr>
              <w:t>Pro Forma Net Revenue</w:t>
            </w:r>
            <w:r>
              <w:rPr/>
              <w:br/>
            </w:r>
            <w:r>
              <w:rPr>
                <w:b/>
              </w:rPr>
              <w:t>Growth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12"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Portion (50%) Based on Pro</w:t>
            </w:r>
            <w:r>
              <w:rPr/>
              <w:br/>
            </w:r>
            <w:r>
              <w:rPr>
                <w:b/>
              </w:rPr>
              <w:t>Forma</w:t>
            </w:r>
            <w:r>
              <w:rPr/>
              <w:br/>
            </w:r>
            <w:r>
              <w:rPr>
                <w:b/>
              </w:rPr>
              <w:t>EBITDA Growth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 ($)</w:t>
            </w:r>
          </w:p>
        </w:tc>
        <w:tc>
          <w:tcPr>
            <w:tcW w:w="77" w:type="dxa"/>
            <w:tcBorders/>
            <w:shd w:fill="auto" w:val="clear"/>
            <w:vAlign w:val="center"/>
          </w:tcPr>
          <w:p>
            <w:pPr>
              <w:pStyle w:val="TableContents"/>
              <w:spacing w:before="0" w:after="283"/>
              <w:rPr/>
            </w:pPr>
            <w:r>
              <w:rPr/>
              <w:t> </w:t>
            </w:r>
          </w:p>
        </w:tc>
      </w:tr>
      <w:tr>
        <w:trPr/>
        <w:tc>
          <w:tcPr>
            <w:tcW w:w="3586"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Kevin P. Reilly, Jr.</w:t>
              <w:br/>
            </w:r>
            <w:r>
              <w:rPr>
                <w:rFonts w:ascii="Times New Roman" w:hAnsi="Times New Roman"/>
                <w:i/>
                <w:sz w:val="20"/>
              </w:rPr>
              <w:t>Executive Chairman</w:t>
            </w:r>
          </w:p>
        </w:tc>
        <w:tc>
          <w:tcPr>
            <w:tcW w:w="120" w:type="dxa"/>
            <w:tcBorders/>
            <w:shd w:fill="CCEEFF" w:val="clear"/>
            <w:vAlign w:val="center"/>
          </w:tcPr>
          <w:p>
            <w:pPr>
              <w:pStyle w:val="TableContents"/>
              <w:spacing w:before="0" w:after="283"/>
              <w:rPr/>
            </w:pPr>
            <w:r>
              <w:rPr/>
              <w:t>  </w:t>
            </w:r>
          </w:p>
        </w:tc>
        <w:tc>
          <w:tcPr>
            <w:tcW w:w="373" w:type="dxa"/>
            <w:tcBorders/>
            <w:shd w:fill="CCEEFF" w:val="clear"/>
            <w:vAlign w:val="center"/>
          </w:tcPr>
          <w:p>
            <w:pPr>
              <w:pStyle w:val="TableContents"/>
              <w:spacing w:before="0" w:after="283"/>
              <w:rPr/>
            </w:pPr>
            <w:r>
              <w:rPr/>
              <w:t>$</w:t>
            </w:r>
          </w:p>
        </w:tc>
        <w:tc>
          <w:tcPr>
            <w:tcW w:w="2137" w:type="dxa"/>
            <w:tcBorders/>
            <w:shd w:fill="CCEEFF" w:val="clear"/>
            <w:vAlign w:val="center"/>
          </w:tcPr>
          <w:p>
            <w:pPr>
              <w:pStyle w:val="TableContents"/>
              <w:spacing w:before="0" w:after="283"/>
              <w:jc w:val="right"/>
              <w:rPr/>
            </w:pPr>
            <w:r>
              <w:rPr/>
              <w:t>250,000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rPr/>
            </w:pPr>
            <w:r>
              <w:rPr/>
              <w:t>$</w:t>
            </w:r>
          </w:p>
        </w:tc>
        <w:tc>
          <w:tcPr>
            <w:tcW w:w="2224" w:type="dxa"/>
            <w:tcBorders/>
            <w:shd w:fill="CCEEFF" w:val="clear"/>
            <w:vAlign w:val="center"/>
          </w:tcPr>
          <w:p>
            <w:pPr>
              <w:pStyle w:val="TableContents"/>
              <w:spacing w:before="0" w:after="283"/>
              <w:jc w:val="right"/>
              <w:rPr/>
            </w:pPr>
            <w:r>
              <w:rPr/>
              <w:t>250,000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500,000</w:t>
            </w:r>
          </w:p>
        </w:tc>
        <w:tc>
          <w:tcPr>
            <w:tcW w:w="77" w:type="dxa"/>
            <w:tcBorders/>
            <w:shd w:fill="CCEEFF" w:val="clear"/>
            <w:vAlign w:val="center"/>
          </w:tcPr>
          <w:p>
            <w:pPr>
              <w:pStyle w:val="TableContents"/>
              <w:spacing w:before="0" w:after="283"/>
              <w:rPr/>
            </w:pPr>
            <w:r>
              <w:rPr/>
              <w:t> </w:t>
            </w:r>
          </w:p>
        </w:tc>
      </w:tr>
      <w:tr>
        <w:trPr/>
        <w:tc>
          <w:tcPr>
            <w:tcW w:w="3586"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Sean E. Reilly</w:t>
              <w:br/>
            </w:r>
            <w:r>
              <w:rPr>
                <w:rFonts w:ascii="Times New Roman" w:hAnsi="Times New Roman"/>
                <w:i/>
                <w:sz w:val="20"/>
              </w:rPr>
              <w:t>Chief Executive Officer and President</w:t>
            </w:r>
          </w:p>
        </w:tc>
        <w:tc>
          <w:tcPr>
            <w:tcW w:w="120" w:type="dxa"/>
            <w:tcBorders/>
            <w:shd w:fill="auto" w:val="clear"/>
            <w:vAlign w:val="center"/>
          </w:tcPr>
          <w:p>
            <w:pPr>
              <w:pStyle w:val="TableContents"/>
              <w:spacing w:before="0" w:after="283"/>
              <w:rPr/>
            </w:pPr>
            <w:r>
              <w:rPr/>
              <w:t>  </w:t>
            </w:r>
          </w:p>
        </w:tc>
        <w:tc>
          <w:tcPr>
            <w:tcW w:w="373" w:type="dxa"/>
            <w:tcBorders/>
            <w:shd w:fill="auto" w:val="clear"/>
            <w:vAlign w:val="center"/>
          </w:tcPr>
          <w:p>
            <w:pPr>
              <w:pStyle w:val="TableContents"/>
              <w:spacing w:before="0" w:after="283"/>
              <w:rPr/>
            </w:pPr>
            <w:r>
              <w:rPr/>
              <w:t>$</w:t>
            </w:r>
          </w:p>
        </w:tc>
        <w:tc>
          <w:tcPr>
            <w:tcW w:w="2137" w:type="dxa"/>
            <w:tcBorders/>
            <w:shd w:fill="auto" w:val="clear"/>
            <w:vAlign w:val="center"/>
          </w:tcPr>
          <w:p>
            <w:pPr>
              <w:pStyle w:val="TableContents"/>
              <w:spacing w:before="0" w:after="283"/>
              <w:jc w:val="right"/>
              <w:rPr/>
            </w:pPr>
            <w:r>
              <w:rPr/>
              <w:t>400,000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w:t>
            </w:r>
          </w:p>
        </w:tc>
        <w:tc>
          <w:tcPr>
            <w:tcW w:w="2224" w:type="dxa"/>
            <w:tcBorders/>
            <w:shd w:fill="auto" w:val="clear"/>
            <w:vAlign w:val="center"/>
          </w:tcPr>
          <w:p>
            <w:pPr>
              <w:pStyle w:val="TableContents"/>
              <w:spacing w:before="0" w:after="283"/>
              <w:jc w:val="right"/>
              <w:rPr/>
            </w:pPr>
            <w:r>
              <w:rPr/>
              <w:t>400,000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800,000</w:t>
            </w:r>
          </w:p>
        </w:tc>
        <w:tc>
          <w:tcPr>
            <w:tcW w:w="77" w:type="dxa"/>
            <w:tcBorders/>
            <w:shd w:fill="auto" w:val="clear"/>
            <w:vAlign w:val="center"/>
          </w:tcPr>
          <w:p>
            <w:pPr>
              <w:pStyle w:val="TableContents"/>
              <w:spacing w:before="0" w:after="283"/>
              <w:rPr/>
            </w:pPr>
            <w:r>
              <w:rPr/>
              <w:t> </w:t>
            </w:r>
          </w:p>
        </w:tc>
      </w:tr>
      <w:tr>
        <w:trPr/>
        <w:tc>
          <w:tcPr>
            <w:tcW w:w="3586"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Jay L. Johnson</w:t>
              <w:br/>
            </w:r>
            <w:r>
              <w:rPr>
                <w:rFonts w:ascii="Times New Roman" w:hAnsi="Times New Roman"/>
                <w:i/>
                <w:sz w:val="20"/>
              </w:rPr>
              <w:t>Executive Vice President, Chief Financial Officer and Treasurer</w:t>
            </w:r>
          </w:p>
        </w:tc>
        <w:tc>
          <w:tcPr>
            <w:tcW w:w="120" w:type="dxa"/>
            <w:tcBorders/>
            <w:shd w:fill="CCEEFF" w:val="clear"/>
            <w:vAlign w:val="center"/>
          </w:tcPr>
          <w:p>
            <w:pPr>
              <w:pStyle w:val="TableContents"/>
              <w:spacing w:before="0" w:after="283"/>
              <w:rPr/>
            </w:pPr>
            <w:r>
              <w:rPr/>
              <w:t>  </w:t>
            </w:r>
          </w:p>
        </w:tc>
        <w:tc>
          <w:tcPr>
            <w:tcW w:w="373" w:type="dxa"/>
            <w:tcBorders/>
            <w:shd w:fill="CCEEFF" w:val="clear"/>
            <w:vAlign w:val="center"/>
          </w:tcPr>
          <w:p>
            <w:pPr>
              <w:pStyle w:val="TableContents"/>
              <w:spacing w:before="0" w:after="283"/>
              <w:rPr/>
            </w:pPr>
            <w:r>
              <w:rPr/>
              <w:t>$</w:t>
            </w:r>
          </w:p>
        </w:tc>
        <w:tc>
          <w:tcPr>
            <w:tcW w:w="2137" w:type="dxa"/>
            <w:tcBorders/>
            <w:shd w:fill="CCEEFF" w:val="clear"/>
            <w:vAlign w:val="center"/>
          </w:tcPr>
          <w:p>
            <w:pPr>
              <w:pStyle w:val="TableContents"/>
              <w:spacing w:before="0" w:after="283"/>
              <w:jc w:val="right"/>
              <w:rPr/>
            </w:pPr>
            <w:r>
              <w:rPr/>
              <w:t>300,000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rPr/>
            </w:pPr>
            <w:r>
              <w:rPr/>
              <w:t>$</w:t>
            </w:r>
          </w:p>
        </w:tc>
        <w:tc>
          <w:tcPr>
            <w:tcW w:w="2224" w:type="dxa"/>
            <w:tcBorders/>
            <w:shd w:fill="CCEEFF" w:val="clear"/>
            <w:vAlign w:val="center"/>
          </w:tcPr>
          <w:p>
            <w:pPr>
              <w:pStyle w:val="TableContents"/>
              <w:spacing w:before="0" w:after="283"/>
              <w:jc w:val="right"/>
              <w:rPr/>
            </w:pPr>
            <w:r>
              <w:rPr/>
              <w:t>300,000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600,000</w:t>
            </w:r>
          </w:p>
        </w:tc>
        <w:tc>
          <w:tcPr>
            <w:tcW w:w="77"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i/>
          <w:sz w:val="20"/>
        </w:rPr>
        <w:t xml:space="preserve">Incentive Equity Awards. </w:t>
      </w:r>
      <w:r>
        <w:rPr>
          <w:rFonts w:ascii="Times New Roman" w:hAnsi="Times New Roman"/>
          <w:sz w:val="20"/>
        </w:rPr>
        <w:t xml:space="preserve">The Compensation Committee approved the performance criteria underlying the equity grants for each of Kevin P. Reilly, Jr., Sean E. Reilly and Jay L. Johnson at its March 2022 meeting and made the corresponding LTIP Unit grants on July 1, 2022. These LTIP Unit award amounts were set at 22,000, 44,000 and 22,000 LTIP Units, respectively, for each of Kevin P. Reilly, Jr., Sean E. Reilly and Jay L. Johnson, which were subject to vesting and forfeiture conditions based on the achievement of the approved performance criteria. The number of LTIP Units granted to Sean E. Reilly in 2022, which can ultimately convert into Class A Common Stock on a one-to-one basis under certain circumstances, was the same as the maximum number of shares of Class A Common Stock that he was eligible to receive in every prior year since 2006. With respect to each of Kevin P. Reilly, Jr. and Jay L. Johnson, the number of LTIP Units granted, which can ultimately convert into Class A Common Stock on a one-to-one basis under certain circumstances, was the same as the maximum number of shares of Class A Common Stock each was eligible to receive in each of 2021 and 2020. The Compensation Committee reaffirmed its belief that utilizing fixed unit amounts for the LTIP Unit grants provides appropriate incentives and alignment with interests of stockholders, since the value of the LTIP Units is aligned with Company’s Class A Common Stock, due to the conversion feature.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LTIP Units issued to the Company’s executives were subject to vesting and forfeiture conditions until, and to the extent, the relevant performance goals for fiscal 2022 were met and certified by the Compensation Committee. The Compensation Committee feels that the use of LTIP Units as a part of its compensation program aligns executive compensation to the creation of stockholder value but not to such an extent that it would create incentives for executives to focus solely on short-term stock appreciation to the exclusion of long-term strategy. </w:t>
      </w:r>
    </w:p>
    <w:p>
      <w:pPr>
        <w:pStyle w:val="TextBody"/>
        <w:spacing w:before="240" w:after="0"/>
        <w:jc w:val="left"/>
        <w:rPr>
          <w:rFonts w:ascii="Times New Roman" w:hAnsi="Times New Roman"/>
          <w:sz w:val="20"/>
        </w:rPr>
      </w:pPr>
      <w:r>
        <w:rPr>
          <w:rFonts w:ascii="Times New Roman" w:hAnsi="Times New Roman"/>
          <w:sz w:val="20"/>
        </w:rPr>
        <w:t xml:space="preserve">The pro forma revenue growth and pro forma EBITDA growth metrics for fiscal 2022 over fiscal 2021 used in the context of the incentive cash awards were used to determine the achievement of the performance conditions underlying the LTIP Unit awards. Unlike incentive cash awards, there is no opportunity to achieve greater than 100% of the equity award targets utilized for the LTIP Unit awards. </w:t>
      </w:r>
    </w:p>
    <w:p>
      <w:pPr>
        <w:pStyle w:val="TextBody"/>
        <w:spacing w:before="240" w:after="0"/>
        <w:jc w:val="left"/>
        <w:rPr>
          <w:rFonts w:ascii="Times New Roman" w:hAnsi="Times New Roman"/>
          <w:sz w:val="20"/>
        </w:rPr>
      </w:pPr>
      <w:r>
        <w:rPr>
          <w:rFonts w:ascii="Times New Roman" w:hAnsi="Times New Roman"/>
          <w:sz w:val="20"/>
        </w:rPr>
        <w:t xml:space="preserve">On that basis, (i) the Company’s pro forma net revenue growth resulted in attainment of 100% of each named executive officer’s incentive equity award target for 2022 based on revenue and (ii) the Company’s pro forma EBITDA growth resulted in attainment of 100% of each named executive officer’s incentive equity award target for 2022 based on EBITDA. The total 2022 incentive equity awards earned by each executive, in the form of LTIP Units, is set forth below and reflected in the Stock Awards column of the 2022 Summary Compensation Table (see footnote 1 to the 2022 Summary Compensation Table, which describes the assumptions underlying the calculation of the aggregate grant date fair value of these awards). </w:t>
      </w:r>
    </w:p>
    <w:p>
      <w:pPr>
        <w:pStyle w:val="TextBody"/>
        <w:spacing w:before="480" w:after="0"/>
        <w:jc w:val="center"/>
        <w:rPr>
          <w:rFonts w:ascii="Times New Roman" w:hAnsi="Times New Roman"/>
          <w:b/>
          <w:sz w:val="20"/>
        </w:rPr>
      </w:pPr>
      <w:r>
        <w:rPr>
          <w:rFonts w:ascii="Times New Roman" w:hAnsi="Times New Roman"/>
          <w:b/>
          <w:sz w:val="20"/>
        </w:rPr>
        <w:t xml:space="preserve">Incentive Equity Awards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635"/>
        <w:gridCol w:w="120"/>
        <w:gridCol w:w="168"/>
        <w:gridCol w:w="1907"/>
        <w:gridCol w:w="60"/>
        <w:gridCol w:w="120"/>
        <w:gridCol w:w="174"/>
        <w:gridCol w:w="1976"/>
        <w:gridCol w:w="60"/>
        <w:gridCol w:w="120"/>
        <w:gridCol w:w="145"/>
        <w:gridCol w:w="1645"/>
        <w:gridCol w:w="75"/>
      </w:tblGrid>
      <w:tr>
        <w:trPr/>
        <w:tc>
          <w:tcPr>
            <w:tcW w:w="36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9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9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6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6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375" w:type="dxa"/>
            <w:gridSpan w:val="10"/>
            <w:tcBorders>
              <w:bottom w:val="single" w:sz="8" w:space="0" w:color="000000"/>
            </w:tcBorders>
            <w:shd w:fill="auto" w:val="clear"/>
            <w:tcMar>
              <w:bottom w:w="28" w:type="dxa"/>
            </w:tcMar>
            <w:vAlign w:val="center"/>
          </w:tcPr>
          <w:p>
            <w:pPr>
              <w:pStyle w:val="TableContents"/>
              <w:spacing w:before="0" w:after="283"/>
              <w:jc w:val="center"/>
              <w:rPr>
                <w:b/>
              </w:rPr>
            </w:pPr>
            <w:r>
              <w:rPr>
                <w:b/>
              </w:rPr>
              <w:t>2022 Awards</w:t>
            </w:r>
          </w:p>
        </w:tc>
        <w:tc>
          <w:tcPr>
            <w:tcW w:w="75" w:type="dxa"/>
            <w:tcBorders/>
            <w:shd w:fill="auto"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7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Portion (50%)</w:t>
            </w:r>
            <w:r>
              <w:rPr/>
              <w:br/>
            </w:r>
            <w:r>
              <w:rPr>
                <w:b/>
              </w:rPr>
              <w:t>Based on Pro</w:t>
            </w:r>
            <w:r>
              <w:rPr/>
              <w:br/>
            </w:r>
            <w:r>
              <w:rPr>
                <w:b/>
              </w:rPr>
              <w:t>Forma Net Revenue</w:t>
            </w:r>
            <w:r>
              <w:rPr/>
              <w:br/>
            </w:r>
            <w:r>
              <w:rPr>
                <w:b/>
              </w:rPr>
              <w:t>Growth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Portion (50%)</w:t>
            </w:r>
            <w:r>
              <w:rPr/>
              <w:br/>
            </w:r>
            <w:r>
              <w:rPr>
                <w:b/>
              </w:rPr>
              <w:t>Based on</w:t>
            </w:r>
            <w:r>
              <w:rPr/>
              <w:br/>
            </w:r>
            <w:r>
              <w:rPr>
                <w:b/>
              </w:rPr>
              <w:t>Pro Forma</w:t>
            </w:r>
            <w:r>
              <w:rPr/>
              <w:br/>
            </w:r>
            <w:r>
              <w:rPr>
                <w:b/>
              </w:rPr>
              <w:t>EBITDA Growth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Total LTIP Units</w:t>
            </w:r>
            <w:r>
              <w:rPr/>
              <w:br/>
            </w:r>
            <w:r>
              <w:rPr>
                <w:b/>
              </w:rPr>
              <w:t>(#)</w:t>
            </w:r>
          </w:p>
        </w:tc>
        <w:tc>
          <w:tcPr>
            <w:tcW w:w="75" w:type="dxa"/>
            <w:tcBorders/>
            <w:shd w:fill="auto" w:val="clear"/>
            <w:vAlign w:val="center"/>
          </w:tcPr>
          <w:p>
            <w:pPr>
              <w:pStyle w:val="TableContents"/>
              <w:spacing w:before="0" w:after="283"/>
              <w:rPr/>
            </w:pPr>
            <w:r>
              <w:rPr/>
              <w:t> </w:t>
            </w:r>
          </w:p>
        </w:tc>
      </w:tr>
      <w:tr>
        <w:trPr/>
        <w:tc>
          <w:tcPr>
            <w:tcW w:w="36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Kevin P. Reilly, Jr.</w:t>
              <w:br/>
            </w:r>
            <w:r>
              <w:rPr>
                <w:rFonts w:ascii="Times New Roman" w:hAnsi="Times New Roman"/>
                <w:i/>
                <w:sz w:val="20"/>
              </w:rPr>
              <w:t>Executive Chairman</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907" w:type="dxa"/>
            <w:tcBorders/>
            <w:shd w:fill="CCEEFF" w:val="clear"/>
            <w:vAlign w:val="center"/>
          </w:tcPr>
          <w:p>
            <w:pPr>
              <w:pStyle w:val="TableContents"/>
              <w:spacing w:before="0" w:after="283"/>
              <w:jc w:val="right"/>
              <w:rPr/>
            </w:pPr>
            <w:r>
              <w:rPr/>
              <w:t>11,000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976" w:type="dxa"/>
            <w:tcBorders/>
            <w:shd w:fill="CCEEFF" w:val="clear"/>
            <w:vAlign w:val="center"/>
          </w:tcPr>
          <w:p>
            <w:pPr>
              <w:pStyle w:val="TableContents"/>
              <w:spacing w:before="0" w:after="283"/>
              <w:jc w:val="right"/>
              <w:rPr/>
            </w:pPr>
            <w:r>
              <w:rPr/>
              <w:t>11,000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645" w:type="dxa"/>
            <w:tcBorders/>
            <w:shd w:fill="CCEEFF" w:val="clear"/>
            <w:vAlign w:val="center"/>
          </w:tcPr>
          <w:p>
            <w:pPr>
              <w:pStyle w:val="TableContents"/>
              <w:spacing w:before="0" w:after="283"/>
              <w:jc w:val="right"/>
              <w:rPr/>
            </w:pPr>
            <w:r>
              <w:rPr/>
              <w:t>22,000</w:t>
            </w:r>
          </w:p>
        </w:tc>
        <w:tc>
          <w:tcPr>
            <w:tcW w:w="75" w:type="dxa"/>
            <w:tcBorders/>
            <w:shd w:fill="CCEEFF" w:val="clear"/>
            <w:vAlign w:val="center"/>
          </w:tcPr>
          <w:p>
            <w:pPr>
              <w:pStyle w:val="TableContents"/>
              <w:spacing w:before="0" w:after="283"/>
              <w:rPr/>
            </w:pPr>
            <w:r>
              <w:rPr/>
              <w:t> </w:t>
            </w:r>
          </w:p>
        </w:tc>
      </w:tr>
      <w:tr>
        <w:trPr/>
        <w:tc>
          <w:tcPr>
            <w:tcW w:w="36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Sean E. Reilly</w:t>
              <w:br/>
            </w:r>
            <w:r>
              <w:rPr>
                <w:rFonts w:ascii="Times New Roman" w:hAnsi="Times New Roman"/>
                <w:i/>
                <w:sz w:val="20"/>
              </w:rPr>
              <w:t>Chief Executive Officer and President</w:t>
            </w:r>
          </w:p>
        </w:tc>
        <w:tc>
          <w:tcPr>
            <w:tcW w:w="120" w:type="dxa"/>
            <w:tcBorders/>
            <w:shd w:fill="auto" w:val="clear"/>
            <w:vAlign w:val="center"/>
          </w:tcPr>
          <w:p>
            <w:pPr>
              <w:pStyle w:val="TableContents"/>
              <w:spacing w:before="0" w:after="283"/>
              <w:rPr/>
            </w:pPr>
            <w:r>
              <w:rPr/>
              <w:t>  </w:t>
            </w:r>
          </w:p>
        </w:tc>
        <w:tc>
          <w:tcPr>
            <w:tcW w:w="168" w:type="dxa"/>
            <w:tcBorders/>
            <w:shd w:fill="auto" w:val="clear"/>
            <w:vAlign w:val="center"/>
          </w:tcPr>
          <w:p>
            <w:pPr>
              <w:pStyle w:val="TableContents"/>
              <w:spacing w:before="0" w:after="283"/>
              <w:rPr/>
            </w:pPr>
            <w:r>
              <w:rPr/>
              <w:t> </w:t>
            </w:r>
          </w:p>
        </w:tc>
        <w:tc>
          <w:tcPr>
            <w:tcW w:w="1907" w:type="dxa"/>
            <w:tcBorders/>
            <w:shd w:fill="auto" w:val="clear"/>
            <w:vAlign w:val="center"/>
          </w:tcPr>
          <w:p>
            <w:pPr>
              <w:pStyle w:val="TableContents"/>
              <w:spacing w:before="0" w:after="283"/>
              <w:jc w:val="right"/>
              <w:rPr/>
            </w:pPr>
            <w:r>
              <w:rPr/>
              <w:t>22,000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1976" w:type="dxa"/>
            <w:tcBorders/>
            <w:shd w:fill="auto" w:val="clear"/>
            <w:vAlign w:val="center"/>
          </w:tcPr>
          <w:p>
            <w:pPr>
              <w:pStyle w:val="TableContents"/>
              <w:spacing w:before="0" w:after="283"/>
              <w:jc w:val="right"/>
              <w:rPr/>
            </w:pPr>
            <w:r>
              <w:rPr/>
              <w:t>22,000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1645" w:type="dxa"/>
            <w:tcBorders/>
            <w:shd w:fill="auto" w:val="clear"/>
            <w:vAlign w:val="center"/>
          </w:tcPr>
          <w:p>
            <w:pPr>
              <w:pStyle w:val="TableContents"/>
              <w:spacing w:before="0" w:after="283"/>
              <w:jc w:val="right"/>
              <w:rPr/>
            </w:pPr>
            <w:r>
              <w:rPr/>
              <w:t>44,000</w:t>
            </w:r>
          </w:p>
        </w:tc>
        <w:tc>
          <w:tcPr>
            <w:tcW w:w="75" w:type="dxa"/>
            <w:tcBorders/>
            <w:shd w:fill="auto" w:val="clear"/>
            <w:vAlign w:val="center"/>
          </w:tcPr>
          <w:p>
            <w:pPr>
              <w:pStyle w:val="TableContents"/>
              <w:spacing w:before="0" w:after="283"/>
              <w:rPr/>
            </w:pPr>
            <w:r>
              <w:rPr/>
              <w:t> </w:t>
            </w:r>
          </w:p>
        </w:tc>
      </w:tr>
      <w:tr>
        <w:trPr/>
        <w:tc>
          <w:tcPr>
            <w:tcW w:w="363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Jay L. Johnson</w:t>
              <w:br/>
            </w:r>
            <w:r>
              <w:rPr>
                <w:rFonts w:ascii="Times New Roman" w:hAnsi="Times New Roman"/>
                <w:i/>
                <w:sz w:val="20"/>
              </w:rPr>
              <w:t>Executive Vice President, Chief Financial Officer and Treasurer</w:t>
            </w:r>
          </w:p>
        </w:tc>
        <w:tc>
          <w:tcPr>
            <w:tcW w:w="12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rPr/>
            </w:pPr>
            <w:r>
              <w:rPr/>
              <w:t> </w:t>
            </w:r>
          </w:p>
        </w:tc>
        <w:tc>
          <w:tcPr>
            <w:tcW w:w="1907" w:type="dxa"/>
            <w:tcBorders/>
            <w:shd w:fill="CCEEFF" w:val="clear"/>
            <w:vAlign w:val="center"/>
          </w:tcPr>
          <w:p>
            <w:pPr>
              <w:pStyle w:val="TableContents"/>
              <w:spacing w:before="0" w:after="283"/>
              <w:jc w:val="right"/>
              <w:rPr/>
            </w:pPr>
            <w:r>
              <w:rPr/>
              <w:t>11,000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74" w:type="dxa"/>
            <w:tcBorders/>
            <w:shd w:fill="CCEEFF" w:val="clear"/>
            <w:vAlign w:val="center"/>
          </w:tcPr>
          <w:p>
            <w:pPr>
              <w:pStyle w:val="TableContents"/>
              <w:spacing w:before="0" w:after="283"/>
              <w:rPr/>
            </w:pPr>
            <w:r>
              <w:rPr/>
              <w:t> </w:t>
            </w:r>
          </w:p>
        </w:tc>
        <w:tc>
          <w:tcPr>
            <w:tcW w:w="1976" w:type="dxa"/>
            <w:tcBorders/>
            <w:shd w:fill="CCEEFF" w:val="clear"/>
            <w:vAlign w:val="center"/>
          </w:tcPr>
          <w:p>
            <w:pPr>
              <w:pStyle w:val="TableContents"/>
              <w:spacing w:before="0" w:after="283"/>
              <w:jc w:val="right"/>
              <w:rPr/>
            </w:pPr>
            <w:r>
              <w:rPr/>
              <w:t>11,000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5" w:type="dxa"/>
            <w:tcBorders/>
            <w:shd w:fill="CCEEFF" w:val="clear"/>
            <w:vAlign w:val="center"/>
          </w:tcPr>
          <w:p>
            <w:pPr>
              <w:pStyle w:val="TableContents"/>
              <w:spacing w:before="0" w:after="283"/>
              <w:rPr/>
            </w:pPr>
            <w:r>
              <w:rPr/>
              <w:t> </w:t>
            </w:r>
          </w:p>
        </w:tc>
        <w:tc>
          <w:tcPr>
            <w:tcW w:w="1645" w:type="dxa"/>
            <w:tcBorders/>
            <w:shd w:fill="CCEEFF" w:val="clear"/>
            <w:vAlign w:val="center"/>
          </w:tcPr>
          <w:p>
            <w:pPr>
              <w:pStyle w:val="TableContents"/>
              <w:spacing w:before="0" w:after="283"/>
              <w:jc w:val="right"/>
              <w:rPr/>
            </w:pPr>
            <w:r>
              <w:rPr/>
              <w:t>22,000</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tables that follow set forth the level of pro forma net revenue and pro forma EBITDA growth required for fiscal 2022 over fiscal 2021 to achieve the stated percentage of target incentive awards for our named executive officers as set by the Compensation Committee in March 2022. These goals relate to achievement of both incentive cash and incentive equity awards, except that equity awards, in the form of LTIP Units, cannot exceed their target amount irrespective of goal achievement in excess of the 100% level.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2022 POTENTIAL INCENTIVE AWARDS </w:t>
      </w:r>
    </w:p>
    <w:p>
      <w:pPr>
        <w:pStyle w:val="TextBody"/>
        <w:spacing w:before="0" w:after="0"/>
        <w:jc w:val="center"/>
        <w:rPr>
          <w:rFonts w:ascii="Times New Roman" w:hAnsi="Times New Roman"/>
          <w:b/>
          <w:sz w:val="20"/>
        </w:rPr>
      </w:pPr>
      <w:r>
        <w:rPr>
          <w:rFonts w:ascii="Times New Roman" w:hAnsi="Times New Roman"/>
          <w:b/>
          <w:sz w:val="20"/>
        </w:rPr>
        <w:t xml:space="preserve">Pro Forma Net Revenue Growth(1) – 50%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5944870"/>
                <wp:effectExtent l="0" t="0" r="0" b="0"/>
                <wp:wrapSquare wrapText="largest"/>
                <wp:docPr id="1" name="Frame1"/>
                <a:graphic xmlns:a="http://schemas.openxmlformats.org/drawingml/2006/main">
                  <a:graphicData uri="http://schemas.microsoft.com/office/word/2010/wordprocessingShape">
                    <wps:wsp>
                      <wps:cNvSpPr txBox="1"/>
                      <wps:spPr>
                        <a:xfrm>
                          <a:off x="0" y="0"/>
                          <a:ext cx="3110230" cy="5944870"/>
                        </a:xfrm>
                        <a:prstGeom prst="rect"/>
                      </wps:spPr>
                      <wps:txbx>
                        <w:txbxContent>
                          <w:tbl>
                            <w:tblPr>
                              <w:tblW w:w="5325" w:type="dxa"/>
                              <w:jc w:val="left"/>
                              <w:tblInd w:w="0" w:type="dxa"/>
                              <w:tblCellMar>
                                <w:top w:w="0" w:type="dxa"/>
                                <w:left w:w="0" w:type="dxa"/>
                                <w:bottom w:w="0" w:type="dxa"/>
                                <w:right w:w="0" w:type="dxa"/>
                              </w:tblCellMar>
                            </w:tblPr>
                            <w:tblGrid>
                              <w:gridCol w:w="2645"/>
                              <w:gridCol w:w="120"/>
                              <w:gridCol w:w="293"/>
                              <w:gridCol w:w="1857"/>
                              <w:gridCol w:w="410"/>
                            </w:tblGrid>
                            <w:tr>
                              <w:trPr/>
                              <w:tc>
                                <w:tcPr>
                                  <w:tcW w:w="26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857"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4915" w:type="dxa"/>
                                  <w:gridSpan w:val="4"/>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Incentive Cash Bonus</w:t>
                                  </w:r>
                                </w:p>
                              </w:tc>
                              <w:tc>
                                <w:tcPr>
                                  <w:tcW w:w="41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Pro Forma</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Net Revenue Growth</w:t>
                                  </w:r>
                                </w:p>
                              </w:tc>
                              <w:tc>
                                <w:tcPr>
                                  <w:tcW w:w="120" w:type="dxa"/>
                                  <w:tcBorders/>
                                  <w:shd w:fill="auto" w:val="clear"/>
                                  <w:vAlign w:val="center"/>
                                </w:tcPr>
                                <w:p>
                                  <w:pPr>
                                    <w:pStyle w:val="TableContents"/>
                                    <w:spacing w:before="0" w:after="283"/>
                                    <w:rPr/>
                                  </w:pPr>
                                  <w:r>
                                    <w:rPr/>
                                    <w:t>  </w:t>
                                  </w:r>
                                </w:p>
                              </w:tc>
                              <w:tc>
                                <w:tcPr>
                                  <w:tcW w:w="215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Percentage of Target</w:t>
                                  </w:r>
                                  <w:r>
                                    <w:rPr/>
                                    <w:br/>
                                  </w:r>
                                  <w:r>
                                    <w:rPr>
                                      <w:b/>
                                    </w:rPr>
                                    <w:t>Bonus Earned</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Less than 6.0%</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6.0% but less than 6.2%</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65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6.2% but less than 6.4%</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70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6.4% but less than 6.6%</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75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6.6% but less than 6.8%</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80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6.8% but less than 7.0%</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85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7.0% but less than 7.2%</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90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7.2% but less than 7.4%</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95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7.4% but less than 8.0%</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100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8.0% but less than 8.5%</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125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8.5% but less than 9.0%</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150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9.0% but less than 9.5%</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175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9.5% or greater</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200</w:t>
                                  </w:r>
                                </w:p>
                              </w:tc>
                              <w:tc>
                                <w:tcPr>
                                  <w:tcW w:w="410" w:type="dxa"/>
                                  <w:tcBorders/>
                                  <w:shd w:fill="CCEEFF" w:val="clear"/>
                                  <w:vAlign w:val="center"/>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8.1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325" w:type="dxa"/>
                        <w:jc w:val="left"/>
                        <w:tblInd w:w="0" w:type="dxa"/>
                        <w:tblCellMar>
                          <w:top w:w="0" w:type="dxa"/>
                          <w:left w:w="0" w:type="dxa"/>
                          <w:bottom w:w="0" w:type="dxa"/>
                          <w:right w:w="0" w:type="dxa"/>
                        </w:tblCellMar>
                      </w:tblPr>
                      <w:tblGrid>
                        <w:gridCol w:w="2645"/>
                        <w:gridCol w:w="120"/>
                        <w:gridCol w:w="293"/>
                        <w:gridCol w:w="1857"/>
                        <w:gridCol w:w="410"/>
                      </w:tblGrid>
                      <w:tr>
                        <w:trPr/>
                        <w:tc>
                          <w:tcPr>
                            <w:tcW w:w="26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857"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4915" w:type="dxa"/>
                            <w:gridSpan w:val="4"/>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Incentive Cash Bonus</w:t>
                            </w:r>
                          </w:p>
                        </w:tc>
                        <w:tc>
                          <w:tcPr>
                            <w:tcW w:w="41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Pro Forma</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Net Revenue Growth</w:t>
                            </w:r>
                          </w:p>
                        </w:tc>
                        <w:tc>
                          <w:tcPr>
                            <w:tcW w:w="120" w:type="dxa"/>
                            <w:tcBorders/>
                            <w:shd w:fill="auto" w:val="clear"/>
                            <w:vAlign w:val="center"/>
                          </w:tcPr>
                          <w:p>
                            <w:pPr>
                              <w:pStyle w:val="TableContents"/>
                              <w:spacing w:before="0" w:after="283"/>
                              <w:rPr/>
                            </w:pPr>
                            <w:r>
                              <w:rPr/>
                              <w:t>  </w:t>
                            </w:r>
                          </w:p>
                        </w:tc>
                        <w:tc>
                          <w:tcPr>
                            <w:tcW w:w="215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Percentage of Target</w:t>
                            </w:r>
                            <w:r>
                              <w:rPr/>
                              <w:br/>
                            </w:r>
                            <w:r>
                              <w:rPr>
                                <w:b/>
                              </w:rPr>
                              <w:t>Bonus Earned</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Less than 6.0%</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6.0% but less than 6.2%</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65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6.2% but less than 6.4%</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70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6.4% but less than 6.6%</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75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6.6% but less than 6.8%</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80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6.8% but less than 7.0%</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85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7.0% but less than 7.2%</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90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7.2% but less than 7.4%</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95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7.4% but less than 8.0%</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100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8.0% but less than 8.5%</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125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8.5% but less than 9.0%</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150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9.0% but less than 9.5%</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175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9.5% or greater</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200</w:t>
                            </w:r>
                          </w:p>
                        </w:tc>
                        <w:tc>
                          <w:tcPr>
                            <w:tcW w:w="410" w:type="dxa"/>
                            <w:tcBorders/>
                            <w:shd w:fill="CCEEFF" w:val="clear"/>
                            <w:vAlign w:val="center"/>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175000" cy="4525010"/>
                <wp:effectExtent l="0" t="0" r="0" b="0"/>
                <wp:wrapSquare wrapText="largest"/>
                <wp:docPr id="2" name="Frame2"/>
                <a:graphic xmlns:a="http://schemas.openxmlformats.org/drawingml/2006/main">
                  <a:graphicData uri="http://schemas.microsoft.com/office/word/2010/wordprocessingShape">
                    <wps:wsp>
                      <wps:cNvSpPr txBox="1"/>
                      <wps:spPr>
                        <a:xfrm>
                          <a:off x="0" y="0"/>
                          <a:ext cx="3175000" cy="4525010"/>
                        </a:xfrm>
                        <a:prstGeom prst="rect"/>
                      </wps:spPr>
                      <wps:txbx>
                        <w:txbxContent>
                          <w:tbl>
                            <w:tblPr>
                              <w:tblW w:w="5325" w:type="dxa"/>
                              <w:jc w:val="left"/>
                              <w:tblInd w:w="0" w:type="dxa"/>
                              <w:tblCellMar>
                                <w:top w:w="0" w:type="dxa"/>
                                <w:left w:w="0" w:type="dxa"/>
                                <w:bottom w:w="0" w:type="dxa"/>
                                <w:right w:w="0" w:type="dxa"/>
                              </w:tblCellMar>
                            </w:tblPr>
                            <w:tblGrid>
                              <w:gridCol w:w="2645"/>
                              <w:gridCol w:w="120"/>
                              <w:gridCol w:w="293"/>
                              <w:gridCol w:w="1857"/>
                              <w:gridCol w:w="410"/>
                            </w:tblGrid>
                            <w:tr>
                              <w:trPr/>
                              <w:tc>
                                <w:tcPr>
                                  <w:tcW w:w="26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857"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4915" w:type="dxa"/>
                                  <w:gridSpan w:val="4"/>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Incentive Equity Award</w:t>
                                  </w:r>
                                </w:p>
                              </w:tc>
                              <w:tc>
                                <w:tcPr>
                                  <w:tcW w:w="41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Pro Forma</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Net Revenue Growth</w:t>
                                  </w:r>
                                </w:p>
                              </w:tc>
                              <w:tc>
                                <w:tcPr>
                                  <w:tcW w:w="120" w:type="dxa"/>
                                  <w:tcBorders/>
                                  <w:shd w:fill="auto" w:val="clear"/>
                                  <w:vAlign w:val="center"/>
                                </w:tcPr>
                                <w:p>
                                  <w:pPr>
                                    <w:pStyle w:val="TableContents"/>
                                    <w:spacing w:before="0" w:after="283"/>
                                    <w:rPr/>
                                  </w:pPr>
                                  <w:r>
                                    <w:rPr/>
                                    <w:t>  </w:t>
                                  </w:r>
                                </w:p>
                              </w:tc>
                              <w:tc>
                                <w:tcPr>
                                  <w:tcW w:w="215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Percentage of Target</w:t>
                                  </w:r>
                                  <w:r>
                                    <w:rPr/>
                                    <w:br/>
                                  </w:r>
                                  <w:r>
                                    <w:rPr>
                                      <w:b/>
                                    </w:rPr>
                                    <w:t>Bonus Earned</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Less than 6.0%</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6.0% but less than 6.2%</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65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6.2% but less than 6.4%</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70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6.4% but less than 6.6%</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75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6.6% but less than 6.8%</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80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6.8% but less than 7.0%</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85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7.0% but less than 7.2%</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90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7.2% but less than 7.4%</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95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7.4% or greater</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100</w:t>
                                  </w:r>
                                </w:p>
                              </w:tc>
                              <w:tc>
                                <w:tcPr>
                                  <w:tcW w:w="410" w:type="dxa"/>
                                  <w:tcBorders/>
                                  <w:shd w:fill="CCEEFF" w:val="clear"/>
                                  <w:vAlign w:val="center"/>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56.3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325" w:type="dxa"/>
                        <w:jc w:val="left"/>
                        <w:tblInd w:w="0" w:type="dxa"/>
                        <w:tblCellMar>
                          <w:top w:w="0" w:type="dxa"/>
                          <w:left w:w="0" w:type="dxa"/>
                          <w:bottom w:w="0" w:type="dxa"/>
                          <w:right w:w="0" w:type="dxa"/>
                        </w:tblCellMar>
                      </w:tblPr>
                      <w:tblGrid>
                        <w:gridCol w:w="2645"/>
                        <w:gridCol w:w="120"/>
                        <w:gridCol w:w="293"/>
                        <w:gridCol w:w="1857"/>
                        <w:gridCol w:w="410"/>
                      </w:tblGrid>
                      <w:tr>
                        <w:trPr/>
                        <w:tc>
                          <w:tcPr>
                            <w:tcW w:w="26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857"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4915" w:type="dxa"/>
                            <w:gridSpan w:val="4"/>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Incentive Equity Award</w:t>
                            </w:r>
                          </w:p>
                        </w:tc>
                        <w:tc>
                          <w:tcPr>
                            <w:tcW w:w="41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Pro Forma</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Net Revenue Growth</w:t>
                            </w:r>
                          </w:p>
                        </w:tc>
                        <w:tc>
                          <w:tcPr>
                            <w:tcW w:w="120" w:type="dxa"/>
                            <w:tcBorders/>
                            <w:shd w:fill="auto" w:val="clear"/>
                            <w:vAlign w:val="center"/>
                          </w:tcPr>
                          <w:p>
                            <w:pPr>
                              <w:pStyle w:val="TableContents"/>
                              <w:spacing w:before="0" w:after="283"/>
                              <w:rPr/>
                            </w:pPr>
                            <w:r>
                              <w:rPr/>
                              <w:t>  </w:t>
                            </w:r>
                          </w:p>
                        </w:tc>
                        <w:tc>
                          <w:tcPr>
                            <w:tcW w:w="215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Percentage of Target</w:t>
                            </w:r>
                            <w:r>
                              <w:rPr/>
                              <w:br/>
                            </w:r>
                            <w:r>
                              <w:rPr>
                                <w:b/>
                              </w:rPr>
                              <w:t>Bonus Earned</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Less than 6.0%</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6.0% but less than 6.2%</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65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6.2% but less than 6.4%</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70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6.4% but less than 6.6%</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75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6.6% but less than 6.8%</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80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6.8% but less than 7.0%</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85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7.0% but less than 7.2%</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90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7.2% but less than 7.4%</w:t>
                            </w:r>
                          </w:p>
                        </w:tc>
                        <w:tc>
                          <w:tcPr>
                            <w:tcW w:w="120" w:type="dxa"/>
                            <w:tcBorders/>
                            <w:shd w:fill="auto" w:val="clear"/>
                            <w:vAlign w:val="center"/>
                          </w:tcPr>
                          <w:p>
                            <w:pPr>
                              <w:pStyle w:val="TableContents"/>
                              <w:spacing w:before="0" w:after="283"/>
                              <w:rPr/>
                            </w:pPr>
                            <w:r>
                              <w:rPr/>
                              <w:t>  </w:t>
                            </w:r>
                          </w:p>
                        </w:tc>
                        <w:tc>
                          <w:tcPr>
                            <w:tcW w:w="293" w:type="dxa"/>
                            <w:tcBorders/>
                            <w:shd w:fill="auto" w:val="clear"/>
                            <w:vAlign w:val="center"/>
                          </w:tcPr>
                          <w:p>
                            <w:pPr>
                              <w:pStyle w:val="TableContents"/>
                              <w:spacing w:before="0" w:after="283"/>
                              <w:rPr/>
                            </w:pPr>
                            <w:r>
                              <w:rPr/>
                              <w:t> </w:t>
                            </w:r>
                          </w:p>
                        </w:tc>
                        <w:tc>
                          <w:tcPr>
                            <w:tcW w:w="1857" w:type="dxa"/>
                            <w:tcBorders/>
                            <w:shd w:fill="auto" w:val="clear"/>
                            <w:vAlign w:val="center"/>
                          </w:tcPr>
                          <w:p>
                            <w:pPr>
                              <w:pStyle w:val="TableContents"/>
                              <w:spacing w:before="0" w:after="283"/>
                              <w:jc w:val="right"/>
                              <w:rPr/>
                            </w:pPr>
                            <w:r>
                              <w:rPr/>
                              <w:t>95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7.4% or greater</w:t>
                            </w:r>
                          </w:p>
                        </w:tc>
                        <w:tc>
                          <w:tcPr>
                            <w:tcW w:w="120" w:type="dxa"/>
                            <w:tcBorders/>
                            <w:shd w:fill="CCEEFF" w:val="clear"/>
                            <w:vAlign w:val="center"/>
                          </w:tcPr>
                          <w:p>
                            <w:pPr>
                              <w:pStyle w:val="TableContents"/>
                              <w:spacing w:before="0" w:after="283"/>
                              <w:rPr/>
                            </w:pPr>
                            <w:r>
                              <w:rPr/>
                              <w:t>  </w:t>
                            </w:r>
                          </w:p>
                        </w:tc>
                        <w:tc>
                          <w:tcPr>
                            <w:tcW w:w="293" w:type="dxa"/>
                            <w:tcBorders/>
                            <w:shd w:fill="CCEEFF" w:val="clear"/>
                            <w:vAlign w:val="center"/>
                          </w:tcPr>
                          <w:p>
                            <w:pPr>
                              <w:pStyle w:val="TableContents"/>
                              <w:spacing w:before="0" w:after="283"/>
                              <w:rPr/>
                            </w:pPr>
                            <w:r>
                              <w:rPr/>
                              <w:t> </w:t>
                            </w:r>
                          </w:p>
                        </w:tc>
                        <w:tc>
                          <w:tcPr>
                            <w:tcW w:w="1857" w:type="dxa"/>
                            <w:tcBorders/>
                            <w:shd w:fill="CCEEFF" w:val="clear"/>
                            <w:vAlign w:val="center"/>
                          </w:tcPr>
                          <w:p>
                            <w:pPr>
                              <w:pStyle w:val="TableContents"/>
                              <w:spacing w:before="0" w:after="283"/>
                              <w:jc w:val="right"/>
                              <w:rPr/>
                            </w:pPr>
                            <w:r>
                              <w:rPr/>
                              <w:t>100</w:t>
                            </w:r>
                          </w:p>
                        </w:tc>
                        <w:tc>
                          <w:tcPr>
                            <w:tcW w:w="410" w:type="dxa"/>
                            <w:tcBorders/>
                            <w:shd w:fill="CCEEFF" w:val="clear"/>
                            <w:vAlign w:val="center"/>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6520" w:type="dxa"/>
        <w:jc w:val="left"/>
        <w:tblInd w:w="0" w:type="dxa"/>
        <w:tblCellMar>
          <w:top w:w="0" w:type="dxa"/>
          <w:left w:w="0" w:type="dxa"/>
          <w:bottom w:w="0" w:type="dxa"/>
          <w:right w:w="0" w:type="dxa"/>
        </w:tblCellMar>
      </w:tblPr>
      <w:tblGrid>
        <w:gridCol w:w="155"/>
        <w:gridCol w:w="6365"/>
      </w:tblGrid>
      <w:tr>
        <w:trPr/>
        <w:tc>
          <w:tcPr>
            <w:tcW w:w="155" w:type="dxa"/>
            <w:tcBorders/>
            <w:shd w:fill="auto" w:val="clear"/>
            <w:vAlign w:val="center"/>
          </w:tcPr>
          <w:p>
            <w:pPr>
              <w:pStyle w:val="TableContents"/>
              <w:spacing w:before="0" w:after="283"/>
              <w:jc w:val="left"/>
              <w:rPr/>
            </w:pPr>
            <w:r>
              <w:rPr/>
              <w:t>*</w:t>
            </w:r>
          </w:p>
        </w:tc>
        <w:tc>
          <w:tcPr>
            <w:tcW w:w="63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Denotes goal achieved for 2022 as certified by the Compensation Committee. </w:t>
            </w:r>
          </w:p>
        </w:tc>
      </w:tr>
    </w:tbl>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pPr>
            <w:r>
              <w:rPr/>
              <w:t>(1)</w:t>
            </w:r>
          </w:p>
        </w:tc>
        <w:tc>
          <w:tcPr>
            <w:tcW w:w="994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 forma net revenue growth is based on the Company’s net revenue growth in 2022 over 2021 based on actual 2022 net revenue versus 2021 net revenue, as adjusted to reflect acquisitions and divestitures for the same time frame as actually owned in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2022 POTENTIAL INCENTIVE AWARDS </w:t>
      </w:r>
    </w:p>
    <w:p>
      <w:pPr>
        <w:pStyle w:val="TextBody"/>
        <w:spacing w:before="0" w:after="0"/>
        <w:jc w:val="center"/>
        <w:rPr>
          <w:rFonts w:ascii="Times New Roman" w:hAnsi="Times New Roman"/>
          <w:b/>
          <w:sz w:val="20"/>
        </w:rPr>
      </w:pPr>
      <w:r>
        <w:rPr>
          <w:rFonts w:ascii="Times New Roman" w:hAnsi="Times New Roman"/>
          <w:b/>
          <w:sz w:val="20"/>
        </w:rPr>
        <w:t xml:space="preserve">Pro Forma EBITDA Growth(1) – 50% </w:t>
      </w:r>
    </w:p>
    <w:p>
      <w:pPr>
        <w:pStyle w:val="TextBody"/>
        <w:spacing w:before="0" w:after="0"/>
        <w:jc w:val="left"/>
        <w:rPr/>
      </w:pPr>
      <w:r>
        <w:rPr/>
        <w:t> </w:t>
      </w:r>
    </w:p>
    <w:p>
      <w:pPr>
        <w:pStyle w:val="TextBody"/>
        <w:jc w:val="left"/>
        <w:rPr/>
      </w:pPr>
      <w:r>
        <w:rPr/>
        <w:t>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3110230" cy="6120130"/>
                <wp:effectExtent l="0" t="0" r="0" b="0"/>
                <wp:wrapSquare wrapText="largest"/>
                <wp:docPr id="3" name="Frame3"/>
                <a:graphic xmlns:a="http://schemas.openxmlformats.org/drawingml/2006/main">
                  <a:graphicData uri="http://schemas.microsoft.com/office/word/2010/wordprocessingShape">
                    <wps:wsp>
                      <wps:cNvSpPr txBox="1"/>
                      <wps:spPr>
                        <a:xfrm>
                          <a:off x="0" y="0"/>
                          <a:ext cx="3110230" cy="6120130"/>
                        </a:xfrm>
                        <a:prstGeom prst="rect"/>
                      </wps:spPr>
                      <wps:txbx>
                        <w:txbxContent>
                          <w:tbl>
                            <w:tblPr>
                              <w:tblW w:w="4770" w:type="dxa"/>
                              <w:jc w:val="left"/>
                              <w:tblInd w:w="0" w:type="dxa"/>
                              <w:tblCellMar>
                                <w:top w:w="0" w:type="dxa"/>
                                <w:left w:w="0" w:type="dxa"/>
                                <w:bottom w:w="0" w:type="dxa"/>
                                <w:right w:w="0" w:type="dxa"/>
                              </w:tblCellMar>
                            </w:tblPr>
                            <w:tblGrid>
                              <w:gridCol w:w="2750"/>
                              <w:gridCol w:w="120"/>
                              <w:gridCol w:w="203"/>
                              <w:gridCol w:w="1287"/>
                              <w:gridCol w:w="410"/>
                            </w:tblGrid>
                            <w:tr>
                              <w:trPr/>
                              <w:tc>
                                <w:tcPr>
                                  <w:tcW w:w="27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4360" w:type="dxa"/>
                                  <w:gridSpan w:val="4"/>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Incentive Cash Bonus</w:t>
                                  </w:r>
                                </w:p>
                              </w:tc>
                              <w:tc>
                                <w:tcPr>
                                  <w:tcW w:w="410" w:type="dxa"/>
                                  <w:tcBorders/>
                                  <w:shd w:fill="auto"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Pro Forma</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EBITDA Growth</w:t>
                                  </w:r>
                                </w:p>
                              </w:tc>
                              <w:tc>
                                <w:tcPr>
                                  <w:tcW w:w="12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Percentage of</w:t>
                                  </w:r>
                                  <w:r>
                                    <w:rPr/>
                                    <w:br/>
                                  </w:r>
                                  <w:r>
                                    <w:rPr>
                                      <w:b/>
                                    </w:rPr>
                                    <w:t>Target</w:t>
                                  </w:r>
                                  <w:r>
                                    <w:rPr/>
                                    <w:br/>
                                  </w:r>
                                  <w:r>
                                    <w:rPr>
                                      <w:b/>
                                    </w:rPr>
                                    <w:t>Bonus Earned</w:t>
                                  </w:r>
                                </w:p>
                              </w:tc>
                              <w:tc>
                                <w:tcPr>
                                  <w:tcW w:w="4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Less than 6.6%</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0</w:t>
                                  </w:r>
                                </w:p>
                              </w:tc>
                              <w:tc>
                                <w:tcPr>
                                  <w:tcW w:w="41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6.6% but less than 6.8%</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65</w:t>
                                  </w:r>
                                </w:p>
                              </w:tc>
                              <w:tc>
                                <w:tcPr>
                                  <w:tcW w:w="4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6.8% but less than 7.0%</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70</w:t>
                                  </w:r>
                                </w:p>
                              </w:tc>
                              <w:tc>
                                <w:tcPr>
                                  <w:tcW w:w="41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7.0% but less than 7.2%</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75</w:t>
                                  </w:r>
                                </w:p>
                              </w:tc>
                              <w:tc>
                                <w:tcPr>
                                  <w:tcW w:w="4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7.2% but less than 7.4%</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80</w:t>
                                  </w:r>
                                </w:p>
                              </w:tc>
                              <w:tc>
                                <w:tcPr>
                                  <w:tcW w:w="41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7.4% but less than 7.6%</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85</w:t>
                                  </w:r>
                                </w:p>
                              </w:tc>
                              <w:tc>
                                <w:tcPr>
                                  <w:tcW w:w="4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7.6% but less than 7.8%</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90</w:t>
                                  </w:r>
                                </w:p>
                              </w:tc>
                              <w:tc>
                                <w:tcPr>
                                  <w:tcW w:w="41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7.8% but less than 8.0%</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95</w:t>
                                  </w:r>
                                </w:p>
                              </w:tc>
                              <w:tc>
                                <w:tcPr>
                                  <w:tcW w:w="4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8.0% but less than 8.5%</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100</w:t>
                                  </w:r>
                                </w:p>
                              </w:tc>
                              <w:tc>
                                <w:tcPr>
                                  <w:tcW w:w="41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8.5% but less than 9.0%</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125</w:t>
                                  </w:r>
                                </w:p>
                              </w:tc>
                              <w:tc>
                                <w:tcPr>
                                  <w:tcW w:w="4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9.0% but less than 9.5%</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150</w:t>
                                  </w:r>
                                </w:p>
                              </w:tc>
                              <w:tc>
                                <w:tcPr>
                                  <w:tcW w:w="41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9.5% but less than 10.0%</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175</w:t>
                                  </w:r>
                                </w:p>
                              </w:tc>
                              <w:tc>
                                <w:tcPr>
                                  <w:tcW w:w="4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10.0% or greater</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200</w:t>
                                  </w:r>
                                </w:p>
                              </w:tc>
                              <w:tc>
                                <w:tcPr>
                                  <w:tcW w:w="410" w:type="dxa"/>
                                  <w:tcBorders/>
                                  <w:shd w:fill="CCEEFF" w:val="clear"/>
                                  <w:vAlign w:val="center"/>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1.9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770" w:type="dxa"/>
                        <w:jc w:val="left"/>
                        <w:tblInd w:w="0" w:type="dxa"/>
                        <w:tblCellMar>
                          <w:top w:w="0" w:type="dxa"/>
                          <w:left w:w="0" w:type="dxa"/>
                          <w:bottom w:w="0" w:type="dxa"/>
                          <w:right w:w="0" w:type="dxa"/>
                        </w:tblCellMar>
                      </w:tblPr>
                      <w:tblGrid>
                        <w:gridCol w:w="2750"/>
                        <w:gridCol w:w="120"/>
                        <w:gridCol w:w="203"/>
                        <w:gridCol w:w="1287"/>
                        <w:gridCol w:w="410"/>
                      </w:tblGrid>
                      <w:tr>
                        <w:trPr/>
                        <w:tc>
                          <w:tcPr>
                            <w:tcW w:w="27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4360" w:type="dxa"/>
                            <w:gridSpan w:val="4"/>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Incentive Cash Bonus</w:t>
                            </w:r>
                          </w:p>
                        </w:tc>
                        <w:tc>
                          <w:tcPr>
                            <w:tcW w:w="410" w:type="dxa"/>
                            <w:tcBorders/>
                            <w:shd w:fill="auto"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Pro Forma</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EBITDA Growth</w:t>
                            </w:r>
                          </w:p>
                        </w:tc>
                        <w:tc>
                          <w:tcPr>
                            <w:tcW w:w="12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Percentage of</w:t>
                            </w:r>
                            <w:r>
                              <w:rPr/>
                              <w:br/>
                            </w:r>
                            <w:r>
                              <w:rPr>
                                <w:b/>
                              </w:rPr>
                              <w:t>Target</w:t>
                            </w:r>
                            <w:r>
                              <w:rPr/>
                              <w:br/>
                            </w:r>
                            <w:r>
                              <w:rPr>
                                <w:b/>
                              </w:rPr>
                              <w:t>Bonus Earned</w:t>
                            </w:r>
                          </w:p>
                        </w:tc>
                        <w:tc>
                          <w:tcPr>
                            <w:tcW w:w="4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Less than 6.6%</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0</w:t>
                            </w:r>
                          </w:p>
                        </w:tc>
                        <w:tc>
                          <w:tcPr>
                            <w:tcW w:w="41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6.6% but less than 6.8%</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65</w:t>
                            </w:r>
                          </w:p>
                        </w:tc>
                        <w:tc>
                          <w:tcPr>
                            <w:tcW w:w="4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6.8% but less than 7.0%</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70</w:t>
                            </w:r>
                          </w:p>
                        </w:tc>
                        <w:tc>
                          <w:tcPr>
                            <w:tcW w:w="41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7.0% but less than 7.2%</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75</w:t>
                            </w:r>
                          </w:p>
                        </w:tc>
                        <w:tc>
                          <w:tcPr>
                            <w:tcW w:w="4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7.2% but less than 7.4%</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80</w:t>
                            </w:r>
                          </w:p>
                        </w:tc>
                        <w:tc>
                          <w:tcPr>
                            <w:tcW w:w="41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7.4% but less than 7.6%</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85</w:t>
                            </w:r>
                          </w:p>
                        </w:tc>
                        <w:tc>
                          <w:tcPr>
                            <w:tcW w:w="4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7.6% but less than 7.8%</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90</w:t>
                            </w:r>
                          </w:p>
                        </w:tc>
                        <w:tc>
                          <w:tcPr>
                            <w:tcW w:w="41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7.8% but less than 8.0%</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95</w:t>
                            </w:r>
                          </w:p>
                        </w:tc>
                        <w:tc>
                          <w:tcPr>
                            <w:tcW w:w="4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8.0% but less than 8.5%</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100</w:t>
                            </w:r>
                          </w:p>
                        </w:tc>
                        <w:tc>
                          <w:tcPr>
                            <w:tcW w:w="41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8.5% but less than 9.0%</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125</w:t>
                            </w:r>
                          </w:p>
                        </w:tc>
                        <w:tc>
                          <w:tcPr>
                            <w:tcW w:w="4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9.0% but less than 9.5%</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150</w:t>
                            </w:r>
                          </w:p>
                        </w:tc>
                        <w:tc>
                          <w:tcPr>
                            <w:tcW w:w="410" w:type="dxa"/>
                            <w:tcBorders/>
                            <w:shd w:fill="CCEEFF"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9.5% but less than 10.0%</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175</w:t>
                            </w:r>
                          </w:p>
                        </w:tc>
                        <w:tc>
                          <w:tcPr>
                            <w:tcW w:w="410" w:type="dxa"/>
                            <w:tcBorders/>
                            <w:shd w:fill="auto" w:val="clear"/>
                            <w:vAlign w:val="center"/>
                          </w:tcPr>
                          <w:p>
                            <w:pPr>
                              <w:pStyle w:val="TableContents"/>
                              <w:spacing w:before="0" w:after="283"/>
                              <w:rPr/>
                            </w:pPr>
                            <w:r>
                              <w:rPr/>
                              <w:t>% </w:t>
                            </w:r>
                          </w:p>
                        </w:tc>
                      </w:tr>
                      <w:tr>
                        <w:trPr/>
                        <w:tc>
                          <w:tcPr>
                            <w:tcW w:w="27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10.0% or greater</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200</w:t>
                            </w:r>
                          </w:p>
                        </w:tc>
                        <w:tc>
                          <w:tcPr>
                            <w:tcW w:w="410" w:type="dxa"/>
                            <w:tcBorders/>
                            <w:shd w:fill="CCEEFF" w:val="clear"/>
                            <w:vAlign w:val="center"/>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3175000" cy="4700270"/>
                <wp:effectExtent l="0" t="0" r="0" b="0"/>
                <wp:wrapSquare wrapText="largest"/>
                <wp:docPr id="4" name="Frame4"/>
                <a:graphic xmlns:a="http://schemas.openxmlformats.org/drawingml/2006/main">
                  <a:graphicData uri="http://schemas.microsoft.com/office/word/2010/wordprocessingShape">
                    <wps:wsp>
                      <wps:cNvSpPr txBox="1"/>
                      <wps:spPr>
                        <a:xfrm>
                          <a:off x="0" y="0"/>
                          <a:ext cx="3175000" cy="4700270"/>
                        </a:xfrm>
                        <a:prstGeom prst="rect"/>
                      </wps:spPr>
                      <wps:txbx>
                        <w:txbxContent>
                          <w:tbl>
                            <w:tblPr>
                              <w:tblW w:w="4665" w:type="dxa"/>
                              <w:jc w:val="left"/>
                              <w:tblInd w:w="0" w:type="dxa"/>
                              <w:tblCellMar>
                                <w:top w:w="0" w:type="dxa"/>
                                <w:left w:w="0" w:type="dxa"/>
                                <w:bottom w:w="0" w:type="dxa"/>
                                <w:right w:w="0" w:type="dxa"/>
                              </w:tblCellMar>
                            </w:tblPr>
                            <w:tblGrid>
                              <w:gridCol w:w="2645"/>
                              <w:gridCol w:w="120"/>
                              <w:gridCol w:w="203"/>
                              <w:gridCol w:w="1287"/>
                              <w:gridCol w:w="410"/>
                            </w:tblGrid>
                            <w:tr>
                              <w:trPr/>
                              <w:tc>
                                <w:tcPr>
                                  <w:tcW w:w="26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4255" w:type="dxa"/>
                                  <w:gridSpan w:val="4"/>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Incentive Equity Award</w:t>
                                  </w:r>
                                </w:p>
                              </w:tc>
                              <w:tc>
                                <w:tcPr>
                                  <w:tcW w:w="41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Pro Forma</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EBITDA Growth</w:t>
                                  </w:r>
                                </w:p>
                              </w:tc>
                              <w:tc>
                                <w:tcPr>
                                  <w:tcW w:w="12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Percentage of</w:t>
                                  </w:r>
                                  <w:r>
                                    <w:rPr/>
                                    <w:br/>
                                  </w:r>
                                  <w:r>
                                    <w:rPr>
                                      <w:b/>
                                    </w:rPr>
                                    <w:t>Target</w:t>
                                  </w:r>
                                  <w:r>
                                    <w:rPr/>
                                    <w:br/>
                                  </w:r>
                                  <w:r>
                                    <w:rPr>
                                      <w:b/>
                                    </w:rPr>
                                    <w:t>Bonus Earned</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Less than 6.6%</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6.6% but less than 6.8%</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65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6.8% but less than 7.0%</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70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7.0% but less than 7.2%</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75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7.2% but less than 7.4%</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80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7.4% but less than 7.6%</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85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7.6% but less than 7.8%</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90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7.8% but less than 8.0%</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95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8.0% or greater</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100</w:t>
                                  </w:r>
                                </w:p>
                              </w:tc>
                              <w:tc>
                                <w:tcPr>
                                  <w:tcW w:w="410" w:type="dxa"/>
                                  <w:tcBorders/>
                                  <w:shd w:fill="CCEEFF" w:val="clear"/>
                                  <w:vAlign w:val="center"/>
                                </w:tcPr>
                                <w:p>
                                  <w:pPr>
                                    <w:pStyle w:val="TableContents"/>
                                    <w:spacing w:before="0" w:after="283"/>
                                    <w:rPr/>
                                  </w:pPr>
                                  <w:r>
                                    <w:rPr/>
                                    <w:t>%* </w:t>
                                  </w:r>
                                </w:p>
                              </w:tc>
                            </w:tr>
                          </w:tbl>
                          <w:p>
                            <w:pPr>
                              <w:pStyle w:val="TextBody"/>
                              <w:spacing w:before="0" w:after="283"/>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70.1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4665" w:type="dxa"/>
                        <w:jc w:val="left"/>
                        <w:tblInd w:w="0" w:type="dxa"/>
                        <w:tblCellMar>
                          <w:top w:w="0" w:type="dxa"/>
                          <w:left w:w="0" w:type="dxa"/>
                          <w:bottom w:w="0" w:type="dxa"/>
                          <w:right w:w="0" w:type="dxa"/>
                        </w:tblCellMar>
                      </w:tblPr>
                      <w:tblGrid>
                        <w:gridCol w:w="2645"/>
                        <w:gridCol w:w="120"/>
                        <w:gridCol w:w="203"/>
                        <w:gridCol w:w="1287"/>
                        <w:gridCol w:w="410"/>
                      </w:tblGrid>
                      <w:tr>
                        <w:trPr/>
                        <w:tc>
                          <w:tcPr>
                            <w:tcW w:w="26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4255" w:type="dxa"/>
                            <w:gridSpan w:val="4"/>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Incentive Equity Award</w:t>
                            </w:r>
                          </w:p>
                        </w:tc>
                        <w:tc>
                          <w:tcPr>
                            <w:tcW w:w="410" w:type="dxa"/>
                            <w:tcBorders/>
                            <w:shd w:fill="auto"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b/>
                                <w:sz w:val="16"/>
                              </w:rPr>
                            </w:pPr>
                            <w:r>
                              <w:rPr>
                                <w:rFonts w:ascii="Times New Roman" w:hAnsi="Times New Roman"/>
                                <w:b/>
                                <w:sz w:val="16"/>
                              </w:rPr>
                              <w:t>Pro Forma</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EBITDA Growth</w:t>
                            </w:r>
                          </w:p>
                        </w:tc>
                        <w:tc>
                          <w:tcPr>
                            <w:tcW w:w="12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Percentage of</w:t>
                            </w:r>
                            <w:r>
                              <w:rPr/>
                              <w:br/>
                            </w:r>
                            <w:r>
                              <w:rPr>
                                <w:b/>
                              </w:rPr>
                              <w:t>Target</w:t>
                            </w:r>
                            <w:r>
                              <w:rPr/>
                              <w:br/>
                            </w:r>
                            <w:r>
                              <w:rPr>
                                <w:b/>
                              </w:rPr>
                              <w:t>Bonus Earned</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Less than 6.6%</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6.6% but less than 6.8%</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65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6.8% but less than 7.0%</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70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7.0% but less than 7.2%</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75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7.2% but less than 7.4%</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80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7.4% but less than 7.6%</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85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7.6% but less than 7.8%</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90</w:t>
                            </w:r>
                          </w:p>
                        </w:tc>
                        <w:tc>
                          <w:tcPr>
                            <w:tcW w:w="410" w:type="dxa"/>
                            <w:tcBorders/>
                            <w:shd w:fill="CCEEFF" w:val="clear"/>
                            <w:vAlign w:val="center"/>
                          </w:tcPr>
                          <w:p>
                            <w:pPr>
                              <w:pStyle w:val="TableContents"/>
                              <w:spacing w:before="0" w:after="283"/>
                              <w:rPr/>
                            </w:pPr>
                            <w:r>
                              <w:rPr/>
                              <w:t>% </w:t>
                            </w:r>
                          </w:p>
                        </w:tc>
                      </w:tr>
                      <w:tr>
                        <w:trPr/>
                        <w:tc>
                          <w:tcPr>
                            <w:tcW w:w="264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At least 7.8% but less than 8.0%</w:t>
                            </w:r>
                          </w:p>
                        </w:tc>
                        <w:tc>
                          <w:tcPr>
                            <w:tcW w:w="120" w:type="dxa"/>
                            <w:tcBorders/>
                            <w:shd w:fill="auto" w:val="clear"/>
                            <w:vAlign w:val="center"/>
                          </w:tcPr>
                          <w:p>
                            <w:pPr>
                              <w:pStyle w:val="TableContents"/>
                              <w:spacing w:before="0" w:after="283"/>
                              <w:rPr/>
                            </w:pPr>
                            <w:r>
                              <w:rPr/>
                              <w:t>  </w:t>
                            </w:r>
                          </w:p>
                        </w:tc>
                        <w:tc>
                          <w:tcPr>
                            <w:tcW w:w="203"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right"/>
                              <w:rPr/>
                            </w:pPr>
                            <w:r>
                              <w:rPr/>
                              <w:t>95</w:t>
                            </w:r>
                          </w:p>
                        </w:tc>
                        <w:tc>
                          <w:tcPr>
                            <w:tcW w:w="410" w:type="dxa"/>
                            <w:tcBorders/>
                            <w:shd w:fill="auto" w:val="clear"/>
                            <w:vAlign w:val="center"/>
                          </w:tcPr>
                          <w:p>
                            <w:pPr>
                              <w:pStyle w:val="TableContents"/>
                              <w:spacing w:before="0" w:after="283"/>
                              <w:rPr/>
                            </w:pPr>
                            <w:r>
                              <w:rPr/>
                              <w:t>% </w:t>
                            </w:r>
                          </w:p>
                        </w:tc>
                      </w:tr>
                      <w:tr>
                        <w:trPr/>
                        <w:tc>
                          <w:tcPr>
                            <w:tcW w:w="264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At least 8.0% or greater</w:t>
                            </w:r>
                          </w:p>
                        </w:tc>
                        <w:tc>
                          <w:tcPr>
                            <w:tcW w:w="120" w:type="dxa"/>
                            <w:tcBorders/>
                            <w:shd w:fill="CCEEFF" w:val="clear"/>
                            <w:vAlign w:val="center"/>
                          </w:tcPr>
                          <w:p>
                            <w:pPr>
                              <w:pStyle w:val="TableContents"/>
                              <w:spacing w:before="0" w:after="283"/>
                              <w:rPr/>
                            </w:pPr>
                            <w:r>
                              <w:rPr/>
                              <w:t>  </w:t>
                            </w:r>
                          </w:p>
                        </w:tc>
                        <w:tc>
                          <w:tcPr>
                            <w:tcW w:w="203" w:type="dxa"/>
                            <w:tcBorders/>
                            <w:shd w:fill="CCEEFF" w:val="clear"/>
                            <w:vAlign w:val="center"/>
                          </w:tcPr>
                          <w:p>
                            <w:pPr>
                              <w:pStyle w:val="TableContents"/>
                              <w:spacing w:before="0" w:after="283"/>
                              <w:rPr/>
                            </w:pPr>
                            <w:r>
                              <w:rPr/>
                              <w:t> </w:t>
                            </w:r>
                          </w:p>
                        </w:tc>
                        <w:tc>
                          <w:tcPr>
                            <w:tcW w:w="1287" w:type="dxa"/>
                            <w:tcBorders/>
                            <w:shd w:fill="CCEEFF" w:val="clear"/>
                            <w:vAlign w:val="center"/>
                          </w:tcPr>
                          <w:p>
                            <w:pPr>
                              <w:pStyle w:val="TableContents"/>
                              <w:spacing w:before="0" w:after="283"/>
                              <w:jc w:val="right"/>
                              <w:rPr/>
                            </w:pPr>
                            <w:r>
                              <w:rPr/>
                              <w:t>100</w:t>
                            </w:r>
                          </w:p>
                        </w:tc>
                        <w:tc>
                          <w:tcPr>
                            <w:tcW w:w="410" w:type="dxa"/>
                            <w:tcBorders/>
                            <w:shd w:fill="CCEEFF" w:val="clear"/>
                            <w:vAlign w:val="center"/>
                          </w:tcPr>
                          <w:p>
                            <w:pPr>
                              <w:pStyle w:val="TableContents"/>
                              <w:spacing w:before="0" w:after="283"/>
                              <w:rPr/>
                            </w:pPr>
                            <w:r>
                              <w:rPr/>
                              <w:t>%* </w:t>
                            </w:r>
                          </w:p>
                        </w:tc>
                      </w:tr>
                    </w:tbl>
                    <w:p>
                      <w:pPr>
                        <w:pStyle w:val="TextBody"/>
                        <w:spacing w:before="0" w:after="283"/>
                        <w:rPr/>
                      </w:pPr>
                      <w:r>
                        <w:rPr/>
                      </w:r>
                    </w:p>
                  </w:txbxContent>
                </v:textbox>
                <w10:wrap type="square" side="right"/>
              </v:rect>
            </w:pict>
          </mc:Fallback>
        </mc:AlternateContent>
      </w:r>
    </w:p>
    <w:p>
      <w:pPr>
        <w:pStyle w:val="TextBody"/>
        <w:spacing w:before="0" w:after="0"/>
        <w:jc w:val="left"/>
        <w:rPr/>
      </w:pPr>
      <w:r>
        <w:rPr/>
        <w:t> </w:t>
      </w:r>
    </w:p>
    <w:tbl>
      <w:tblPr>
        <w:tblW w:w="6520" w:type="dxa"/>
        <w:jc w:val="left"/>
        <w:tblInd w:w="0" w:type="dxa"/>
        <w:tblCellMar>
          <w:top w:w="0" w:type="dxa"/>
          <w:left w:w="0" w:type="dxa"/>
          <w:bottom w:w="0" w:type="dxa"/>
          <w:right w:w="0" w:type="dxa"/>
        </w:tblCellMar>
      </w:tblPr>
      <w:tblGrid>
        <w:gridCol w:w="155"/>
        <w:gridCol w:w="6365"/>
      </w:tblGrid>
      <w:tr>
        <w:trPr/>
        <w:tc>
          <w:tcPr>
            <w:tcW w:w="155" w:type="dxa"/>
            <w:tcBorders/>
            <w:shd w:fill="auto" w:val="clear"/>
            <w:vAlign w:val="center"/>
          </w:tcPr>
          <w:p>
            <w:pPr>
              <w:pStyle w:val="TableContents"/>
              <w:spacing w:before="0" w:after="283"/>
              <w:jc w:val="left"/>
              <w:rPr/>
            </w:pPr>
            <w:r>
              <w:rPr/>
              <w:t>*</w:t>
            </w:r>
          </w:p>
        </w:tc>
        <w:tc>
          <w:tcPr>
            <w:tcW w:w="63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Denotes goal achieved for 2022 as certified by the Compensation Committee. </w:t>
            </w:r>
          </w:p>
        </w:tc>
      </w:tr>
    </w:tbl>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jc w:val="left"/>
              <w:rPr/>
            </w:pPr>
            <w:r>
              <w:rPr/>
              <w:t>(1)</w:t>
            </w:r>
          </w:p>
        </w:tc>
        <w:tc>
          <w:tcPr>
            <w:tcW w:w="995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Pro forma EBITDA growth is calculated in the same manner as pro forma net revenue growth with adjustments being made in the 2021 period to reflect acquisitions and divestitures for the same time frame as actually owned in 2022 and is also adjusted, solely with respect to calculation of incentive cash bonuses, to eliminate any expense in the period related to executive bonuses.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Consideration of Prior Stockholder Advisory Vote on Executive Compensation </w:t>
      </w:r>
    </w:p>
    <w:p>
      <w:pPr>
        <w:pStyle w:val="TextBody"/>
        <w:spacing w:before="120" w:after="0"/>
        <w:jc w:val="left"/>
        <w:rPr>
          <w:rFonts w:ascii="Times New Roman" w:hAnsi="Times New Roman"/>
          <w:sz w:val="20"/>
        </w:rPr>
      </w:pPr>
      <w:r>
        <w:rPr>
          <w:rFonts w:ascii="Times New Roman" w:hAnsi="Times New Roman"/>
          <w:sz w:val="20"/>
        </w:rPr>
        <w:t xml:space="preserve">At the Company’s 2020 Annual Meeting of Stockholders, more than 99% of shares present at the meeting for purposes of the proposal were voted to approve, on an advisory basis, the compensation of our named executive officers as disclosed in the proxy statement for that meeting, thus ratifying our compensation philosophy and approach. Our Board of Directors and the Compensation Committee considered this overwhelming support, as well as our past operating performance, in making the determination that the fundamental characteristics of our executive compensation program should remain. The next advisory stockholder vote on executive compensation will occur at the 2023 Annual Meeting of Stockholders. For more information on this advisory vote, see page 39. </w:t>
      </w:r>
    </w:p>
    <w:p>
      <w:pPr>
        <w:pStyle w:val="TextBody"/>
        <w:spacing w:before="360" w:after="0"/>
        <w:jc w:val="left"/>
        <w:rPr>
          <w:rFonts w:ascii="Times New Roman" w:hAnsi="Times New Roman"/>
          <w:b/>
          <w:i/>
          <w:sz w:val="20"/>
        </w:rPr>
      </w:pPr>
      <w:r>
        <w:rPr>
          <w:rFonts w:ascii="Times New Roman" w:hAnsi="Times New Roman"/>
          <w:b/>
          <w:i/>
          <w:sz w:val="20"/>
        </w:rPr>
        <w:t xml:space="preserve">Other Compensation Components </w:t>
      </w:r>
    </w:p>
    <w:p>
      <w:pPr>
        <w:pStyle w:val="TextBody"/>
        <w:spacing w:before="120" w:after="0"/>
        <w:jc w:val="left"/>
        <w:rPr>
          <w:rFonts w:ascii="Times New Roman" w:hAnsi="Times New Roman"/>
          <w:sz w:val="20"/>
        </w:rPr>
      </w:pPr>
      <w:r>
        <w:rPr>
          <w:rFonts w:ascii="Times New Roman" w:hAnsi="Times New Roman"/>
          <w:i/>
          <w:sz w:val="20"/>
        </w:rPr>
        <w:t xml:space="preserve">Discretionary Equity Awards. </w:t>
      </w:r>
      <w:r>
        <w:rPr>
          <w:rFonts w:ascii="Times New Roman" w:hAnsi="Times New Roman"/>
          <w:sz w:val="20"/>
        </w:rPr>
        <w:t xml:space="preserve">The Company’s incentive compensation program permits the Compensation Committee to grant discretionary equity awards under the Company’s 1996 Equity Incentive Plan, as amended, that are not subject to achievement of performance criteria. The named executive officers did not receive discretionary stock grants in 2022. </w:t>
      </w:r>
    </w:p>
    <w:p>
      <w:pPr>
        <w:pStyle w:val="TextBody"/>
        <w:spacing w:before="240" w:after="0"/>
        <w:jc w:val="left"/>
        <w:rPr>
          <w:rFonts w:ascii="Times New Roman" w:hAnsi="Times New Roman"/>
          <w:sz w:val="20"/>
        </w:rPr>
      </w:pPr>
      <w:r>
        <w:rPr>
          <w:rFonts w:ascii="Times New Roman" w:hAnsi="Times New Roman"/>
          <w:i/>
          <w:sz w:val="20"/>
        </w:rPr>
        <w:t>Perquisites.</w:t>
      </w:r>
      <w:r>
        <w:rPr>
          <w:rFonts w:ascii="Times New Roman" w:hAnsi="Times New Roman"/>
          <w:sz w:val="20"/>
        </w:rPr>
        <w:t xml:space="preserve"> We provide certain perquisites to our named executive officers, including use of the Company’s aircraft and a Company car. Our named executive officers are entitled to use our Company aircraft, including for personal travel. These perquisites provide flexibility to the executives and increase travel efficiencies, allowing more productive use of executive time. More detail on these perquisites and other perquisites provided to our named executive officers may be found in the 2022 Summary Compensation Table. </w:t>
      </w:r>
    </w:p>
    <w:p>
      <w:pPr>
        <w:pStyle w:val="TextBody"/>
        <w:spacing w:before="240" w:after="0"/>
        <w:jc w:val="left"/>
        <w:rPr>
          <w:rFonts w:ascii="Times New Roman" w:hAnsi="Times New Roman"/>
          <w:sz w:val="20"/>
        </w:rPr>
      </w:pPr>
      <w:r>
        <w:rPr>
          <w:rFonts w:ascii="Times New Roman" w:hAnsi="Times New Roman"/>
          <w:i/>
          <w:sz w:val="20"/>
        </w:rPr>
        <w:t xml:space="preserve">Deferred Compensation. </w:t>
      </w:r>
      <w:r>
        <w:rPr>
          <w:rFonts w:ascii="Times New Roman" w:hAnsi="Times New Roman"/>
          <w:sz w:val="20"/>
        </w:rPr>
        <w:t xml:space="preserve">The Company has a deferred compensation plan for certain officers, including the named executive officers. Under this plan, officers who meet certain criteria are eligible to receive Company contributions into their accounts in the Lamar Deferred Compensation Plan. Officers do not have the option of deferring any portion of their earned cash compensation through additional voluntary contributions to the plan. </w:t>
      </w:r>
    </w:p>
    <w:p>
      <w:pPr>
        <w:pStyle w:val="TextBody"/>
        <w:spacing w:before="240" w:after="0"/>
        <w:jc w:val="left"/>
        <w:rPr>
          <w:rFonts w:ascii="Times New Roman" w:hAnsi="Times New Roman"/>
          <w:sz w:val="20"/>
        </w:rPr>
      </w:pPr>
      <w:r>
        <w:rPr>
          <w:rFonts w:ascii="Times New Roman" w:hAnsi="Times New Roman"/>
          <w:sz w:val="20"/>
        </w:rPr>
        <w:t xml:space="preserve">The deferred compensation plan is not funded by us, and participants have an unsecured contractual commitment from us to pay the amounts due under the deferred compensation plan. When payments under the plan are due, the funds are distributed from our general assets. The Company does not offer preferential earnings on deferred compensation. Deferred compensation is intended as a long-term savings vehicle for our officers in light of the fact that the Company does not offer any traditional pension or defined benefit plan. The Compensation Committee does not consider deferred compensation accounts when setting executive pay levels, since this represents compensation that has previously been earned and individual accounts are a function of personal investment choices and market-based earnings. </w:t>
      </w:r>
    </w:p>
    <w:p>
      <w:pPr>
        <w:pStyle w:val="TextBody"/>
        <w:spacing w:before="360" w:after="0"/>
        <w:jc w:val="left"/>
        <w:rPr>
          <w:rFonts w:ascii="Times New Roman" w:hAnsi="Times New Roman"/>
          <w:b/>
          <w:i/>
          <w:sz w:val="20"/>
        </w:rPr>
      </w:pPr>
      <w:r>
        <w:rPr>
          <w:rFonts w:ascii="Times New Roman" w:hAnsi="Times New Roman"/>
          <w:b/>
          <w:i/>
          <w:sz w:val="20"/>
        </w:rPr>
        <w:t xml:space="preserve">Tax Implications </w:t>
      </w:r>
    </w:p>
    <w:p>
      <w:pPr>
        <w:pStyle w:val="TextBody"/>
        <w:spacing w:before="120" w:after="0"/>
        <w:jc w:val="left"/>
        <w:rPr>
          <w:rFonts w:ascii="Times New Roman" w:hAnsi="Times New Roman"/>
          <w:sz w:val="20"/>
        </w:rPr>
      </w:pPr>
      <w:r>
        <w:rPr>
          <w:rFonts w:ascii="Times New Roman" w:hAnsi="Times New Roman"/>
          <w:sz w:val="20"/>
        </w:rPr>
        <w:t xml:space="preserve">The Compensation Committee awards compensation to our executive officers as it deems appropriate to meet our overall compensation objectives, even though it may not be fully deductible for the purposes of Section 162(m) of the Internal Revenue Code of 1986, as amended (the “Code”). In general, Section 162(m), prevents publicly held corporations from deducting, for federal income tax purposes, compensation paid in excess of $1,000,000 to certain executives. Historically, this deduction limitation did not apply, however, to compensation that constitutes “qualified performance-based compensation” within the meaning of Section 162(m) of the Code and the regulations promulgated thereunder.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taxable years beginning after December 31, 2017, the exemption from Section 162(m)’s deduction limit for performance-based compensation has been repealed by legislation known as the Tax Cuts and Jobs Act, such that compensation paid to our named executive officers that is in excess of $1,000,000 will not be deductible by the Company unless it qualifies for transition relief applicable to certain arrangements in place as of November 2, 2017 and not modified thereafter. Subject to the overall compensation objectives of the Company, the Compensation Committee intends to administer any awards granted prior to November 2, 2017 which qualify as “performance-based compensation” under Section 162(m) of the Code, as amended by the Act, in accordance with the transition rules applicable to binding contracts in effect on November 2, 2017. </w:t>
      </w:r>
    </w:p>
    <w:p>
      <w:pPr>
        <w:pStyle w:val="TextBody"/>
        <w:spacing w:before="360" w:after="0"/>
        <w:jc w:val="left"/>
        <w:rPr>
          <w:rFonts w:ascii="Times New Roman" w:hAnsi="Times New Roman"/>
          <w:b/>
          <w:i/>
          <w:sz w:val="20"/>
        </w:rPr>
      </w:pPr>
      <w:r>
        <w:rPr>
          <w:rFonts w:ascii="Times New Roman" w:hAnsi="Times New Roman"/>
          <w:b/>
          <w:i/>
          <w:sz w:val="20"/>
        </w:rPr>
        <w:t xml:space="preserve">Payments Upon Termination or Change–in–Control </w:t>
      </w:r>
    </w:p>
    <w:p>
      <w:pPr>
        <w:pStyle w:val="TextBody"/>
        <w:spacing w:before="120" w:after="0"/>
        <w:jc w:val="left"/>
        <w:rPr>
          <w:rFonts w:ascii="Times New Roman" w:hAnsi="Times New Roman"/>
          <w:sz w:val="20"/>
        </w:rPr>
      </w:pPr>
      <w:r>
        <w:rPr>
          <w:rFonts w:ascii="Times New Roman" w:hAnsi="Times New Roman"/>
          <w:sz w:val="20"/>
        </w:rPr>
        <w:t xml:space="preserve">We do not have employment agreements or other agreements with any of our executive officers that entitle them to payments upon termination or in the event of a change-in-control. </w:t>
      </w:r>
    </w:p>
    <w:p>
      <w:pPr>
        <w:pStyle w:val="TextBody"/>
        <w:spacing w:before="360" w:after="0"/>
        <w:jc w:val="left"/>
        <w:rPr>
          <w:rFonts w:ascii="Times New Roman" w:hAnsi="Times New Roman"/>
          <w:b/>
          <w:i/>
          <w:sz w:val="20"/>
        </w:rPr>
      </w:pPr>
      <w:r>
        <w:rPr>
          <w:rFonts w:ascii="Times New Roman" w:hAnsi="Times New Roman"/>
          <w:b/>
          <w:i/>
          <w:sz w:val="20"/>
        </w:rPr>
        <w:t xml:space="preserve">Compensation Policies and Practices as they Relate to Risk Management </w:t>
      </w:r>
    </w:p>
    <w:p>
      <w:pPr>
        <w:pStyle w:val="TextBody"/>
        <w:spacing w:before="120" w:after="0"/>
        <w:jc w:val="left"/>
        <w:rPr>
          <w:rFonts w:ascii="Times New Roman" w:hAnsi="Times New Roman"/>
          <w:sz w:val="20"/>
        </w:rPr>
      </w:pPr>
      <w:r>
        <w:rPr>
          <w:rFonts w:ascii="Times New Roman" w:hAnsi="Times New Roman"/>
          <w:sz w:val="20"/>
        </w:rPr>
        <w:t xml:space="preserve">Our management has reviewed its compensation policies and practices in conjunction with the Compensation Committee to determine if these policies and practices create risks that are reasonably likely to have a material adverse effect on the Company. The Company’s basic compensation structure, as described above, includes base salaries, incentive cash bonuses and, for officers of the Company (including certain non-executive officers), incentive equity compensation that primarily consists of annual performance-based equity awards. In light of this review of the compensation structure and its mix of both fixed and variable compensation, the Company concluded that there are no risks arising from our compensation policies and practices for our employees that are reasonably likely to have a material adverse effect on the Company.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b/>
          <w:sz w:val="20"/>
        </w:rPr>
      </w:pPr>
      <w:r>
        <w:rPr>
          <w:rFonts w:ascii="Times New Roman" w:hAnsi="Times New Roman"/>
          <w:b/>
          <w:sz w:val="20"/>
        </w:rPr>
        <w:t xml:space="preserve">Compensation Committee Report </w:t>
      </w:r>
    </w:p>
    <w:p>
      <w:pPr>
        <w:pStyle w:val="TextBody"/>
        <w:spacing w:before="120" w:after="0"/>
        <w:jc w:val="left"/>
        <w:rPr>
          <w:rFonts w:ascii="Times New Roman" w:hAnsi="Times New Roman"/>
          <w:sz w:val="20"/>
        </w:rPr>
      </w:pPr>
      <w:r>
        <w:rPr>
          <w:rFonts w:ascii="Times New Roman" w:hAnsi="Times New Roman"/>
          <w:sz w:val="20"/>
        </w:rPr>
        <w:t xml:space="preserve">The Compensation Committee has reviewed and discussed the Compensation Discussion and Analysis with management. Based on this review and discussion, the Compensation Committee recommended to the Board of Directors that the Compensation Discussion and Analysis be included in this proxy statement, for the year ended December 31, 2022, for filing with the Securities and Exchange Commission. </w:t>
      </w:r>
    </w:p>
    <w:p>
      <w:pPr>
        <w:pStyle w:val="TextBody"/>
        <w:spacing w:before="0" w:after="0"/>
        <w:jc w:val="left"/>
        <w:rPr/>
      </w:pPr>
      <w:r>
        <w:rPr/>
        <w:t> </w:t>
      </w:r>
    </w:p>
    <w:tbl>
      <w:tblPr>
        <w:tblW w:w="3260" w:type="dxa"/>
        <w:jc w:val="left"/>
        <w:tblInd w:w="0" w:type="dxa"/>
        <w:tblCellMar>
          <w:top w:w="0" w:type="dxa"/>
          <w:left w:w="0" w:type="dxa"/>
          <w:bottom w:w="0" w:type="dxa"/>
          <w:right w:w="0" w:type="dxa"/>
        </w:tblCellMar>
      </w:tblPr>
      <w:tblGrid>
        <w:gridCol w:w="3260"/>
      </w:tblGrid>
      <w:tr>
        <w:trPr/>
        <w:tc>
          <w:tcPr>
            <w:tcW w:w="3260" w:type="dxa"/>
            <w:tcBorders/>
            <w:shd w:fill="auto" w:val="clear"/>
            <w:vAlign w:val="center"/>
          </w:tcPr>
          <w:p>
            <w:pPr>
              <w:pStyle w:val="TableContents"/>
              <w:spacing w:before="0" w:after="283"/>
              <w:rPr>
                <w:sz w:val="4"/>
                <w:szCs w:val="4"/>
              </w:rPr>
            </w:pPr>
            <w:r>
              <w:rPr>
                <w:sz w:val="4"/>
                <w:szCs w:val="4"/>
              </w:rPr>
            </w:r>
          </w:p>
        </w:tc>
      </w:tr>
      <w:tr>
        <w:trPr/>
        <w:tc>
          <w:tcPr>
            <w:tcW w:w="3260" w:type="dxa"/>
            <w:tcBorders/>
            <w:shd w:fill="auto" w:val="clear"/>
            <w:vAlign w:val="center"/>
          </w:tcPr>
          <w:p>
            <w:pPr>
              <w:pStyle w:val="TableContents"/>
              <w:spacing w:before="0" w:after="283"/>
              <w:rPr/>
            </w:pPr>
            <w:r>
              <w:rPr/>
              <w:t>By the Compensation Committee,</w:t>
            </w:r>
          </w:p>
        </w:tc>
      </w:tr>
      <w:tr>
        <w:trPr/>
        <w:tc>
          <w:tcPr>
            <w:tcW w:w="3260" w:type="dxa"/>
            <w:tcBorders/>
            <w:shd w:fill="auto" w:val="clear"/>
            <w:vAlign w:val="center"/>
          </w:tcPr>
          <w:p>
            <w:pPr>
              <w:pStyle w:val="TableContents"/>
              <w:spacing w:before="0" w:after="283"/>
              <w:rPr>
                <w:sz w:val="4"/>
                <w:szCs w:val="4"/>
              </w:rPr>
            </w:pPr>
            <w:r>
              <w:rPr>
                <w:sz w:val="4"/>
                <w:szCs w:val="4"/>
              </w:rPr>
            </w:r>
          </w:p>
        </w:tc>
      </w:tr>
      <w:tr>
        <w:trPr/>
        <w:tc>
          <w:tcPr>
            <w:tcW w:w="3260" w:type="dxa"/>
            <w:tcBorders/>
            <w:shd w:fill="auto" w:val="clear"/>
            <w:vAlign w:val="center"/>
          </w:tcPr>
          <w:p>
            <w:pPr>
              <w:pStyle w:val="TableContents"/>
              <w:spacing w:before="0" w:after="283"/>
              <w:rPr/>
            </w:pPr>
            <w:r>
              <w:rPr/>
              <w:t xml:space="preserve">Thomas V. Reifenheiser </w:t>
            </w:r>
            <w:r>
              <w:rPr>
                <w:i/>
              </w:rPr>
              <w:t>(Chair)</w:t>
            </w:r>
          </w:p>
        </w:tc>
      </w:tr>
      <w:tr>
        <w:trPr/>
        <w:tc>
          <w:tcPr>
            <w:tcW w:w="3260" w:type="dxa"/>
            <w:tcBorders/>
            <w:shd w:fill="auto" w:val="clear"/>
            <w:vAlign w:val="center"/>
          </w:tcPr>
          <w:p>
            <w:pPr>
              <w:pStyle w:val="TableContents"/>
              <w:spacing w:before="0" w:after="283"/>
              <w:rPr/>
            </w:pPr>
            <w:r>
              <w:rPr/>
              <w:t>John E. Koerner, III</w:t>
            </w:r>
          </w:p>
        </w:tc>
      </w:tr>
      <w:tr>
        <w:trPr/>
        <w:tc>
          <w:tcPr>
            <w:tcW w:w="3260" w:type="dxa"/>
            <w:tcBorders/>
            <w:shd w:fill="auto" w:val="clear"/>
            <w:vAlign w:val="center"/>
          </w:tcPr>
          <w:p>
            <w:pPr>
              <w:pStyle w:val="TableContents"/>
              <w:spacing w:before="0" w:after="283"/>
              <w:rPr/>
            </w:pPr>
            <w:r>
              <w:rPr/>
              <w:t>Stephen P. Mumblow</w:t>
            </w:r>
          </w:p>
        </w:tc>
      </w:tr>
      <w:tr>
        <w:trPr/>
        <w:tc>
          <w:tcPr>
            <w:tcW w:w="3260" w:type="dxa"/>
            <w:tcBorders/>
            <w:shd w:fill="auto" w:val="clear"/>
            <w:vAlign w:val="center"/>
          </w:tcPr>
          <w:p>
            <w:pPr>
              <w:pStyle w:val="TableContents"/>
              <w:spacing w:before="0" w:after="283"/>
              <w:rPr/>
            </w:pPr>
            <w:r>
              <w:rPr/>
              <w:t>Nancy Fletcher</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2022 Summary Compensation Table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certain compensation information for our named executive officers. The table reflects each officer’s position as of December 31, 2022. </w:t>
      </w:r>
    </w:p>
    <w:p>
      <w:pPr>
        <w:pStyle w:val="TextBody"/>
        <w:spacing w:before="0" w:after="0"/>
        <w:jc w:val="left"/>
        <w:rPr/>
      </w:pPr>
      <w:r>
        <w:rPr/>
        <w:t> </w:t>
      </w:r>
    </w:p>
    <w:tbl>
      <w:tblPr>
        <w:tblW w:w="11725" w:type="dxa"/>
        <w:jc w:val="left"/>
        <w:tblInd w:w="0" w:type="dxa"/>
        <w:tblCellMar>
          <w:top w:w="0" w:type="dxa"/>
          <w:left w:w="0" w:type="dxa"/>
          <w:bottom w:w="0" w:type="dxa"/>
          <w:right w:w="0" w:type="dxa"/>
        </w:tblCellMar>
      </w:tblPr>
      <w:tblGrid>
        <w:gridCol w:w="2105"/>
        <w:gridCol w:w="120"/>
        <w:gridCol w:w="60"/>
        <w:gridCol w:w="500"/>
        <w:gridCol w:w="60"/>
        <w:gridCol w:w="120"/>
        <w:gridCol w:w="60"/>
        <w:gridCol w:w="800"/>
        <w:gridCol w:w="60"/>
        <w:gridCol w:w="120"/>
        <w:gridCol w:w="90"/>
        <w:gridCol w:w="575"/>
        <w:gridCol w:w="60"/>
        <w:gridCol w:w="120"/>
        <w:gridCol w:w="60"/>
        <w:gridCol w:w="980"/>
        <w:gridCol w:w="215"/>
        <w:gridCol w:w="60"/>
        <w:gridCol w:w="113"/>
        <w:gridCol w:w="717"/>
        <w:gridCol w:w="60"/>
        <w:gridCol w:w="120"/>
        <w:gridCol w:w="103"/>
        <w:gridCol w:w="1387"/>
        <w:gridCol w:w="215"/>
        <w:gridCol w:w="60"/>
        <w:gridCol w:w="103"/>
        <w:gridCol w:w="1387"/>
        <w:gridCol w:w="60"/>
        <w:gridCol w:w="120"/>
        <w:gridCol w:w="60"/>
        <w:gridCol w:w="980"/>
        <w:gridCol w:w="75"/>
      </w:tblGrid>
      <w:tr>
        <w:trPr/>
        <w:tc>
          <w:tcPr>
            <w:tcW w:w="21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10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Principal Position</w:t>
            </w:r>
          </w:p>
        </w:tc>
        <w:tc>
          <w:tcPr>
            <w:tcW w:w="120" w:type="dxa"/>
            <w:tcBorders/>
            <w:shd w:fill="auto" w:val="clear"/>
            <w:vAlign w:val="center"/>
          </w:tcPr>
          <w:p>
            <w:pPr>
              <w:pStyle w:val="TableContents"/>
              <w:spacing w:before="0" w:after="283"/>
              <w:rPr/>
            </w:pPr>
            <w:r>
              <w:rPr/>
              <w:t>  </w:t>
            </w:r>
          </w:p>
        </w:tc>
        <w:tc>
          <w:tcPr>
            <w:tcW w:w="56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Salary</w:t>
            </w:r>
            <w:r>
              <w:rPr/>
              <w:br/>
            </w:r>
            <w:r>
              <w:rPr>
                <w:b/>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6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Bonus</w:t>
            </w:r>
            <w:r>
              <w:rPr/>
              <w:br/>
            </w:r>
            <w:r>
              <w:rPr>
                <w:b/>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Stock</w:t>
            </w:r>
            <w:r>
              <w:rPr/>
              <w:br/>
            </w:r>
            <w:r>
              <w:rPr>
                <w:b/>
              </w:rPr>
              <w:t>Awards</w:t>
            </w:r>
            <w:r>
              <w:rPr/>
              <w:br/>
            </w:r>
            <w:r>
              <w:rPr>
                <w:b/>
              </w:rPr>
              <w:t>($)(1)</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Option</w:t>
            </w:r>
            <w:r>
              <w:rPr/>
              <w:br/>
            </w:r>
            <w:r>
              <w:rPr>
                <w:b/>
              </w:rPr>
              <w:t>Awards</w:t>
            </w:r>
            <w:r>
              <w:rPr/>
              <w:br/>
            </w:r>
            <w:r>
              <w:rPr>
                <w:b/>
              </w:rP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Non-Equity</w:t>
            </w:r>
            <w:r>
              <w:rPr/>
              <w:br/>
            </w:r>
            <w:r>
              <w:rPr>
                <w:b/>
              </w:rPr>
              <w:t>Incentive Plan</w:t>
            </w:r>
            <w:r>
              <w:rPr/>
              <w:br/>
            </w:r>
            <w:r>
              <w:rPr>
                <w:b/>
              </w:rPr>
              <w:t>Compensation</w:t>
            </w:r>
            <w:r>
              <w:rPr/>
              <w:br/>
            </w:r>
            <w:r>
              <w:rPr>
                <w:b/>
              </w:rPr>
              <w:t>($)(2)</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All Other</w:t>
            </w:r>
            <w:r>
              <w:rPr/>
              <w:br/>
            </w:r>
            <w:r>
              <w:rPr>
                <w:b/>
              </w:rPr>
              <w:t>Compensation</w:t>
            </w:r>
            <w:r>
              <w:rPr/>
              <w:br/>
            </w:r>
            <w:r>
              <w:rPr>
                <w:b/>
              </w:rPr>
              <w:t>($)(3)(4)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Total</w:t>
            </w:r>
            <w:r>
              <w:rPr/>
              <w:br/>
            </w:r>
            <w:r>
              <w:rPr>
                <w:b/>
              </w:rPr>
              <w:t>($)</w:t>
            </w:r>
          </w:p>
        </w:tc>
        <w:tc>
          <w:tcPr>
            <w:tcW w:w="75" w:type="dxa"/>
            <w:tcBorders/>
            <w:shd w:fill="auto" w:val="clear"/>
            <w:vAlign w:val="center"/>
          </w:tcPr>
          <w:p>
            <w:pPr>
              <w:pStyle w:val="TableContents"/>
              <w:spacing w:before="0" w:after="283"/>
              <w:rPr/>
            </w:pPr>
            <w:r>
              <w:rPr/>
              <w:t> </w:t>
            </w:r>
          </w:p>
        </w:tc>
      </w:tr>
      <w:tr>
        <w:trPr/>
        <w:tc>
          <w:tcPr>
            <w:tcW w:w="2105" w:type="dxa"/>
            <w:vMerge w:val="restart"/>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Kevin P. Reilly, Jr.</w:t>
              <w:br/>
            </w:r>
            <w:r>
              <w:rPr>
                <w:rFonts w:ascii="Times New Roman" w:hAnsi="Times New Roman"/>
                <w:i/>
                <w:sz w:val="20"/>
              </w:rPr>
              <w:t>Executive Chairman of the Board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1,946,780</w:t>
            </w:r>
          </w:p>
        </w:tc>
        <w:tc>
          <w:tcPr>
            <w:tcW w:w="215" w:type="dxa"/>
            <w:tcBorders/>
            <w:shd w:fill="CCEEFF" w:val="clear"/>
            <w:vAlign w:val="center"/>
          </w:tcPr>
          <w:p>
            <w:pPr>
              <w:pStyle w:val="TableContents"/>
              <w:spacing w:before="0" w:after="283"/>
              <w:rPr/>
            </w:pPr>
            <w:r>
              <w:rPr/>
              <w:t>(5)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500,000</w:t>
            </w:r>
          </w:p>
        </w:tc>
        <w:tc>
          <w:tcPr>
            <w:tcW w:w="21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168,217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2,714,997</w:t>
            </w:r>
          </w:p>
        </w:tc>
        <w:tc>
          <w:tcPr>
            <w:tcW w:w="75" w:type="dxa"/>
            <w:tcBorders/>
            <w:shd w:fill="CCEEFF" w:val="clear"/>
            <w:vAlign w:val="center"/>
          </w:tcPr>
          <w:p>
            <w:pPr>
              <w:pStyle w:val="TableContents"/>
              <w:spacing w:before="0" w:after="283"/>
              <w:rPr/>
            </w:pPr>
            <w:r>
              <w:rPr/>
              <w:t> </w:t>
            </w:r>
          </w:p>
        </w:tc>
      </w:tr>
      <w:tr>
        <w:trPr/>
        <w:tc>
          <w:tcPr>
            <w:tcW w:w="2105" w:type="dxa"/>
            <w:vMerge w:val="continue"/>
            <w:tcBorders/>
            <w:shd w:fill="CCEEFF" w:val="clear"/>
            <w:vAlign w:val="center"/>
          </w:tcPr>
          <w:p>
            <w:pPr>
              <w:pStyle w:val="Normal"/>
              <w:rPr/>
            </w:pPr>
            <w:r>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2,017,620</w:t>
            </w:r>
          </w:p>
        </w:tc>
        <w:tc>
          <w:tcPr>
            <w:tcW w:w="215" w:type="dxa"/>
            <w:tcBorders/>
            <w:shd w:fill="CCEEFF" w:val="clear"/>
            <w:vAlign w:val="center"/>
          </w:tcPr>
          <w:p>
            <w:pPr>
              <w:pStyle w:val="TableContents"/>
              <w:spacing w:before="0" w:after="283"/>
              <w:rPr/>
            </w:pPr>
            <w:r>
              <w:rPr/>
              <w:t>(6)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500,000</w:t>
            </w:r>
          </w:p>
        </w:tc>
        <w:tc>
          <w:tcPr>
            <w:tcW w:w="21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118,773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2,736,393</w:t>
            </w:r>
          </w:p>
        </w:tc>
        <w:tc>
          <w:tcPr>
            <w:tcW w:w="75" w:type="dxa"/>
            <w:tcBorders/>
            <w:shd w:fill="CCEEFF" w:val="clear"/>
            <w:vAlign w:val="center"/>
          </w:tcPr>
          <w:p>
            <w:pPr>
              <w:pStyle w:val="TableContents"/>
              <w:spacing w:before="0" w:after="283"/>
              <w:rPr/>
            </w:pPr>
            <w:r>
              <w:rPr/>
              <w:t> </w:t>
            </w:r>
          </w:p>
        </w:tc>
      </w:tr>
      <w:tr>
        <w:trPr/>
        <w:tc>
          <w:tcPr>
            <w:tcW w:w="2105" w:type="dxa"/>
            <w:vMerge w:val="continue"/>
            <w:tcBorders/>
            <w:shd w:fill="CCEEFF" w:val="clear"/>
            <w:vAlign w:val="center"/>
          </w:tcPr>
          <w:p>
            <w:pPr>
              <w:pStyle w:val="Normal"/>
              <w:rPr/>
            </w:pPr>
            <w:r>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1,442,980</w:t>
            </w:r>
          </w:p>
        </w:tc>
        <w:tc>
          <w:tcPr>
            <w:tcW w:w="215" w:type="dxa"/>
            <w:tcBorders/>
            <w:shd w:fill="CCEEFF" w:val="clear"/>
            <w:vAlign w:val="center"/>
          </w:tcPr>
          <w:p>
            <w:pPr>
              <w:pStyle w:val="TableContents"/>
              <w:spacing w:before="0" w:after="283"/>
              <w:rPr/>
            </w:pPr>
            <w:r>
              <w:rPr/>
              <w:t>(7)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  </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175,255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1,718,235</w:t>
            </w:r>
          </w:p>
        </w:tc>
        <w:tc>
          <w:tcPr>
            <w:tcW w:w="75" w:type="dxa"/>
            <w:tcBorders/>
            <w:shd w:fill="CCEEFF" w:val="clear"/>
            <w:vAlign w:val="center"/>
          </w:tcPr>
          <w:p>
            <w:pPr>
              <w:pStyle w:val="TableContents"/>
              <w:spacing w:before="0" w:after="283"/>
              <w:rPr/>
            </w:pPr>
            <w:r>
              <w:rPr/>
              <w:t> </w:t>
            </w:r>
          </w:p>
        </w:tc>
      </w:tr>
      <w:tr>
        <w:trPr/>
        <w:tc>
          <w:tcPr>
            <w:tcW w:w="2105" w:type="dxa"/>
            <w:vMerge w:val="restart"/>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Sean E. Reilly</w:t>
              <w:br/>
            </w:r>
            <w:r>
              <w:rPr>
                <w:rFonts w:ascii="Times New Roman" w:hAnsi="Times New Roman"/>
                <w:i/>
                <w:sz w:val="20"/>
              </w:rPr>
              <w:t>Chief Executive Officer and President</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3,893,560</w:t>
            </w:r>
          </w:p>
        </w:tc>
        <w:tc>
          <w:tcPr>
            <w:tcW w:w="215"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800,000</w:t>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685,834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6,079,394</w:t>
            </w:r>
          </w:p>
        </w:tc>
        <w:tc>
          <w:tcPr>
            <w:tcW w:w="75" w:type="dxa"/>
            <w:tcBorders/>
            <w:shd w:fill="auto" w:val="clear"/>
            <w:vAlign w:val="center"/>
          </w:tcPr>
          <w:p>
            <w:pPr>
              <w:pStyle w:val="TableContents"/>
              <w:spacing w:before="0" w:after="283"/>
              <w:rPr/>
            </w:pPr>
            <w:r>
              <w:rPr/>
              <w:t> </w:t>
            </w:r>
          </w:p>
        </w:tc>
      </w:tr>
      <w:tr>
        <w:trPr/>
        <w:tc>
          <w:tcPr>
            <w:tcW w:w="210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4,035,240</w:t>
            </w:r>
          </w:p>
        </w:tc>
        <w:tc>
          <w:tcPr>
            <w:tcW w:w="215"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800,000</w:t>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399,518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5,934,758</w:t>
            </w:r>
          </w:p>
        </w:tc>
        <w:tc>
          <w:tcPr>
            <w:tcW w:w="75" w:type="dxa"/>
            <w:tcBorders/>
            <w:shd w:fill="auto" w:val="clear"/>
            <w:vAlign w:val="center"/>
          </w:tcPr>
          <w:p>
            <w:pPr>
              <w:pStyle w:val="TableContents"/>
              <w:spacing w:before="0" w:after="283"/>
              <w:rPr/>
            </w:pPr>
            <w:r>
              <w:rPr/>
              <w:t> </w:t>
            </w:r>
          </w:p>
        </w:tc>
      </w:tr>
      <w:tr>
        <w:trPr/>
        <w:tc>
          <w:tcPr>
            <w:tcW w:w="210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2,885,960</w:t>
            </w:r>
          </w:p>
        </w:tc>
        <w:tc>
          <w:tcPr>
            <w:tcW w:w="215"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113" w:type="dxa"/>
            <w:tcBorders/>
            <w:shd w:fill="auto" w:val="clear"/>
            <w:vAlign w:val="center"/>
          </w:tcPr>
          <w:p>
            <w:pPr>
              <w:pStyle w:val="TableContents"/>
              <w:spacing w:before="0" w:after="283"/>
              <w:rPr/>
            </w:pPr>
            <w:r>
              <w:rPr/>
              <w:t> </w:t>
            </w:r>
          </w:p>
        </w:tc>
        <w:tc>
          <w:tcPr>
            <w:tcW w:w="717"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  </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3" w:type="dxa"/>
            <w:tcBorders/>
            <w:shd w:fill="auto" w:val="clear"/>
            <w:vAlign w:val="center"/>
          </w:tcPr>
          <w:p>
            <w:pPr>
              <w:pStyle w:val="TableContents"/>
              <w:spacing w:before="0" w:after="283"/>
              <w:rPr/>
            </w:pPr>
            <w:r>
              <w:rPr/>
              <w:t> </w:t>
            </w:r>
          </w:p>
        </w:tc>
        <w:tc>
          <w:tcPr>
            <w:tcW w:w="1387" w:type="dxa"/>
            <w:tcBorders/>
            <w:shd w:fill="auto" w:val="clear"/>
            <w:vAlign w:val="center"/>
          </w:tcPr>
          <w:p>
            <w:pPr>
              <w:pStyle w:val="TableContents"/>
              <w:spacing w:before="0" w:after="283"/>
              <w:jc w:val="right"/>
              <w:rPr/>
            </w:pPr>
            <w:r>
              <w:rPr/>
              <w:t>326,700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3,912,660</w:t>
            </w:r>
          </w:p>
        </w:tc>
        <w:tc>
          <w:tcPr>
            <w:tcW w:w="75" w:type="dxa"/>
            <w:tcBorders/>
            <w:shd w:fill="auto" w:val="clear"/>
            <w:vAlign w:val="center"/>
          </w:tcPr>
          <w:p>
            <w:pPr>
              <w:pStyle w:val="TableContents"/>
              <w:spacing w:before="0" w:after="283"/>
              <w:rPr/>
            </w:pPr>
            <w:r>
              <w:rPr/>
              <w:t> </w:t>
            </w:r>
          </w:p>
        </w:tc>
      </w:tr>
      <w:tr>
        <w:trPr/>
        <w:tc>
          <w:tcPr>
            <w:tcW w:w="2105" w:type="dxa"/>
            <w:vMerge w:val="restart"/>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Jay L. Johnson</w:t>
              <w:br/>
            </w:r>
            <w:r>
              <w:rPr>
                <w:rFonts w:ascii="Times New Roman" w:hAnsi="Times New Roman"/>
                <w:i/>
                <w:sz w:val="20"/>
              </w:rPr>
              <w:t>Executive Vice President, Chief Financial Officer and Treasurer</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600,000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1,946,780</w:t>
            </w:r>
          </w:p>
        </w:tc>
        <w:tc>
          <w:tcPr>
            <w:tcW w:w="215" w:type="dxa"/>
            <w:tcBorders/>
            <w:shd w:fill="CCEEFF" w:val="clear"/>
            <w:vAlign w:val="center"/>
          </w:tcPr>
          <w:p>
            <w:pPr>
              <w:pStyle w:val="TableContents"/>
              <w:spacing w:before="0" w:after="283"/>
              <w:rPr/>
            </w:pPr>
            <w:r>
              <w:rPr/>
              <w:t>(5)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600,000</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112,900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3,259,680</w:t>
            </w:r>
          </w:p>
        </w:tc>
        <w:tc>
          <w:tcPr>
            <w:tcW w:w="75" w:type="dxa"/>
            <w:tcBorders/>
            <w:shd w:fill="CCEEFF" w:val="clear"/>
            <w:vAlign w:val="center"/>
          </w:tcPr>
          <w:p>
            <w:pPr>
              <w:pStyle w:val="TableContents"/>
              <w:spacing w:before="0" w:after="283"/>
              <w:rPr/>
            </w:pPr>
            <w:r>
              <w:rPr/>
              <w:t> </w:t>
            </w:r>
          </w:p>
        </w:tc>
      </w:tr>
      <w:tr>
        <w:trPr/>
        <w:tc>
          <w:tcPr>
            <w:tcW w:w="2105" w:type="dxa"/>
            <w:vMerge w:val="continue"/>
            <w:tcBorders/>
            <w:shd w:fill="CCEEFF" w:val="clear"/>
            <w:vAlign w:val="center"/>
          </w:tcPr>
          <w:p>
            <w:pPr>
              <w:pStyle w:val="Normal"/>
              <w:rPr/>
            </w:pPr>
            <w:r>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600,000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2,017,620</w:t>
            </w:r>
          </w:p>
        </w:tc>
        <w:tc>
          <w:tcPr>
            <w:tcW w:w="215" w:type="dxa"/>
            <w:tcBorders/>
            <w:shd w:fill="CCEEFF" w:val="clear"/>
            <w:vAlign w:val="center"/>
          </w:tcPr>
          <w:p>
            <w:pPr>
              <w:pStyle w:val="TableContents"/>
              <w:spacing w:before="0" w:after="283"/>
              <w:rPr/>
            </w:pPr>
            <w:r>
              <w:rPr/>
              <w:t>(6)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600,000</w:t>
            </w:r>
          </w:p>
        </w:tc>
        <w:tc>
          <w:tcPr>
            <w:tcW w:w="2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74,255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3,291,875</w:t>
            </w:r>
          </w:p>
        </w:tc>
        <w:tc>
          <w:tcPr>
            <w:tcW w:w="75" w:type="dxa"/>
            <w:tcBorders/>
            <w:shd w:fill="CCEEFF" w:val="clear"/>
            <w:vAlign w:val="center"/>
          </w:tcPr>
          <w:p>
            <w:pPr>
              <w:pStyle w:val="TableContents"/>
              <w:spacing w:before="0" w:after="283"/>
              <w:rPr/>
            </w:pPr>
            <w:r>
              <w:rPr/>
              <w:t> </w:t>
            </w:r>
          </w:p>
        </w:tc>
      </w:tr>
      <w:tr>
        <w:trPr/>
        <w:tc>
          <w:tcPr>
            <w:tcW w:w="2105" w:type="dxa"/>
            <w:vMerge w:val="continue"/>
            <w:tcBorders/>
            <w:shd w:fill="CCEEFF" w:val="clear"/>
            <w:vAlign w:val="center"/>
          </w:tcPr>
          <w:p>
            <w:pPr>
              <w:pStyle w:val="Normal"/>
              <w:rPr/>
            </w:pPr>
            <w:r>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00" w:type="dxa"/>
            <w:tcBorders/>
            <w:shd w:fill="CCEEFF" w:val="clear"/>
            <w:vAlign w:val="center"/>
          </w:tcPr>
          <w:p>
            <w:pPr>
              <w:pStyle w:val="TableContents"/>
              <w:spacing w:before="0" w:after="283"/>
              <w:jc w:val="right"/>
              <w:rPr/>
            </w:pPr>
            <w:r>
              <w:rPr/>
              <w:t>2020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600,000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57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2,042,980</w:t>
            </w:r>
          </w:p>
        </w:tc>
        <w:tc>
          <w:tcPr>
            <w:tcW w:w="215" w:type="dxa"/>
            <w:tcBorders/>
            <w:shd w:fill="CCEEFF" w:val="clear"/>
            <w:vAlign w:val="center"/>
          </w:tcPr>
          <w:p>
            <w:pPr>
              <w:pStyle w:val="TableContents"/>
              <w:spacing w:before="0" w:after="283"/>
              <w:rPr/>
            </w:pPr>
            <w:r>
              <w:rPr/>
              <w:t>(7)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rPr/>
            </w:pPr>
            <w:r>
              <w:rPr/>
              <w:t> </w:t>
            </w:r>
          </w:p>
        </w:tc>
        <w:tc>
          <w:tcPr>
            <w:tcW w:w="717"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315,000</w:t>
            </w:r>
          </w:p>
        </w:tc>
        <w:tc>
          <w:tcPr>
            <w:tcW w:w="215" w:type="dxa"/>
            <w:tcBorders/>
            <w:shd w:fill="CCEEFF" w:val="clear"/>
            <w:vAlign w:val="center"/>
          </w:tcPr>
          <w:p>
            <w:pPr>
              <w:pStyle w:val="TableContents"/>
              <w:spacing w:before="0" w:after="283"/>
              <w:rPr/>
            </w:pPr>
            <w:r>
              <w:rPr/>
              <w:t>(8) </w:t>
            </w:r>
          </w:p>
        </w:tc>
        <w:tc>
          <w:tcPr>
            <w:tcW w:w="60" w:type="dxa"/>
            <w:tcBorders/>
            <w:shd w:fill="CCEEFF" w:val="clear"/>
            <w:vAlign w:val="center"/>
          </w:tcPr>
          <w:p>
            <w:pPr>
              <w:pStyle w:val="TableContents"/>
              <w:spacing w:before="0" w:after="283"/>
              <w:rPr/>
            </w:pPr>
            <w:r>
              <w:rPr/>
              <w:t> </w:t>
            </w:r>
          </w:p>
        </w:tc>
        <w:tc>
          <w:tcPr>
            <w:tcW w:w="103" w:type="dxa"/>
            <w:tcBorders/>
            <w:shd w:fill="CCEEFF" w:val="clear"/>
            <w:vAlign w:val="center"/>
          </w:tcPr>
          <w:p>
            <w:pPr>
              <w:pStyle w:val="TableContents"/>
              <w:spacing w:before="0" w:after="283"/>
              <w:rPr/>
            </w:pPr>
            <w:r>
              <w:rPr/>
              <w:t> </w:t>
            </w:r>
          </w:p>
        </w:tc>
        <w:tc>
          <w:tcPr>
            <w:tcW w:w="1387" w:type="dxa"/>
            <w:tcBorders/>
            <w:shd w:fill="CCEEFF" w:val="clear"/>
            <w:vAlign w:val="center"/>
          </w:tcPr>
          <w:p>
            <w:pPr>
              <w:pStyle w:val="TableContents"/>
              <w:spacing w:before="0" w:after="283"/>
              <w:jc w:val="right"/>
              <w:rPr/>
            </w:pPr>
            <w:r>
              <w:rPr/>
              <w:t>94,079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3,052,059</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jc w:val="left"/>
              <w:rPr/>
            </w:pPr>
            <w:r>
              <w:rPr/>
              <w:t>(1)</w:t>
            </w:r>
          </w:p>
        </w:tc>
        <w:tc>
          <w:tcPr>
            <w:tcW w:w="996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Reflects the aggregate grant date fair value recognized for financial statement reporting purposes in accordance with ASC Topic 718. With respect to performance-based stock awards and LTIP Units, the grant date fair value is calculated assuming the probable outcome of achievement, which on the grant date was expected to be 100% of the target equity incentive award amount, rather than the value of the actual award earned on the date when issued to the officer. For the assumptions underlying the valuation of these awards see Note 15 to the Consolidated Financial Statements included in our Annual Report on Form 10-K for the fiscal year ended December 31, 2022, filed with the SEC on February 24, 2023. With respect to discretionary stock grants, the grant date fair value is calculated as of the date of grant. </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(2)</w:t>
            </w:r>
          </w:p>
        </w:tc>
        <w:tc>
          <w:tcPr>
            <w:tcW w:w="996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shown in the “Non-Equity Incentive Plan Compensation” column reflect the incentive cash awards granted at the beginning of each year, earned based on performance during that fiscal year and paid in the following fiscal year. The 2022 awards are described in further detail under the headings “Performance-Based Incentive Compensation” and “Incentive Cash Bonus” in the Compensation Discussion and Analysis and are also reflected in the table “Grants of Plan-Based Awards in Fiscal Year 2022” under the column “Estimated Future Payouts Under Non-Equity Incentive Plan Awards.” </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jc w:val="left"/>
              <w:rPr/>
            </w:pPr>
            <w:r>
              <w:rPr/>
              <w:t>(3)</w:t>
            </w:r>
          </w:p>
        </w:tc>
        <w:tc>
          <w:tcPr>
            <w:tcW w:w="99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$56,317, $53,253, and $105,997 for Mr. Kevin P. Reilly, Jr. and $513,534, $340,989, and $269,028 for Mr. Sean E. Reilly for the personal use of the Company aircraft in 2022, 2021 and 2020, respectively, as further described below. For Mr. Johnson, includes $4,411 for the personal use of the Company aircraft and $16,844 for storage of household goods in 2021, and $43,579 for storage of household goods in 2020 related to his relocation to Baton Rouge, LA. Also includes $59,400 for each of Mr. Kevin P. Reilly, Jr. and Mr. Johnson and $118,800 for Mr. Sean Reilly in respect of dividends paid on unvested LTIP Units during 2022. The amounts included in the “All Other Compensation” column also include the following perquisites provided to our named executive officers (except as otherwise indicated), which are valued at the Company’s incremental cost, none of which individually exceeded $25,000: (a) personal use of a Company car, (b) Company-paid health insurance premiums and medical reimbursements, (c) personal use of a Company-owned recreational facility by Mr. Sean E. Reilly and Mr. Kevin P. Reilly, Jr. and (d) Company-paid premiums for term life insurance for Mr. Kevin P. Reilly, Jr in 2020. Executives also have access to a country club at which the Company has a membership, but each executive pays all fees related to such personal use, resulting in no additional incremental cost to the Company. </w:t>
            </w:r>
          </w:p>
        </w:tc>
      </w:tr>
    </w:tbl>
    <w:p>
      <w:pPr>
        <w:pStyle w:val="TextBody"/>
        <w:spacing w:before="120" w:after="0"/>
        <w:jc w:val="left"/>
        <w:rPr>
          <w:rFonts w:ascii="Times New Roman" w:hAnsi="Times New Roman"/>
          <w:sz w:val="20"/>
        </w:rPr>
      </w:pPr>
      <w:r>
        <w:rPr>
          <w:rFonts w:ascii="Times New Roman" w:hAnsi="Times New Roman"/>
          <w:sz w:val="20"/>
        </w:rPr>
        <w:t xml:space="preserve">The Company’s incremental cost for personal use of the corporate aircraft is based on the incremental cost to the Company calculated based on the variable costs, related to the number of flight hours used, including fuel costs, landing/ramp fees, trip-related maintenance, crew travel expenses, supplies and catering, aircraft accrual expenses per hour of flight, any customs and foreign permit or similar fees. Our fixed costs that do not change based on usage, such as pilot salaries and the cost of maintenance not related to trips are excluded. The incremental cost to the Company for personal use of a Company car is calculated as a portion of the annual lease, mileage and fuel attributable to the personal use.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(4)</w:t>
            </w:r>
          </w:p>
        </w:tc>
        <w:tc>
          <w:tcPr>
            <w:tcW w:w="993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Also includes employer contributions under the Company’s deferred compensation plan of $50,000 for each of Mr. Kevin P. Reilly, Jr., Mr. Sean E. Reilly and Mr. Johnson for 2022, 2021 and 2020. </w:t>
            </w:r>
          </w:p>
        </w:tc>
      </w:tr>
    </w:tbl>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t>(5)</w:t>
            </w:r>
          </w:p>
        </w:tc>
        <w:tc>
          <w:tcPr>
            <w:tcW w:w="994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ASC Topic 718 value of the LTIP Units that vested based on achievement of performance goals for fiscal 2022, which awards were certified as earned by the Compensation Committee on February 23, 2023 was $3,893,560 for Mr. Sean E. Reilly and was $1,946,780 for each of Mr. Kevin P. Reilly, Jr. and Mr. Johnson. </w:t>
            </w:r>
          </w:p>
        </w:tc>
      </w:tr>
    </w:tbl>
    <w:tbl>
      <w:tblPr>
        <w:tblW w:w="10205" w:type="dxa"/>
        <w:jc w:val="left"/>
        <w:tblInd w:w="0" w:type="dxa"/>
        <w:tblCellMar>
          <w:top w:w="0" w:type="dxa"/>
          <w:left w:w="0" w:type="dxa"/>
          <w:bottom w:w="0" w:type="dxa"/>
          <w:right w:w="0" w:type="dxa"/>
        </w:tblCellMar>
      </w:tblPr>
      <w:tblGrid>
        <w:gridCol w:w="255"/>
        <w:gridCol w:w="9950"/>
      </w:tblGrid>
      <w:tr>
        <w:trPr/>
        <w:tc>
          <w:tcPr>
            <w:tcW w:w="255" w:type="dxa"/>
            <w:tcBorders/>
            <w:shd w:fill="auto" w:val="clear"/>
            <w:vAlign w:val="center"/>
          </w:tcPr>
          <w:p>
            <w:pPr>
              <w:pStyle w:val="TableContents"/>
              <w:spacing w:before="0" w:after="283"/>
              <w:jc w:val="left"/>
              <w:rPr/>
            </w:pPr>
            <w:r>
              <w:rPr/>
              <w:t>(6)</w:t>
            </w:r>
          </w:p>
        </w:tc>
        <w:tc>
          <w:tcPr>
            <w:tcW w:w="995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ASC Topic 718 value of the shares actually earned based on achievement of performance goals for fiscal 2021, which awards were certified as earned by the Compensation Committee and issued on February 22, 2022 was $4,833,400 for Mr. Sean E. Reilly and was $2,416,700 for each of Mr. Kevin P. Reilly, Jr. and Mr. Johnson. </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(7)</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No shares were earned based on achievement of performance goals for fiscal 2020 for each of Mr. Kevin P. Reilly, Jr. and Mr. Sean E. Reilly. As agreed at the time of his hiring in 2019, in consideration of the fact that 2020 was Mr. Johnson’s first full year as Chief Financial Officer, Mr. Johnson received (i) a stock award with a grant date fair value of $600,000 as of February 19, 2020, paid in February 2020 in respect of 2019 performance and (ii) a stock award with a grant date fair value of $1,442,980 as of March 13, 2020, paid in February 2021 in respect of 2020 performance. </w:t>
            </w:r>
          </w:p>
        </w:tc>
      </w:tr>
    </w:tbl>
    <w:tbl>
      <w:tblPr>
        <w:tblW w:w="7090" w:type="dxa"/>
        <w:jc w:val="left"/>
        <w:tblInd w:w="0" w:type="dxa"/>
        <w:tblCellMar>
          <w:top w:w="0" w:type="dxa"/>
          <w:left w:w="0" w:type="dxa"/>
          <w:bottom w:w="0" w:type="dxa"/>
          <w:right w:w="0" w:type="dxa"/>
        </w:tblCellMar>
      </w:tblPr>
      <w:tblGrid>
        <w:gridCol w:w="305"/>
        <w:gridCol w:w="6785"/>
      </w:tblGrid>
      <w:tr>
        <w:trPr/>
        <w:tc>
          <w:tcPr>
            <w:tcW w:w="305" w:type="dxa"/>
            <w:tcBorders/>
            <w:shd w:fill="auto" w:val="clear"/>
            <w:vAlign w:val="center"/>
          </w:tcPr>
          <w:p>
            <w:pPr>
              <w:pStyle w:val="TableContents"/>
              <w:spacing w:before="0" w:after="283"/>
              <w:jc w:val="left"/>
              <w:rPr/>
            </w:pPr>
            <w:r>
              <w:rPr/>
              <w:t>(8)</w:t>
            </w:r>
          </w:p>
        </w:tc>
        <w:tc>
          <w:tcPr>
            <w:tcW w:w="67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Cash bonus paid to Mr. Johnson in February 2020 in respect of his service in 2019.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Grants of Plan-Based Awards in Fiscal Year 2022 </w:t>
      </w:r>
    </w:p>
    <w:p>
      <w:pPr>
        <w:pStyle w:val="TextBody"/>
        <w:spacing w:before="0" w:after="0"/>
        <w:jc w:val="left"/>
        <w:rPr/>
      </w:pPr>
      <w:r>
        <w:rPr/>
        <w:t> </w:t>
      </w:r>
    </w:p>
    <w:tbl>
      <w:tblPr>
        <w:tblW w:w="10598" w:type="dxa"/>
        <w:jc w:val="left"/>
        <w:tblInd w:w="0" w:type="dxa"/>
        <w:tblCellMar>
          <w:top w:w="0" w:type="dxa"/>
          <w:left w:w="0" w:type="dxa"/>
          <w:bottom w:w="0" w:type="dxa"/>
          <w:right w:w="0" w:type="dxa"/>
        </w:tblCellMar>
      </w:tblPr>
      <w:tblGrid>
        <w:gridCol w:w="710"/>
        <w:gridCol w:w="120"/>
        <w:gridCol w:w="125"/>
        <w:gridCol w:w="1050"/>
        <w:gridCol w:w="60"/>
        <w:gridCol w:w="120"/>
        <w:gridCol w:w="74"/>
        <w:gridCol w:w="996"/>
        <w:gridCol w:w="69"/>
        <w:gridCol w:w="138"/>
        <w:gridCol w:w="69"/>
        <w:gridCol w:w="923"/>
        <w:gridCol w:w="69"/>
        <w:gridCol w:w="138"/>
        <w:gridCol w:w="74"/>
        <w:gridCol w:w="996"/>
        <w:gridCol w:w="60"/>
        <w:gridCol w:w="120"/>
        <w:gridCol w:w="86"/>
        <w:gridCol w:w="984"/>
        <w:gridCol w:w="68"/>
        <w:gridCol w:w="136"/>
        <w:gridCol w:w="68"/>
        <w:gridCol w:w="776"/>
        <w:gridCol w:w="68"/>
        <w:gridCol w:w="136"/>
        <w:gridCol w:w="85"/>
        <w:gridCol w:w="985"/>
        <w:gridCol w:w="60"/>
        <w:gridCol w:w="120"/>
        <w:gridCol w:w="60"/>
        <w:gridCol w:w="980"/>
        <w:gridCol w:w="75"/>
      </w:tblGrid>
      <w:tr>
        <w:trPr/>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546" w:type="dxa"/>
            <w:gridSpan w:val="10"/>
            <w:tcBorders>
              <w:bottom w:val="single" w:sz="8" w:space="0" w:color="000000"/>
            </w:tcBorders>
            <w:shd w:fill="auto" w:val="clear"/>
            <w:tcMar>
              <w:bottom w:w="28" w:type="dxa"/>
            </w:tcMar>
            <w:vAlign w:val="center"/>
          </w:tcPr>
          <w:p>
            <w:pPr>
              <w:pStyle w:val="TableContents"/>
              <w:spacing w:before="0" w:after="283"/>
              <w:jc w:val="center"/>
              <w:rPr/>
            </w:pPr>
            <w:r>
              <w:rPr>
                <w:b/>
              </w:rPr>
              <w:t>Estimated Future Payouts Under</w:t>
            </w:r>
            <w:r>
              <w:rPr/>
              <w:br/>
            </w:r>
            <w:r>
              <w:rPr>
                <w:b/>
              </w:rPr>
              <w:t>Non-Equity Incentive Plan</w:t>
            </w:r>
            <w:r>
              <w:rPr/>
              <w:br/>
            </w:r>
            <w:r>
              <w:rPr>
                <w:b/>
              </w:rPr>
              <w:t>Awards(1)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392" w:type="dxa"/>
            <w:gridSpan w:val="10"/>
            <w:tcBorders>
              <w:bottom w:val="single" w:sz="8" w:space="0" w:color="000000"/>
            </w:tcBorders>
            <w:shd w:fill="auto" w:val="clear"/>
            <w:tcMar>
              <w:bottom w:w="28" w:type="dxa"/>
            </w:tcMar>
            <w:vAlign w:val="center"/>
          </w:tcPr>
          <w:p>
            <w:pPr>
              <w:pStyle w:val="TableContents"/>
              <w:spacing w:before="0" w:after="283"/>
              <w:jc w:val="center"/>
              <w:rPr/>
            </w:pPr>
            <w:r>
              <w:rPr>
                <w:b/>
              </w:rPr>
              <w:t>Estimated Future Payouts</w:t>
            </w:r>
            <w:r>
              <w:rPr/>
              <w:br/>
            </w:r>
            <w:r>
              <w:rPr>
                <w:b/>
              </w:rPr>
              <w:t>Under Equity Incentive Plan</w:t>
            </w:r>
            <w:r>
              <w:rPr/>
              <w:br/>
            </w:r>
            <w:r>
              <w:rPr>
                <w:b/>
              </w:rPr>
              <w:t>Awards(2)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Grant</w:t>
            </w:r>
          </w:p>
          <w:p>
            <w:pPr>
              <w:pStyle w:val="TableContents"/>
              <w:spacing w:before="0" w:after="0"/>
              <w:jc w:val="center"/>
              <w:rPr>
                <w:rFonts w:ascii="Times New Roman" w:hAnsi="Times New Roman"/>
                <w:b/>
                <w:sz w:val="16"/>
              </w:rPr>
            </w:pPr>
            <w:r>
              <w:rPr>
                <w:rFonts w:ascii="Times New Roman" w:hAnsi="Times New Roman"/>
                <w:b/>
                <w:sz w:val="16"/>
              </w:rPr>
              <w:t>Date Fair</w:t>
            </w:r>
          </w:p>
          <w:p>
            <w:pPr>
              <w:pStyle w:val="TableContents"/>
              <w:spacing w:before="0" w:after="0"/>
              <w:jc w:val="center"/>
              <w:rPr>
                <w:rFonts w:ascii="Times New Roman" w:hAnsi="Times New Roman"/>
                <w:b/>
                <w:sz w:val="16"/>
              </w:rPr>
            </w:pPr>
            <w:r>
              <w:rPr>
                <w:rFonts w:ascii="Times New Roman" w:hAnsi="Times New Roman"/>
                <w:b/>
                <w:sz w:val="16"/>
              </w:rPr>
              <w:t>Value of</w:t>
            </w:r>
          </w:p>
          <w:p>
            <w:pPr>
              <w:pStyle w:val="TableContents"/>
              <w:spacing w:before="0" w:after="0"/>
              <w:jc w:val="center"/>
              <w:rPr>
                <w:rFonts w:ascii="Times New Roman" w:hAnsi="Times New Roman"/>
                <w:b/>
                <w:sz w:val="16"/>
              </w:rPr>
            </w:pPr>
            <w:r>
              <w:rPr>
                <w:rFonts w:ascii="Times New Roman" w:hAnsi="Times New Roman"/>
                <w:b/>
                <w:sz w:val="16"/>
              </w:rPr>
              <w:t>Stock and</w:t>
            </w:r>
          </w:p>
          <w:p>
            <w:pPr>
              <w:pStyle w:val="TableContents"/>
              <w:spacing w:before="0" w:after="20"/>
              <w:jc w:val="center"/>
              <w:rPr>
                <w:rFonts w:ascii="Times New Roman" w:hAnsi="Times New Roman"/>
                <w:b/>
                <w:sz w:val="16"/>
              </w:rPr>
            </w:pPr>
            <w:r>
              <w:rPr>
                <w:rFonts w:ascii="Times New Roman" w:hAnsi="Times New Roman"/>
                <w:b/>
                <w:sz w:val="16"/>
              </w:rPr>
              <w:t>Option</w:t>
            </w:r>
          </w:p>
        </w:tc>
        <w:tc>
          <w:tcPr>
            <w:tcW w:w="75" w:type="dxa"/>
            <w:tcBorders/>
            <w:shd w:fill="auto" w:val="clear"/>
            <w:vAlign w:val="center"/>
          </w:tcPr>
          <w:p>
            <w:pPr>
              <w:pStyle w:val="TableContents"/>
              <w:spacing w:before="0" w:after="283"/>
              <w:rPr/>
            </w:pPr>
            <w:r>
              <w:rPr/>
              <w:t> </w:t>
            </w:r>
          </w:p>
        </w:tc>
      </w:tr>
      <w:tr>
        <w:trPr/>
        <w:tc>
          <w:tcPr>
            <w:tcW w:w="71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Grant Date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Threshold</w:t>
            </w:r>
            <w:r>
              <w:rPr/>
              <w:br/>
            </w:r>
            <w:r>
              <w:rPr>
                <w:b/>
              </w:rPr>
              <w:t>($)</w:t>
            </w:r>
          </w:p>
        </w:tc>
        <w:tc>
          <w:tcPr>
            <w:tcW w:w="69"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992"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Target</w:t>
            </w:r>
            <w:r>
              <w:rPr/>
              <w:br/>
            </w:r>
            <w:r>
              <w:rPr>
                <w:b/>
              </w:rPr>
              <w:t>($)</w:t>
            </w:r>
          </w:p>
        </w:tc>
        <w:tc>
          <w:tcPr>
            <w:tcW w:w="69"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Maximum</w:t>
            </w:r>
            <w:r>
              <w:rPr/>
              <w:br/>
            </w:r>
            <w:r>
              <w:rPr>
                <w:b/>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Threshold</w:t>
            </w:r>
            <w:r>
              <w:rPr/>
              <w:br/>
            </w:r>
            <w:r>
              <w:rPr>
                <w:b/>
              </w:rPr>
              <w:t>(#)</w:t>
            </w:r>
          </w:p>
        </w:tc>
        <w:tc>
          <w:tcPr>
            <w:tcW w:w="68"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844"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Target</w:t>
            </w:r>
            <w:r>
              <w:rPr/>
              <w:br/>
            </w:r>
            <w:r>
              <w:rPr>
                <w:b/>
              </w:rPr>
              <w:t>(#)</w:t>
            </w:r>
          </w:p>
        </w:tc>
        <w:tc>
          <w:tcPr>
            <w:tcW w:w="68"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107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Maximum</w:t>
            </w:r>
            <w:r>
              <w:rPr/>
              <w:br/>
            </w:r>
            <w:r>
              <w:rPr>
                <w:b/>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Awards</w:t>
            </w:r>
            <w:r>
              <w:rPr/>
              <w:br/>
            </w:r>
            <w:r>
              <w:rPr>
                <w:b/>
              </w:rPr>
              <w:t>($)(3)</w:t>
            </w:r>
          </w:p>
        </w:tc>
        <w:tc>
          <w:tcPr>
            <w:tcW w:w="75" w:type="dxa"/>
            <w:tcBorders/>
            <w:shd w:fill="auto" w:val="clear"/>
            <w:vAlign w:val="center"/>
          </w:tcPr>
          <w:p>
            <w:pPr>
              <w:pStyle w:val="TableContents"/>
              <w:spacing w:before="0" w:after="283"/>
              <w:rPr/>
            </w:pPr>
            <w:r>
              <w:rPr/>
              <w:t> </w:t>
            </w:r>
          </w:p>
        </w:tc>
      </w:tr>
      <w:tr>
        <w:trPr/>
        <w:tc>
          <w:tcPr>
            <w:tcW w:w="7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Kevin P. Reilly, Jr.</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3/29/2022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162,500</w:t>
            </w:r>
          </w:p>
        </w:tc>
        <w:tc>
          <w:tcPr>
            <w:tcW w:w="69"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3" w:type="dxa"/>
            <w:tcBorders/>
            <w:shd w:fill="CCEEFF" w:val="clear"/>
            <w:vAlign w:val="center"/>
          </w:tcPr>
          <w:p>
            <w:pPr>
              <w:pStyle w:val="TableContents"/>
              <w:spacing w:before="0" w:after="283"/>
              <w:jc w:val="right"/>
              <w:rPr/>
            </w:pPr>
            <w:r>
              <w:rPr/>
              <w:t>250,000</w:t>
            </w:r>
          </w:p>
        </w:tc>
        <w:tc>
          <w:tcPr>
            <w:tcW w:w="69"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500,000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sz w:val="4"/>
                <w:szCs w:val="4"/>
              </w:rPr>
            </w:pPr>
            <w:r>
              <w:rPr>
                <w:sz w:val="4"/>
                <w:szCs w:val="4"/>
              </w:rPr>
            </w:r>
          </w:p>
        </w:tc>
        <w:tc>
          <w:tcPr>
            <w:tcW w:w="984" w:type="dxa"/>
            <w:tcBorders/>
            <w:shd w:fill="CCEEFF" w:val="clear"/>
            <w:vAlign w:val="center"/>
          </w:tcPr>
          <w:p>
            <w:pPr>
              <w:pStyle w:val="TableContents"/>
              <w:spacing w:before="0" w:after="283"/>
              <w:rPr>
                <w:sz w:val="4"/>
                <w:szCs w:val="4"/>
              </w:rPr>
            </w:pPr>
            <w:r>
              <w:rPr>
                <w:sz w:val="4"/>
                <w:szCs w:val="4"/>
              </w:rPr>
            </w:r>
          </w:p>
        </w:tc>
        <w:tc>
          <w:tcPr>
            <w:tcW w:w="68" w:type="dxa"/>
            <w:tcBorders/>
            <w:shd w:fill="CCEEFF" w:val="clear"/>
            <w:vAlign w:val="center"/>
          </w:tcPr>
          <w:p>
            <w:pPr>
              <w:pStyle w:val="TableContents"/>
              <w:spacing w:before="0" w:after="283"/>
              <w:rPr>
                <w:sz w:val="4"/>
                <w:szCs w:val="4"/>
              </w:rPr>
            </w:pPr>
            <w:r>
              <w:rPr>
                <w:sz w:val="4"/>
                <w:szCs w:val="4"/>
              </w:rPr>
            </w:r>
          </w:p>
        </w:tc>
        <w:tc>
          <w:tcPr>
            <w:tcW w:w="136"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sz w:val="4"/>
                <w:szCs w:val="4"/>
              </w:rPr>
            </w:pPr>
            <w:r>
              <w:rPr>
                <w:sz w:val="4"/>
                <w:szCs w:val="4"/>
              </w:rPr>
            </w:r>
          </w:p>
        </w:tc>
        <w:tc>
          <w:tcPr>
            <w:tcW w:w="776" w:type="dxa"/>
            <w:tcBorders/>
            <w:shd w:fill="CCEEFF" w:val="clear"/>
            <w:vAlign w:val="center"/>
          </w:tcPr>
          <w:p>
            <w:pPr>
              <w:pStyle w:val="TableContents"/>
              <w:spacing w:before="0" w:after="283"/>
              <w:rPr>
                <w:sz w:val="4"/>
                <w:szCs w:val="4"/>
              </w:rPr>
            </w:pPr>
            <w:r>
              <w:rPr>
                <w:sz w:val="4"/>
                <w:szCs w:val="4"/>
              </w:rPr>
            </w:r>
          </w:p>
        </w:tc>
        <w:tc>
          <w:tcPr>
            <w:tcW w:w="68" w:type="dxa"/>
            <w:tcBorders/>
            <w:shd w:fill="CCEEFF" w:val="clear"/>
            <w:vAlign w:val="center"/>
          </w:tcPr>
          <w:p>
            <w:pPr>
              <w:pStyle w:val="TableContents"/>
              <w:spacing w:before="0" w:after="283"/>
              <w:rPr>
                <w:sz w:val="4"/>
                <w:szCs w:val="4"/>
              </w:rPr>
            </w:pPr>
            <w:r>
              <w:rPr>
                <w:sz w:val="4"/>
                <w:szCs w:val="4"/>
              </w:rPr>
            </w:r>
          </w:p>
        </w:tc>
        <w:tc>
          <w:tcPr>
            <w:tcW w:w="136"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sz w:val="4"/>
                <w:szCs w:val="4"/>
              </w:rPr>
            </w:pPr>
            <w:r>
              <w:rPr>
                <w:sz w:val="4"/>
                <w:szCs w:val="4"/>
              </w:rPr>
            </w:r>
          </w:p>
        </w:tc>
        <w:tc>
          <w:tcPr>
            <w:tcW w:w="98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71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7/1/2022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sz w:val="4"/>
                <w:szCs w:val="4"/>
              </w:rPr>
            </w:pPr>
            <w:r>
              <w:rPr>
                <w:sz w:val="4"/>
                <w:szCs w:val="4"/>
              </w:rPr>
            </w:r>
          </w:p>
        </w:tc>
        <w:tc>
          <w:tcPr>
            <w:tcW w:w="996" w:type="dxa"/>
            <w:tcBorders/>
            <w:shd w:fill="CCEEFF" w:val="clear"/>
            <w:vAlign w:val="center"/>
          </w:tcPr>
          <w:p>
            <w:pPr>
              <w:pStyle w:val="TableContents"/>
              <w:spacing w:before="0" w:after="283"/>
              <w:rPr>
                <w:sz w:val="4"/>
                <w:szCs w:val="4"/>
              </w:rPr>
            </w:pPr>
            <w:r>
              <w:rPr>
                <w:sz w:val="4"/>
                <w:szCs w:val="4"/>
              </w:rPr>
            </w:r>
          </w:p>
        </w:tc>
        <w:tc>
          <w:tcPr>
            <w:tcW w:w="69" w:type="dxa"/>
            <w:tcBorders/>
            <w:shd w:fill="CCEEFF" w:val="clear"/>
            <w:vAlign w:val="center"/>
          </w:tcPr>
          <w:p>
            <w:pPr>
              <w:pStyle w:val="TableContents"/>
              <w:spacing w:before="0" w:after="283"/>
              <w:rPr>
                <w:sz w:val="4"/>
                <w:szCs w:val="4"/>
              </w:rPr>
            </w:pPr>
            <w:r>
              <w:rPr>
                <w:sz w:val="4"/>
                <w:szCs w:val="4"/>
              </w:rPr>
            </w:r>
          </w:p>
        </w:tc>
        <w:tc>
          <w:tcPr>
            <w:tcW w:w="138"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sz w:val="4"/>
                <w:szCs w:val="4"/>
              </w:rPr>
            </w:pPr>
            <w:r>
              <w:rPr>
                <w:sz w:val="4"/>
                <w:szCs w:val="4"/>
              </w:rPr>
            </w:r>
          </w:p>
        </w:tc>
        <w:tc>
          <w:tcPr>
            <w:tcW w:w="923" w:type="dxa"/>
            <w:tcBorders/>
            <w:shd w:fill="CCEEFF" w:val="clear"/>
            <w:vAlign w:val="center"/>
          </w:tcPr>
          <w:p>
            <w:pPr>
              <w:pStyle w:val="TableContents"/>
              <w:spacing w:before="0" w:after="283"/>
              <w:rPr>
                <w:sz w:val="4"/>
                <w:szCs w:val="4"/>
              </w:rPr>
            </w:pPr>
            <w:r>
              <w:rPr>
                <w:sz w:val="4"/>
                <w:szCs w:val="4"/>
              </w:rPr>
            </w:r>
          </w:p>
        </w:tc>
        <w:tc>
          <w:tcPr>
            <w:tcW w:w="69" w:type="dxa"/>
            <w:tcBorders/>
            <w:shd w:fill="CCEEFF" w:val="clear"/>
            <w:vAlign w:val="center"/>
          </w:tcPr>
          <w:p>
            <w:pPr>
              <w:pStyle w:val="TableContents"/>
              <w:spacing w:before="0" w:after="283"/>
              <w:rPr>
                <w:sz w:val="4"/>
                <w:szCs w:val="4"/>
              </w:rPr>
            </w:pPr>
            <w:r>
              <w:rPr>
                <w:sz w:val="4"/>
                <w:szCs w:val="4"/>
              </w:rPr>
            </w:r>
          </w:p>
        </w:tc>
        <w:tc>
          <w:tcPr>
            <w:tcW w:w="138"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sz w:val="4"/>
                <w:szCs w:val="4"/>
              </w:rPr>
            </w:pPr>
            <w:r>
              <w:rPr>
                <w:sz w:val="4"/>
                <w:szCs w:val="4"/>
              </w:rPr>
            </w:r>
          </w:p>
        </w:tc>
        <w:tc>
          <w:tcPr>
            <w:tcW w:w="99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984" w:type="dxa"/>
            <w:tcBorders/>
            <w:shd w:fill="CCEEFF" w:val="clear"/>
            <w:vAlign w:val="center"/>
          </w:tcPr>
          <w:p>
            <w:pPr>
              <w:pStyle w:val="TableContents"/>
              <w:spacing w:before="0" w:after="283"/>
              <w:jc w:val="right"/>
              <w:rPr/>
            </w:pPr>
            <w:r>
              <w:rPr/>
              <w:t>14,300</w:t>
            </w:r>
          </w:p>
        </w:tc>
        <w:tc>
          <w:tcPr>
            <w:tcW w:w="68"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776" w:type="dxa"/>
            <w:tcBorders/>
            <w:shd w:fill="CCEEFF" w:val="clear"/>
            <w:vAlign w:val="center"/>
          </w:tcPr>
          <w:p>
            <w:pPr>
              <w:pStyle w:val="TableContents"/>
              <w:spacing w:before="0" w:after="283"/>
              <w:jc w:val="right"/>
              <w:rPr/>
            </w:pPr>
            <w:r>
              <w:rPr/>
              <w:t>22,000</w:t>
            </w:r>
          </w:p>
        </w:tc>
        <w:tc>
          <w:tcPr>
            <w:tcW w:w="68"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985" w:type="dxa"/>
            <w:tcBorders/>
            <w:shd w:fill="CCEEFF" w:val="clear"/>
            <w:vAlign w:val="center"/>
          </w:tcPr>
          <w:p>
            <w:pPr>
              <w:pStyle w:val="TableContents"/>
              <w:spacing w:before="0" w:after="283"/>
              <w:jc w:val="right"/>
              <w:rPr/>
            </w:pPr>
            <w:r>
              <w:rPr/>
              <w:t>22,000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1,946,780</w:t>
            </w:r>
          </w:p>
        </w:tc>
        <w:tc>
          <w:tcPr>
            <w:tcW w:w="75" w:type="dxa"/>
            <w:tcBorders/>
            <w:shd w:fill="CCEEFF" w:val="clear"/>
            <w:vAlign w:val="center"/>
          </w:tcPr>
          <w:p>
            <w:pPr>
              <w:pStyle w:val="TableContents"/>
              <w:spacing w:before="0" w:after="283"/>
              <w:rPr/>
            </w:pPr>
            <w:r>
              <w:rPr/>
              <w:t> </w:t>
            </w:r>
          </w:p>
        </w:tc>
      </w:tr>
      <w:tr>
        <w:trPr/>
        <w:tc>
          <w:tcPr>
            <w:tcW w:w="7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Sean E. Reilly</w:t>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0" w:type="dxa"/>
            <w:tcBorders/>
            <w:shd w:fill="auto" w:val="clear"/>
            <w:vAlign w:val="center"/>
          </w:tcPr>
          <w:p>
            <w:pPr>
              <w:pStyle w:val="TableContents"/>
              <w:spacing w:before="0" w:after="283"/>
              <w:jc w:val="right"/>
              <w:rPr/>
            </w:pPr>
            <w:r>
              <w:rPr/>
              <w:t>3/29/2022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260,000</w:t>
            </w:r>
          </w:p>
        </w:tc>
        <w:tc>
          <w:tcPr>
            <w:tcW w:w="69"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pPr>
            <w:r>
              <w:rPr/>
              <w:t> </w:t>
            </w:r>
          </w:p>
        </w:tc>
        <w:tc>
          <w:tcPr>
            <w:tcW w:w="923" w:type="dxa"/>
            <w:tcBorders/>
            <w:shd w:fill="auto" w:val="clear"/>
            <w:vAlign w:val="center"/>
          </w:tcPr>
          <w:p>
            <w:pPr>
              <w:pStyle w:val="TableContents"/>
              <w:spacing w:before="0" w:after="283"/>
              <w:jc w:val="right"/>
              <w:rPr/>
            </w:pPr>
            <w:r>
              <w:rPr/>
              <w:t>400,000</w:t>
            </w:r>
          </w:p>
        </w:tc>
        <w:tc>
          <w:tcPr>
            <w:tcW w:w="69"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800,000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1050" w:type="dxa"/>
            <w:tcBorders/>
            <w:shd w:fill="auto" w:val="clear"/>
            <w:vAlign w:val="center"/>
          </w:tcPr>
          <w:p>
            <w:pPr>
              <w:pStyle w:val="TableContents"/>
              <w:spacing w:before="0" w:after="283"/>
              <w:jc w:val="right"/>
              <w:rPr/>
            </w:pPr>
            <w:r>
              <w:rPr/>
              <w:t>7/1/2022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pPr>
            <w:r>
              <w:rPr/>
              <w:t>  </w:t>
            </w:r>
          </w:p>
        </w:tc>
        <w:tc>
          <w:tcPr>
            <w:tcW w:w="6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984" w:type="dxa"/>
            <w:tcBorders/>
            <w:shd w:fill="auto" w:val="clear"/>
            <w:vAlign w:val="center"/>
          </w:tcPr>
          <w:p>
            <w:pPr>
              <w:pStyle w:val="TableContents"/>
              <w:spacing w:before="0" w:after="283"/>
              <w:jc w:val="right"/>
              <w:rPr/>
            </w:pPr>
            <w:r>
              <w:rPr/>
              <w:t>28,600</w:t>
            </w:r>
          </w:p>
        </w:tc>
        <w:tc>
          <w:tcPr>
            <w:tcW w:w="68"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776" w:type="dxa"/>
            <w:tcBorders/>
            <w:shd w:fill="auto" w:val="clear"/>
            <w:vAlign w:val="center"/>
          </w:tcPr>
          <w:p>
            <w:pPr>
              <w:pStyle w:val="TableContents"/>
              <w:spacing w:before="0" w:after="283"/>
              <w:jc w:val="right"/>
              <w:rPr/>
            </w:pPr>
            <w:r>
              <w:rPr/>
              <w:t>44,000</w:t>
            </w:r>
          </w:p>
        </w:tc>
        <w:tc>
          <w:tcPr>
            <w:tcW w:w="68" w:type="dxa"/>
            <w:tcBorders/>
            <w:shd w:fill="auto" w:val="clear"/>
            <w:vAlign w:val="center"/>
          </w:tcPr>
          <w:p>
            <w:pPr>
              <w:pStyle w:val="TableContents"/>
              <w:spacing w:before="0" w:after="283"/>
              <w:rPr/>
            </w:pPr>
            <w:r>
              <w:rPr/>
              <w:t> </w:t>
            </w:r>
          </w:p>
        </w:tc>
        <w:tc>
          <w:tcPr>
            <w:tcW w:w="136" w:type="dxa"/>
            <w:tcBorders/>
            <w:shd w:fill="auto" w:val="clear"/>
            <w:vAlign w:val="center"/>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c>
          <w:tcPr>
            <w:tcW w:w="985" w:type="dxa"/>
            <w:tcBorders/>
            <w:shd w:fill="auto" w:val="clear"/>
            <w:vAlign w:val="center"/>
          </w:tcPr>
          <w:p>
            <w:pPr>
              <w:pStyle w:val="TableContents"/>
              <w:spacing w:before="0" w:after="283"/>
              <w:jc w:val="right"/>
              <w:rPr/>
            </w:pPr>
            <w:r>
              <w:rPr/>
              <w:t>44,000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3,893,560</w:t>
            </w:r>
          </w:p>
        </w:tc>
        <w:tc>
          <w:tcPr>
            <w:tcW w:w="75" w:type="dxa"/>
            <w:tcBorders/>
            <w:shd w:fill="auto" w:val="clear"/>
            <w:vAlign w:val="center"/>
          </w:tcPr>
          <w:p>
            <w:pPr>
              <w:pStyle w:val="TableContents"/>
              <w:spacing w:before="0" w:after="283"/>
              <w:rPr/>
            </w:pPr>
            <w:r>
              <w:rPr/>
              <w:t> </w:t>
            </w:r>
          </w:p>
        </w:tc>
      </w:tr>
      <w:tr>
        <w:trPr/>
        <w:tc>
          <w:tcPr>
            <w:tcW w:w="7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Jay L. Johnson</w:t>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3/29/2022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195,000</w:t>
            </w:r>
          </w:p>
        </w:tc>
        <w:tc>
          <w:tcPr>
            <w:tcW w:w="69"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pPr>
            <w:r>
              <w:rPr/>
              <w:t> </w:t>
            </w:r>
          </w:p>
        </w:tc>
        <w:tc>
          <w:tcPr>
            <w:tcW w:w="923" w:type="dxa"/>
            <w:tcBorders/>
            <w:shd w:fill="CCEEFF" w:val="clear"/>
            <w:vAlign w:val="center"/>
          </w:tcPr>
          <w:p>
            <w:pPr>
              <w:pStyle w:val="TableContents"/>
              <w:spacing w:before="0" w:after="283"/>
              <w:jc w:val="right"/>
              <w:rPr/>
            </w:pPr>
            <w:r>
              <w:rPr/>
              <w:t>300,000</w:t>
            </w:r>
          </w:p>
        </w:tc>
        <w:tc>
          <w:tcPr>
            <w:tcW w:w="69"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pPr>
            <w:r>
              <w:rPr/>
              <w:t> </w:t>
            </w:r>
          </w:p>
        </w:tc>
        <w:tc>
          <w:tcPr>
            <w:tcW w:w="996" w:type="dxa"/>
            <w:tcBorders/>
            <w:shd w:fill="CCEEFF" w:val="clear"/>
            <w:vAlign w:val="center"/>
          </w:tcPr>
          <w:p>
            <w:pPr>
              <w:pStyle w:val="TableContents"/>
              <w:spacing w:before="0" w:after="283"/>
              <w:jc w:val="right"/>
              <w:rPr/>
            </w:pPr>
            <w:r>
              <w:rPr/>
              <w:t>600,000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sz w:val="4"/>
                <w:szCs w:val="4"/>
              </w:rPr>
            </w:pPr>
            <w:r>
              <w:rPr>
                <w:sz w:val="4"/>
                <w:szCs w:val="4"/>
              </w:rPr>
            </w:r>
          </w:p>
        </w:tc>
        <w:tc>
          <w:tcPr>
            <w:tcW w:w="984" w:type="dxa"/>
            <w:tcBorders/>
            <w:shd w:fill="CCEEFF" w:val="clear"/>
            <w:vAlign w:val="center"/>
          </w:tcPr>
          <w:p>
            <w:pPr>
              <w:pStyle w:val="TableContents"/>
              <w:spacing w:before="0" w:after="283"/>
              <w:rPr>
                <w:sz w:val="4"/>
                <w:szCs w:val="4"/>
              </w:rPr>
            </w:pPr>
            <w:r>
              <w:rPr>
                <w:sz w:val="4"/>
                <w:szCs w:val="4"/>
              </w:rPr>
            </w:r>
          </w:p>
        </w:tc>
        <w:tc>
          <w:tcPr>
            <w:tcW w:w="68" w:type="dxa"/>
            <w:tcBorders/>
            <w:shd w:fill="CCEEFF" w:val="clear"/>
            <w:vAlign w:val="center"/>
          </w:tcPr>
          <w:p>
            <w:pPr>
              <w:pStyle w:val="TableContents"/>
              <w:spacing w:before="0" w:after="283"/>
              <w:rPr>
                <w:sz w:val="4"/>
                <w:szCs w:val="4"/>
              </w:rPr>
            </w:pPr>
            <w:r>
              <w:rPr>
                <w:sz w:val="4"/>
                <w:szCs w:val="4"/>
              </w:rPr>
            </w:r>
          </w:p>
        </w:tc>
        <w:tc>
          <w:tcPr>
            <w:tcW w:w="136"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sz w:val="4"/>
                <w:szCs w:val="4"/>
              </w:rPr>
            </w:pPr>
            <w:r>
              <w:rPr>
                <w:sz w:val="4"/>
                <w:szCs w:val="4"/>
              </w:rPr>
            </w:r>
          </w:p>
        </w:tc>
        <w:tc>
          <w:tcPr>
            <w:tcW w:w="776" w:type="dxa"/>
            <w:tcBorders/>
            <w:shd w:fill="CCEEFF" w:val="clear"/>
            <w:vAlign w:val="center"/>
          </w:tcPr>
          <w:p>
            <w:pPr>
              <w:pStyle w:val="TableContents"/>
              <w:spacing w:before="0" w:after="283"/>
              <w:rPr>
                <w:sz w:val="4"/>
                <w:szCs w:val="4"/>
              </w:rPr>
            </w:pPr>
            <w:r>
              <w:rPr>
                <w:sz w:val="4"/>
                <w:szCs w:val="4"/>
              </w:rPr>
            </w:r>
          </w:p>
        </w:tc>
        <w:tc>
          <w:tcPr>
            <w:tcW w:w="68" w:type="dxa"/>
            <w:tcBorders/>
            <w:shd w:fill="CCEEFF" w:val="clear"/>
            <w:vAlign w:val="center"/>
          </w:tcPr>
          <w:p>
            <w:pPr>
              <w:pStyle w:val="TableContents"/>
              <w:spacing w:before="0" w:after="283"/>
              <w:rPr>
                <w:sz w:val="4"/>
                <w:szCs w:val="4"/>
              </w:rPr>
            </w:pPr>
            <w:r>
              <w:rPr>
                <w:sz w:val="4"/>
                <w:szCs w:val="4"/>
              </w:rPr>
            </w:r>
          </w:p>
        </w:tc>
        <w:tc>
          <w:tcPr>
            <w:tcW w:w="136"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sz w:val="4"/>
                <w:szCs w:val="4"/>
              </w:rPr>
            </w:pPr>
            <w:r>
              <w:rPr>
                <w:sz w:val="4"/>
                <w:szCs w:val="4"/>
              </w:rPr>
            </w:r>
          </w:p>
        </w:tc>
        <w:tc>
          <w:tcPr>
            <w:tcW w:w="98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75" w:type="dxa"/>
            <w:tcBorders/>
            <w:shd w:fill="CCEEFF" w:val="clear"/>
            <w:vAlign w:val="center"/>
          </w:tcPr>
          <w:p>
            <w:pPr>
              <w:pStyle w:val="TableContents"/>
              <w:spacing w:before="0" w:after="283"/>
              <w:rPr>
                <w:sz w:val="4"/>
                <w:szCs w:val="4"/>
              </w:rPr>
            </w:pPr>
            <w:r>
              <w:rPr>
                <w:sz w:val="4"/>
                <w:szCs w:val="4"/>
              </w:rPr>
            </w:r>
          </w:p>
        </w:tc>
      </w:tr>
      <w:tr>
        <w:trPr/>
        <w:tc>
          <w:tcPr>
            <w:tcW w:w="71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1050" w:type="dxa"/>
            <w:tcBorders/>
            <w:shd w:fill="CCEEFF" w:val="clear"/>
            <w:vAlign w:val="center"/>
          </w:tcPr>
          <w:p>
            <w:pPr>
              <w:pStyle w:val="TableContents"/>
              <w:spacing w:before="0" w:after="283"/>
              <w:jc w:val="right"/>
              <w:rPr/>
            </w:pPr>
            <w:r>
              <w:rPr/>
              <w:t>7/1/2022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sz w:val="4"/>
                <w:szCs w:val="4"/>
              </w:rPr>
            </w:pPr>
            <w:r>
              <w:rPr>
                <w:sz w:val="4"/>
                <w:szCs w:val="4"/>
              </w:rPr>
            </w:r>
          </w:p>
        </w:tc>
        <w:tc>
          <w:tcPr>
            <w:tcW w:w="996" w:type="dxa"/>
            <w:tcBorders/>
            <w:shd w:fill="CCEEFF" w:val="clear"/>
            <w:vAlign w:val="center"/>
          </w:tcPr>
          <w:p>
            <w:pPr>
              <w:pStyle w:val="TableContents"/>
              <w:spacing w:before="0" w:after="283"/>
              <w:rPr>
                <w:sz w:val="4"/>
                <w:szCs w:val="4"/>
              </w:rPr>
            </w:pPr>
            <w:r>
              <w:rPr>
                <w:sz w:val="4"/>
                <w:szCs w:val="4"/>
              </w:rPr>
            </w:r>
          </w:p>
        </w:tc>
        <w:tc>
          <w:tcPr>
            <w:tcW w:w="69" w:type="dxa"/>
            <w:tcBorders/>
            <w:shd w:fill="CCEEFF" w:val="clear"/>
            <w:vAlign w:val="center"/>
          </w:tcPr>
          <w:p>
            <w:pPr>
              <w:pStyle w:val="TableContents"/>
              <w:spacing w:before="0" w:after="283"/>
              <w:rPr>
                <w:sz w:val="4"/>
                <w:szCs w:val="4"/>
              </w:rPr>
            </w:pPr>
            <w:r>
              <w:rPr>
                <w:sz w:val="4"/>
                <w:szCs w:val="4"/>
              </w:rPr>
            </w:r>
          </w:p>
        </w:tc>
        <w:tc>
          <w:tcPr>
            <w:tcW w:w="138" w:type="dxa"/>
            <w:tcBorders/>
            <w:shd w:fill="CCEEFF" w:val="clear"/>
            <w:vAlign w:val="center"/>
          </w:tcPr>
          <w:p>
            <w:pPr>
              <w:pStyle w:val="TableContents"/>
              <w:spacing w:before="0" w:after="283"/>
              <w:rPr/>
            </w:pPr>
            <w:r>
              <w:rPr/>
              <w:t>  </w:t>
            </w:r>
          </w:p>
        </w:tc>
        <w:tc>
          <w:tcPr>
            <w:tcW w:w="69" w:type="dxa"/>
            <w:tcBorders/>
            <w:shd w:fill="CCEEFF" w:val="clear"/>
            <w:vAlign w:val="center"/>
          </w:tcPr>
          <w:p>
            <w:pPr>
              <w:pStyle w:val="TableContents"/>
              <w:spacing w:before="0" w:after="283"/>
              <w:rPr>
                <w:sz w:val="4"/>
                <w:szCs w:val="4"/>
              </w:rPr>
            </w:pPr>
            <w:r>
              <w:rPr>
                <w:sz w:val="4"/>
                <w:szCs w:val="4"/>
              </w:rPr>
            </w:r>
          </w:p>
        </w:tc>
        <w:tc>
          <w:tcPr>
            <w:tcW w:w="923" w:type="dxa"/>
            <w:tcBorders/>
            <w:shd w:fill="CCEEFF" w:val="clear"/>
            <w:vAlign w:val="center"/>
          </w:tcPr>
          <w:p>
            <w:pPr>
              <w:pStyle w:val="TableContents"/>
              <w:spacing w:before="0" w:after="283"/>
              <w:rPr>
                <w:sz w:val="4"/>
                <w:szCs w:val="4"/>
              </w:rPr>
            </w:pPr>
            <w:r>
              <w:rPr>
                <w:sz w:val="4"/>
                <w:szCs w:val="4"/>
              </w:rPr>
            </w:r>
          </w:p>
        </w:tc>
        <w:tc>
          <w:tcPr>
            <w:tcW w:w="69" w:type="dxa"/>
            <w:tcBorders/>
            <w:shd w:fill="CCEEFF" w:val="clear"/>
            <w:vAlign w:val="center"/>
          </w:tcPr>
          <w:p>
            <w:pPr>
              <w:pStyle w:val="TableContents"/>
              <w:spacing w:before="0" w:after="283"/>
              <w:rPr>
                <w:sz w:val="4"/>
                <w:szCs w:val="4"/>
              </w:rPr>
            </w:pPr>
            <w:r>
              <w:rPr>
                <w:sz w:val="4"/>
                <w:szCs w:val="4"/>
              </w:rPr>
            </w:r>
          </w:p>
        </w:tc>
        <w:tc>
          <w:tcPr>
            <w:tcW w:w="138" w:type="dxa"/>
            <w:tcBorders/>
            <w:shd w:fill="CCEEFF" w:val="clear"/>
            <w:vAlign w:val="center"/>
          </w:tcPr>
          <w:p>
            <w:pPr>
              <w:pStyle w:val="TableContents"/>
              <w:spacing w:before="0" w:after="283"/>
              <w:rPr/>
            </w:pPr>
            <w:r>
              <w:rPr/>
              <w:t>  </w:t>
            </w:r>
          </w:p>
        </w:tc>
        <w:tc>
          <w:tcPr>
            <w:tcW w:w="74" w:type="dxa"/>
            <w:tcBorders/>
            <w:shd w:fill="CCEEFF" w:val="clear"/>
            <w:vAlign w:val="center"/>
          </w:tcPr>
          <w:p>
            <w:pPr>
              <w:pStyle w:val="TableContents"/>
              <w:spacing w:before="0" w:after="283"/>
              <w:rPr>
                <w:sz w:val="4"/>
                <w:szCs w:val="4"/>
              </w:rPr>
            </w:pPr>
            <w:r>
              <w:rPr>
                <w:sz w:val="4"/>
                <w:szCs w:val="4"/>
              </w:rPr>
            </w:r>
          </w:p>
        </w:tc>
        <w:tc>
          <w:tcPr>
            <w:tcW w:w="996"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984" w:type="dxa"/>
            <w:tcBorders/>
            <w:shd w:fill="CCEEFF" w:val="clear"/>
            <w:vAlign w:val="center"/>
          </w:tcPr>
          <w:p>
            <w:pPr>
              <w:pStyle w:val="TableContents"/>
              <w:spacing w:before="0" w:after="283"/>
              <w:jc w:val="right"/>
              <w:rPr/>
            </w:pPr>
            <w:r>
              <w:rPr/>
              <w:t>14,300</w:t>
            </w:r>
          </w:p>
        </w:tc>
        <w:tc>
          <w:tcPr>
            <w:tcW w:w="68"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68" w:type="dxa"/>
            <w:tcBorders/>
            <w:shd w:fill="CCEEFF" w:val="clear"/>
            <w:vAlign w:val="center"/>
          </w:tcPr>
          <w:p>
            <w:pPr>
              <w:pStyle w:val="TableContents"/>
              <w:spacing w:before="0" w:after="283"/>
              <w:rPr/>
            </w:pPr>
            <w:r>
              <w:rPr/>
              <w:t> </w:t>
            </w:r>
          </w:p>
        </w:tc>
        <w:tc>
          <w:tcPr>
            <w:tcW w:w="776" w:type="dxa"/>
            <w:tcBorders/>
            <w:shd w:fill="CCEEFF" w:val="clear"/>
            <w:vAlign w:val="center"/>
          </w:tcPr>
          <w:p>
            <w:pPr>
              <w:pStyle w:val="TableContents"/>
              <w:spacing w:before="0" w:after="283"/>
              <w:jc w:val="right"/>
              <w:rPr/>
            </w:pPr>
            <w:r>
              <w:rPr/>
              <w:t>22,000</w:t>
            </w:r>
          </w:p>
        </w:tc>
        <w:tc>
          <w:tcPr>
            <w:tcW w:w="68" w:type="dxa"/>
            <w:tcBorders/>
            <w:shd w:fill="CCEEFF" w:val="clear"/>
            <w:vAlign w:val="center"/>
          </w:tcPr>
          <w:p>
            <w:pPr>
              <w:pStyle w:val="TableContents"/>
              <w:spacing w:before="0" w:after="283"/>
              <w:rPr/>
            </w:pPr>
            <w:r>
              <w:rPr/>
              <w:t> </w:t>
            </w:r>
          </w:p>
        </w:tc>
        <w:tc>
          <w:tcPr>
            <w:tcW w:w="136" w:type="dxa"/>
            <w:tcBorders/>
            <w:shd w:fill="CCEEFF" w:val="clear"/>
            <w:vAlign w:val="center"/>
          </w:tcPr>
          <w:p>
            <w:pPr>
              <w:pStyle w:val="TableContents"/>
              <w:spacing w:before="0" w:after="283"/>
              <w:rPr/>
            </w:pPr>
            <w:r>
              <w:rPr/>
              <w:t>  </w:t>
            </w:r>
          </w:p>
        </w:tc>
        <w:tc>
          <w:tcPr>
            <w:tcW w:w="85" w:type="dxa"/>
            <w:tcBorders/>
            <w:shd w:fill="CCEEFF" w:val="clear"/>
            <w:vAlign w:val="center"/>
          </w:tcPr>
          <w:p>
            <w:pPr>
              <w:pStyle w:val="TableContents"/>
              <w:spacing w:before="0" w:after="283"/>
              <w:rPr/>
            </w:pPr>
            <w:r>
              <w:rPr/>
              <w:t> </w:t>
            </w:r>
          </w:p>
        </w:tc>
        <w:tc>
          <w:tcPr>
            <w:tcW w:w="985" w:type="dxa"/>
            <w:tcBorders/>
            <w:shd w:fill="CCEEFF" w:val="clear"/>
            <w:vAlign w:val="center"/>
          </w:tcPr>
          <w:p>
            <w:pPr>
              <w:pStyle w:val="TableContents"/>
              <w:spacing w:before="0" w:after="283"/>
              <w:jc w:val="right"/>
              <w:rPr/>
            </w:pPr>
            <w:r>
              <w:rPr/>
              <w:t>22,000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1,946,780</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64"/>
        <w:gridCol w:w="9941"/>
      </w:tblGrid>
      <w:tr>
        <w:trPr/>
        <w:tc>
          <w:tcPr>
            <w:tcW w:w="264" w:type="dxa"/>
            <w:tcBorders/>
            <w:shd w:fill="auto" w:val="clear"/>
            <w:vAlign w:val="center"/>
          </w:tcPr>
          <w:p>
            <w:pPr>
              <w:pStyle w:val="TableContents"/>
              <w:spacing w:before="0" w:after="283"/>
              <w:jc w:val="left"/>
              <w:rPr/>
            </w:pPr>
            <w:r>
              <w:rPr/>
              <w:t>(1)</w:t>
            </w:r>
          </w:p>
        </w:tc>
        <w:tc>
          <w:tcPr>
            <w:tcW w:w="994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the possible cash bonus granted under our 1996 Equity Incentive Plan that could be earned by achieving defined performance goals. Threshold amount assumes minimum attainment of both EBITDA and revenue levels to receive payment. </w:t>
            </w:r>
          </w:p>
        </w:tc>
      </w:tr>
    </w:tbl>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pPr>
            <w:r>
              <w:rPr/>
              <w:t>(2)</w:t>
            </w:r>
          </w:p>
        </w:tc>
        <w:tc>
          <w:tcPr>
            <w:tcW w:w="994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These awards constitute LTIP Units that may vest upon achievement of defined performance goals under our 1996 Equity Incentive Plan. Threshold amount assumes minimum attainment of both EBITDA and revenue levels to receive payment. </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(3)</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Reflects the aggregate grant date fair value in accordance with ASC Topic 718 assuming the probable outcome of achievement, which for performance stock awards on the grant date was expected to be 100% of the target equity incentive award amount, rather than the value of the actual award earned on the date when issued to the officer. For the assumptions underlying the valuation of these awards see Note 15 to the Consolidated Financial Statements included in our Annual Report on Form 10-K for the fiscal year ended December 31, 2022, filed with the SEC on February 24, 2023. </w:t>
            </w:r>
          </w:p>
        </w:tc>
      </w:tr>
    </w:tbl>
    <w:p>
      <w:pPr>
        <w:pStyle w:val="TextBody"/>
        <w:spacing w:before="480" w:after="0"/>
        <w:jc w:val="center"/>
        <w:rPr>
          <w:rFonts w:ascii="Times New Roman" w:hAnsi="Times New Roman"/>
          <w:b/>
          <w:sz w:val="20"/>
        </w:rPr>
      </w:pPr>
      <w:r>
        <w:rPr>
          <w:rFonts w:ascii="Times New Roman" w:hAnsi="Times New Roman"/>
          <w:b/>
          <w:sz w:val="20"/>
        </w:rPr>
        <w:t xml:space="preserve">Outstanding Equity Awards at Fiscal Year-End 2022 </w:t>
      </w:r>
    </w:p>
    <w:p>
      <w:pPr>
        <w:pStyle w:val="TextBody"/>
        <w:spacing w:before="0" w:after="0"/>
        <w:jc w:val="left"/>
        <w:rPr/>
      </w:pPr>
      <w:r>
        <w:rPr/>
        <w:t> </w:t>
      </w:r>
    </w:p>
    <w:tbl>
      <w:tblPr>
        <w:tblW w:w="7875" w:type="dxa"/>
        <w:jc w:val="left"/>
        <w:tblInd w:w="0" w:type="dxa"/>
        <w:tblCellMar>
          <w:top w:w="0" w:type="dxa"/>
          <w:left w:w="0" w:type="dxa"/>
          <w:bottom w:w="0" w:type="dxa"/>
          <w:right w:w="0" w:type="dxa"/>
        </w:tblCellMar>
      </w:tblPr>
      <w:tblGrid>
        <w:gridCol w:w="1550"/>
        <w:gridCol w:w="120"/>
        <w:gridCol w:w="225"/>
        <w:gridCol w:w="2555"/>
        <w:gridCol w:w="60"/>
        <w:gridCol w:w="120"/>
        <w:gridCol w:w="182"/>
        <w:gridCol w:w="2988"/>
        <w:gridCol w:w="75"/>
      </w:tblGrid>
      <w:tr>
        <w:trPr/>
        <w:tc>
          <w:tcPr>
            <w:tcW w:w="15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298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3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Stock Awards</w:t>
            </w:r>
          </w:p>
        </w:tc>
        <w:tc>
          <w:tcPr>
            <w:tcW w:w="75" w:type="dxa"/>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278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Equity Incentive Plan</w:t>
            </w:r>
            <w:r>
              <w:rPr/>
              <w:br/>
            </w:r>
            <w:r>
              <w:rPr>
                <w:b/>
              </w:rPr>
              <w:t>Awards: Number of</w:t>
            </w:r>
            <w:r>
              <w:rPr/>
              <w:br/>
            </w:r>
            <w:r>
              <w:rPr>
                <w:b/>
              </w:rPr>
              <w:t>Unearned Shares, Units or</w:t>
            </w:r>
            <w:r>
              <w:rPr/>
              <w:br/>
            </w:r>
            <w:r>
              <w:rPr>
                <w:b/>
              </w:rPr>
              <w:t>Other Rights that have Not</w:t>
            </w:r>
            <w:r>
              <w:rPr/>
              <w:br/>
            </w:r>
            <w:r>
              <w:rPr>
                <w:b/>
              </w:rPr>
              <w:t>Vested</w:t>
            </w:r>
            <w:r>
              <w:rPr/>
              <w:br/>
            </w:r>
            <w:r>
              <w:rPr>
                <w:b/>
              </w:rP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7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Equity Incentive Plan Awards:</w:t>
            </w:r>
            <w:r>
              <w:rPr/>
              <w:br/>
            </w:r>
            <w:r>
              <w:rPr>
                <w:b/>
              </w:rPr>
              <w:t>Market or Payout Value of</w:t>
            </w:r>
            <w:r>
              <w:rPr/>
              <w:br/>
            </w:r>
            <w:r>
              <w:rPr>
                <w:b/>
              </w:rPr>
              <w:t>Unearned Shares, Units or</w:t>
            </w:r>
            <w:r>
              <w:rPr/>
              <w:br/>
            </w:r>
            <w:r>
              <w:rPr>
                <w:b/>
              </w:rPr>
              <w:t>Other Rights That Have Not</w:t>
            </w:r>
            <w:r>
              <w:rPr/>
              <w:br/>
            </w:r>
            <w:r>
              <w:rPr>
                <w:b/>
              </w:rPr>
              <w:t>Vested</w:t>
            </w:r>
            <w:r>
              <w:rPr/>
              <w:br/>
            </w:r>
            <w:r>
              <w:rPr>
                <w:b/>
              </w:rPr>
              <w:t>($)(2)</w:t>
            </w:r>
          </w:p>
        </w:tc>
        <w:tc>
          <w:tcPr>
            <w:tcW w:w="75" w:type="dxa"/>
            <w:tcBorders/>
            <w:shd w:fill="auto" w:val="cle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Kevin P. Reilly, Jr.</w:t>
            </w:r>
          </w:p>
        </w:tc>
        <w:tc>
          <w:tcPr>
            <w:tcW w:w="12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rPr/>
            </w:pPr>
            <w:r>
              <w:rPr/>
              <w:t> </w:t>
            </w:r>
          </w:p>
        </w:tc>
        <w:tc>
          <w:tcPr>
            <w:tcW w:w="2555" w:type="dxa"/>
            <w:tcBorders/>
            <w:shd w:fill="CCEEFF" w:val="clear"/>
            <w:vAlign w:val="center"/>
          </w:tcPr>
          <w:p>
            <w:pPr>
              <w:pStyle w:val="TableContents"/>
              <w:spacing w:before="0" w:after="283"/>
              <w:jc w:val="right"/>
              <w:rPr/>
            </w:pPr>
            <w:r>
              <w:rPr/>
              <w:t>22,000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2988" w:type="dxa"/>
            <w:tcBorders/>
            <w:shd w:fill="CCEEFF" w:val="clear"/>
            <w:vAlign w:val="center"/>
          </w:tcPr>
          <w:p>
            <w:pPr>
              <w:pStyle w:val="TableContents"/>
              <w:spacing w:before="0" w:after="283"/>
              <w:jc w:val="right"/>
              <w:rPr/>
            </w:pPr>
            <w:r>
              <w:rPr/>
              <w:t>2,076,800</w:t>
            </w:r>
          </w:p>
        </w:tc>
        <w:tc>
          <w:tcPr>
            <w:tcW w:w="75" w:type="dxa"/>
            <w:tcBorders/>
            <w:shd w:fill="CCEEFF"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Sean E. Reilly</w:t>
            </w:r>
          </w:p>
        </w:tc>
        <w:tc>
          <w:tcPr>
            <w:tcW w:w="120"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c>
          <w:tcPr>
            <w:tcW w:w="2555" w:type="dxa"/>
            <w:tcBorders/>
            <w:shd w:fill="auto" w:val="clear"/>
            <w:vAlign w:val="center"/>
          </w:tcPr>
          <w:p>
            <w:pPr>
              <w:pStyle w:val="TableContents"/>
              <w:spacing w:before="0" w:after="283"/>
              <w:jc w:val="right"/>
              <w:rPr/>
            </w:pPr>
            <w:r>
              <w:rPr/>
              <w:t>44,000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2988" w:type="dxa"/>
            <w:tcBorders/>
            <w:shd w:fill="auto" w:val="clear"/>
            <w:vAlign w:val="center"/>
          </w:tcPr>
          <w:p>
            <w:pPr>
              <w:pStyle w:val="TableContents"/>
              <w:spacing w:before="0" w:after="283"/>
              <w:jc w:val="right"/>
              <w:rPr/>
            </w:pPr>
            <w:r>
              <w:rPr/>
              <w:t>4,153,600</w:t>
            </w:r>
          </w:p>
        </w:tc>
        <w:tc>
          <w:tcPr>
            <w:tcW w:w="75" w:type="dxa"/>
            <w:tcBorders/>
            <w:shd w:fill="auto" w:val="cle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Jay L. Johnson</w:t>
            </w:r>
          </w:p>
        </w:tc>
        <w:tc>
          <w:tcPr>
            <w:tcW w:w="120" w:type="dxa"/>
            <w:tcBorders/>
            <w:shd w:fill="CCEEFF" w:val="clear"/>
            <w:vAlign w:val="center"/>
          </w:tcPr>
          <w:p>
            <w:pPr>
              <w:pStyle w:val="TableContents"/>
              <w:spacing w:before="0" w:after="283"/>
              <w:rPr/>
            </w:pPr>
            <w:r>
              <w:rPr/>
              <w:t>  </w:t>
            </w:r>
          </w:p>
        </w:tc>
        <w:tc>
          <w:tcPr>
            <w:tcW w:w="225" w:type="dxa"/>
            <w:tcBorders/>
            <w:shd w:fill="CCEEFF" w:val="clear"/>
            <w:vAlign w:val="center"/>
          </w:tcPr>
          <w:p>
            <w:pPr>
              <w:pStyle w:val="TableContents"/>
              <w:spacing w:before="0" w:after="283"/>
              <w:rPr/>
            </w:pPr>
            <w:r>
              <w:rPr/>
              <w:t> </w:t>
            </w:r>
          </w:p>
        </w:tc>
        <w:tc>
          <w:tcPr>
            <w:tcW w:w="2555" w:type="dxa"/>
            <w:tcBorders/>
            <w:shd w:fill="CCEEFF" w:val="clear"/>
            <w:vAlign w:val="center"/>
          </w:tcPr>
          <w:p>
            <w:pPr>
              <w:pStyle w:val="TableContents"/>
              <w:spacing w:before="0" w:after="283"/>
              <w:jc w:val="right"/>
              <w:rPr/>
            </w:pPr>
            <w:r>
              <w:rPr/>
              <w:t>22,000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2988" w:type="dxa"/>
            <w:tcBorders/>
            <w:shd w:fill="CCEEFF" w:val="clear"/>
            <w:vAlign w:val="center"/>
          </w:tcPr>
          <w:p>
            <w:pPr>
              <w:pStyle w:val="TableContents"/>
              <w:spacing w:before="0" w:after="283"/>
              <w:jc w:val="right"/>
              <w:rPr/>
            </w:pPr>
            <w:r>
              <w:rPr/>
              <w:t>2,076,800</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6550" w:type="dxa"/>
        <w:jc w:val="left"/>
        <w:tblInd w:w="0" w:type="dxa"/>
        <w:tblCellMar>
          <w:top w:w="0" w:type="dxa"/>
          <w:left w:w="0" w:type="dxa"/>
          <w:bottom w:w="0" w:type="dxa"/>
          <w:right w:w="0" w:type="dxa"/>
        </w:tblCellMar>
      </w:tblPr>
      <w:tblGrid>
        <w:gridCol w:w="305"/>
        <w:gridCol w:w="6245"/>
      </w:tblGrid>
      <w:tr>
        <w:trPr/>
        <w:tc>
          <w:tcPr>
            <w:tcW w:w="305" w:type="dxa"/>
            <w:tcBorders/>
            <w:shd w:fill="auto" w:val="clear"/>
            <w:vAlign w:val="center"/>
          </w:tcPr>
          <w:p>
            <w:pPr>
              <w:pStyle w:val="TableContents"/>
              <w:spacing w:before="0" w:after="283"/>
              <w:jc w:val="left"/>
              <w:rPr/>
            </w:pPr>
            <w:r>
              <w:rPr/>
              <w:t>(1)</w:t>
            </w:r>
          </w:p>
        </w:tc>
        <w:tc>
          <w:tcPr>
            <w:tcW w:w="624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the total number of LTIP Units that vested on February 23, 2023. </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jc w:val="left"/>
              <w:rPr/>
            </w:pPr>
            <w:r>
              <w:rPr/>
              <w:t>(2)</w:t>
            </w:r>
          </w:p>
        </w:tc>
        <w:tc>
          <w:tcPr>
            <w:tcW w:w="99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Dollar amounts are based on the closing price of our Class A Common Stock on December 30, 2022, which was $94.40 per share.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Option Exercises and Stock Vested in Fiscal Year 2022 </w:t>
      </w:r>
    </w:p>
    <w:p>
      <w:pPr>
        <w:pStyle w:val="TextBody"/>
        <w:spacing w:before="0" w:after="0"/>
        <w:jc w:val="left"/>
        <w:rPr/>
      </w:pPr>
      <w:r>
        <w:rPr/>
        <w:t> </w:t>
      </w:r>
    </w:p>
    <w:tbl>
      <w:tblPr>
        <w:tblW w:w="9527" w:type="dxa"/>
        <w:jc w:val="left"/>
        <w:tblInd w:w="0" w:type="dxa"/>
        <w:tblCellMar>
          <w:top w:w="0" w:type="dxa"/>
          <w:left w:w="0" w:type="dxa"/>
          <w:bottom w:w="0" w:type="dxa"/>
          <w:right w:w="0" w:type="dxa"/>
        </w:tblCellMar>
      </w:tblPr>
      <w:tblGrid>
        <w:gridCol w:w="1550"/>
        <w:gridCol w:w="120"/>
        <w:gridCol w:w="131"/>
        <w:gridCol w:w="1749"/>
        <w:gridCol w:w="60"/>
        <w:gridCol w:w="120"/>
        <w:gridCol w:w="89"/>
        <w:gridCol w:w="1461"/>
        <w:gridCol w:w="60"/>
        <w:gridCol w:w="120"/>
        <w:gridCol w:w="254"/>
        <w:gridCol w:w="1626"/>
        <w:gridCol w:w="82"/>
        <w:gridCol w:w="165"/>
        <w:gridCol w:w="251"/>
        <w:gridCol w:w="1614"/>
        <w:gridCol w:w="75"/>
      </w:tblGrid>
      <w:tr>
        <w:trPr/>
        <w:tc>
          <w:tcPr>
            <w:tcW w:w="15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626"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610"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Option Awards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992" w:type="dxa"/>
            <w:gridSpan w:val="6"/>
            <w:tcBorders>
              <w:bottom w:val="single" w:sz="8" w:space="0" w:color="000000"/>
            </w:tcBorders>
            <w:shd w:fill="auto" w:val="clear"/>
            <w:tcMar>
              <w:bottom w:w="28" w:type="dxa"/>
            </w:tcMar>
            <w:vAlign w:val="center"/>
          </w:tcPr>
          <w:p>
            <w:pPr>
              <w:pStyle w:val="TableContents"/>
              <w:spacing w:before="0" w:after="283"/>
              <w:jc w:val="center"/>
              <w:rPr>
                <w:b/>
              </w:rPr>
            </w:pPr>
            <w:r>
              <w:rPr>
                <w:b/>
              </w:rPr>
              <w:t>Stock Awards</w:t>
            </w:r>
          </w:p>
        </w:tc>
        <w:tc>
          <w:tcPr>
            <w:tcW w:w="75" w:type="dxa"/>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88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 Shares</w:t>
            </w:r>
            <w:r>
              <w:rPr/>
              <w:br/>
            </w:r>
            <w:r>
              <w:rPr>
                <w:b/>
              </w:rPr>
              <w:t>Acquired on</w:t>
            </w:r>
            <w:r>
              <w:rPr/>
              <w:br/>
            </w:r>
            <w:r>
              <w:rPr>
                <w:b/>
              </w:rPr>
              <w:t>Exercise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5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Value Realized</w:t>
            </w:r>
            <w:r>
              <w:rPr/>
              <w:br/>
            </w:r>
            <w:r>
              <w:rPr>
                <w:b/>
              </w:rPr>
              <w:t>on</w:t>
            </w:r>
            <w:r>
              <w:rPr/>
              <w:br/>
            </w:r>
            <w:r>
              <w:rPr>
                <w:b/>
              </w:rPr>
              <w:t>Exercise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8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Number of Shares</w:t>
            </w:r>
            <w:r>
              <w:rPr/>
              <w:br/>
            </w:r>
            <w:r>
              <w:rPr>
                <w:b/>
              </w:rPr>
              <w:t>Acquired on</w:t>
            </w:r>
            <w:r>
              <w:rPr/>
              <w:br/>
            </w:r>
            <w:r>
              <w:rPr>
                <w:b/>
              </w:rPr>
              <w:t>Vesting (#)</w:t>
            </w:r>
          </w:p>
        </w:tc>
        <w:tc>
          <w:tcPr>
            <w:tcW w:w="82"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186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Value Realized on</w:t>
            </w:r>
            <w:r>
              <w:rPr/>
              <w:br/>
            </w:r>
            <w:r>
              <w:rPr>
                <w:b/>
              </w:rPr>
              <w:t>Vesting ($)</w:t>
            </w:r>
          </w:p>
        </w:tc>
        <w:tc>
          <w:tcPr>
            <w:tcW w:w="75" w:type="dxa"/>
            <w:tcBorders/>
            <w:shd w:fill="auto" w:val="cle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Kevin P. Reilly, Jr.</w:t>
            </w:r>
          </w:p>
        </w:tc>
        <w:tc>
          <w:tcPr>
            <w:tcW w:w="12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1749" w:type="dxa"/>
            <w:tcBorders/>
            <w:shd w:fill="CCEEFF" w:val="clear"/>
            <w:vAlign w:val="center"/>
          </w:tcPr>
          <w:p>
            <w:pPr>
              <w:pStyle w:val="TableContents"/>
              <w:spacing w:before="0" w:after="283"/>
              <w:jc w:val="right"/>
              <w:rPr/>
            </w:pPr>
            <w:r>
              <w:rPr/>
              <w:t>100,000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461" w:type="dxa"/>
            <w:tcBorders/>
            <w:shd w:fill="CCEEFF" w:val="clear"/>
            <w:vAlign w:val="center"/>
          </w:tcPr>
          <w:p>
            <w:pPr>
              <w:pStyle w:val="TableContents"/>
              <w:spacing w:before="0" w:after="283"/>
              <w:jc w:val="right"/>
              <w:rPr/>
            </w:pPr>
            <w:r>
              <w:rPr/>
              <w:t>5,559,000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1626" w:type="dxa"/>
            <w:tcBorders/>
            <w:shd w:fill="CCEEFF" w:val="clear"/>
            <w:vAlign w:val="center"/>
          </w:tcPr>
          <w:p>
            <w:pPr>
              <w:pStyle w:val="TableContents"/>
              <w:spacing w:before="0" w:after="283"/>
              <w:jc w:val="right"/>
              <w:rPr/>
            </w:pPr>
            <w:r>
              <w:rPr/>
              <w:t>—  </w:t>
            </w:r>
          </w:p>
        </w:tc>
        <w:tc>
          <w:tcPr>
            <w:tcW w:w="82"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rPr/>
            </w:pPr>
            <w:r>
              <w:rPr/>
              <w:t> </w:t>
            </w:r>
          </w:p>
        </w:tc>
        <w:tc>
          <w:tcPr>
            <w:tcW w:w="161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Sean E. Reilly</w:t>
            </w:r>
          </w:p>
        </w:tc>
        <w:tc>
          <w:tcPr>
            <w:tcW w:w="12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1749"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 w:type="dxa"/>
            <w:tcBorders/>
            <w:shd w:fill="auto" w:val="clear"/>
            <w:vAlign w:val="center"/>
          </w:tcPr>
          <w:p>
            <w:pPr>
              <w:pStyle w:val="TableContents"/>
              <w:spacing w:before="0" w:after="283"/>
              <w:rPr/>
            </w:pPr>
            <w:r>
              <w:rPr/>
              <w:t> </w:t>
            </w:r>
          </w:p>
        </w:tc>
        <w:tc>
          <w:tcPr>
            <w:tcW w:w="1461"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54" w:type="dxa"/>
            <w:tcBorders/>
            <w:shd w:fill="auto" w:val="clear"/>
            <w:vAlign w:val="center"/>
          </w:tcPr>
          <w:p>
            <w:pPr>
              <w:pStyle w:val="TableContents"/>
              <w:spacing w:before="0" w:after="283"/>
              <w:rPr/>
            </w:pPr>
            <w:r>
              <w:rPr/>
              <w:t> </w:t>
            </w:r>
          </w:p>
        </w:tc>
        <w:tc>
          <w:tcPr>
            <w:tcW w:w="1626" w:type="dxa"/>
            <w:tcBorders/>
            <w:shd w:fill="auto" w:val="clear"/>
            <w:vAlign w:val="center"/>
          </w:tcPr>
          <w:p>
            <w:pPr>
              <w:pStyle w:val="TableContents"/>
              <w:spacing w:before="0" w:after="283"/>
              <w:jc w:val="right"/>
              <w:rPr/>
            </w:pPr>
            <w:r>
              <w:rPr/>
              <w:t>—  </w:t>
            </w:r>
          </w:p>
        </w:tc>
        <w:tc>
          <w:tcPr>
            <w:tcW w:w="82"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251" w:type="dxa"/>
            <w:tcBorders/>
            <w:shd w:fill="auto" w:val="clear"/>
            <w:vAlign w:val="center"/>
          </w:tcPr>
          <w:p>
            <w:pPr>
              <w:pStyle w:val="TableContents"/>
              <w:spacing w:before="0" w:after="283"/>
              <w:rPr/>
            </w:pPr>
            <w:r>
              <w:rPr/>
              <w:t> </w:t>
            </w:r>
          </w:p>
        </w:tc>
        <w:tc>
          <w:tcPr>
            <w:tcW w:w="1614"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Jay L. Johnson</w:t>
            </w:r>
          </w:p>
        </w:tc>
        <w:tc>
          <w:tcPr>
            <w:tcW w:w="12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174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89" w:type="dxa"/>
            <w:tcBorders/>
            <w:shd w:fill="CCEEFF" w:val="clear"/>
            <w:vAlign w:val="center"/>
          </w:tcPr>
          <w:p>
            <w:pPr>
              <w:pStyle w:val="TableContents"/>
              <w:spacing w:before="0" w:after="283"/>
              <w:rPr/>
            </w:pPr>
            <w:r>
              <w:rPr/>
              <w:t> </w:t>
            </w:r>
          </w:p>
        </w:tc>
        <w:tc>
          <w:tcPr>
            <w:tcW w:w="14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54" w:type="dxa"/>
            <w:tcBorders/>
            <w:shd w:fill="CCEEFF" w:val="clear"/>
            <w:vAlign w:val="center"/>
          </w:tcPr>
          <w:p>
            <w:pPr>
              <w:pStyle w:val="TableContents"/>
              <w:spacing w:before="0" w:after="283"/>
              <w:rPr/>
            </w:pPr>
            <w:r>
              <w:rPr/>
              <w:t> </w:t>
            </w:r>
          </w:p>
        </w:tc>
        <w:tc>
          <w:tcPr>
            <w:tcW w:w="1626" w:type="dxa"/>
            <w:tcBorders/>
            <w:shd w:fill="CCEEFF" w:val="clear"/>
            <w:vAlign w:val="center"/>
          </w:tcPr>
          <w:p>
            <w:pPr>
              <w:pStyle w:val="TableContents"/>
              <w:spacing w:before="0" w:after="283"/>
              <w:jc w:val="right"/>
              <w:rPr/>
            </w:pPr>
            <w:r>
              <w:rPr/>
              <w:t>—  </w:t>
            </w:r>
          </w:p>
        </w:tc>
        <w:tc>
          <w:tcPr>
            <w:tcW w:w="82"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251" w:type="dxa"/>
            <w:tcBorders/>
            <w:shd w:fill="CCEEFF" w:val="clear"/>
            <w:vAlign w:val="center"/>
          </w:tcPr>
          <w:p>
            <w:pPr>
              <w:pStyle w:val="TableContents"/>
              <w:spacing w:before="0" w:after="283"/>
              <w:rPr/>
            </w:pPr>
            <w:r>
              <w:rPr/>
              <w:t> </w:t>
            </w:r>
          </w:p>
        </w:tc>
        <w:tc>
          <w:tcPr>
            <w:tcW w:w="1614"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pPr>
            <w:r>
              <w:rPr/>
              <w:t>(1)</w:t>
            </w:r>
          </w:p>
        </w:tc>
        <w:tc>
          <w:tcPr>
            <w:tcW w:w="994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Calculated as the product of (a) the number of shares of Class A Common Stock for which the stock options were exercised and (b) the excess of the closing price of our Class A Common Stock on the NASDAQ Global Select Market on the date of the exercise over the applicable exercise price per share of the stock options. </w:t>
            </w:r>
          </w:p>
        </w:tc>
      </w:tr>
    </w:tbl>
    <w:p>
      <w:pPr>
        <w:pStyle w:val="TextBody"/>
        <w:spacing w:before="480" w:after="0"/>
        <w:jc w:val="center"/>
        <w:rPr>
          <w:rFonts w:ascii="Times New Roman" w:hAnsi="Times New Roman"/>
          <w:b/>
          <w:sz w:val="20"/>
        </w:rPr>
      </w:pPr>
      <w:r>
        <w:rPr>
          <w:rFonts w:ascii="Times New Roman" w:hAnsi="Times New Roman"/>
          <w:b/>
          <w:sz w:val="20"/>
        </w:rPr>
        <w:t xml:space="preserve">Non-Qualified Deferred Compensation for Fiscal Year 2022 </w:t>
      </w:r>
    </w:p>
    <w:p>
      <w:pPr>
        <w:pStyle w:val="TextBody"/>
        <w:spacing w:before="0" w:after="0"/>
        <w:jc w:val="left"/>
        <w:rPr/>
      </w:pPr>
      <w:r>
        <w:rPr/>
        <w:t> </w:t>
      </w:r>
    </w:p>
    <w:tbl>
      <w:tblPr>
        <w:tblW w:w="7252" w:type="dxa"/>
        <w:jc w:val="left"/>
        <w:tblInd w:w="0" w:type="dxa"/>
        <w:tblCellMar>
          <w:top w:w="0" w:type="dxa"/>
          <w:left w:w="0" w:type="dxa"/>
          <w:bottom w:w="0" w:type="dxa"/>
          <w:right w:w="0" w:type="dxa"/>
        </w:tblCellMar>
      </w:tblPr>
      <w:tblGrid>
        <w:gridCol w:w="1550"/>
        <w:gridCol w:w="120"/>
        <w:gridCol w:w="138"/>
        <w:gridCol w:w="1576"/>
        <w:gridCol w:w="60"/>
        <w:gridCol w:w="120"/>
        <w:gridCol w:w="109"/>
        <w:gridCol w:w="1605"/>
        <w:gridCol w:w="155"/>
        <w:gridCol w:w="120"/>
        <w:gridCol w:w="93"/>
        <w:gridCol w:w="1531"/>
        <w:gridCol w:w="75"/>
      </w:tblGrid>
      <w:tr>
        <w:trPr/>
        <w:tc>
          <w:tcPr>
            <w:tcW w:w="15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55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1714"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Registrant</w:t>
            </w:r>
            <w:r>
              <w:rPr/>
              <w:br/>
            </w:r>
            <w:r>
              <w:rPr>
                <w:b/>
              </w:rPr>
              <w:t>Contributions</w:t>
            </w:r>
            <w:r>
              <w:rPr/>
              <w:br/>
            </w:r>
            <w:r>
              <w:rPr>
                <w:b/>
              </w:rPr>
              <w:t>in Last FY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14"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Aggregate</w:t>
            </w:r>
            <w:r>
              <w:rPr/>
              <w:br/>
            </w:r>
            <w:r>
              <w:rPr>
                <w:b/>
              </w:rPr>
              <w:t>Earnings</w:t>
            </w:r>
            <w:r>
              <w:rPr/>
              <w:br/>
            </w:r>
            <w:r>
              <w:rPr>
                <w:b/>
              </w:rPr>
              <w:t>(Loss)</w:t>
            </w:r>
            <w:r>
              <w:rPr/>
              <w:br/>
            </w:r>
            <w:r>
              <w:rPr>
                <w:b/>
              </w:rPr>
              <w:t>in Last FY ($)(2)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24"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Aggregate</w:t>
            </w:r>
            <w:r>
              <w:rPr/>
              <w:br/>
            </w:r>
            <w:r>
              <w:rPr>
                <w:b/>
              </w:rPr>
              <w:t>Balance at</w:t>
            </w:r>
            <w:r>
              <w:rPr/>
              <w:br/>
            </w:r>
            <w:r>
              <w:rPr>
                <w:b/>
              </w:rPr>
              <w:t>Last FYE ($)(3)</w:t>
            </w:r>
          </w:p>
        </w:tc>
        <w:tc>
          <w:tcPr>
            <w:tcW w:w="75" w:type="dxa"/>
            <w:tcBorders/>
            <w:shd w:fill="auto" w:val="cle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Kevin P. Reilly, Jr.</w:t>
            </w:r>
          </w:p>
        </w:tc>
        <w:tc>
          <w:tcPr>
            <w:tcW w:w="12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1576" w:type="dxa"/>
            <w:tcBorders/>
            <w:shd w:fill="CCEEFF" w:val="clear"/>
            <w:vAlign w:val="center"/>
          </w:tcPr>
          <w:p>
            <w:pPr>
              <w:pStyle w:val="TableContents"/>
              <w:spacing w:before="0" w:after="283"/>
              <w:jc w:val="right"/>
              <w:rPr/>
            </w:pPr>
            <w:r>
              <w:rPr/>
              <w:t>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605" w:type="dxa"/>
            <w:tcBorders/>
            <w:shd w:fill="CCEEFF" w:val="clear"/>
            <w:vAlign w:val="center"/>
          </w:tcPr>
          <w:p>
            <w:pPr>
              <w:pStyle w:val="TableContents"/>
              <w:spacing w:before="0" w:after="283"/>
              <w:jc w:val="right"/>
              <w:rPr/>
            </w:pPr>
            <w:r>
              <w:rPr/>
              <w:t>(618,635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1531" w:type="dxa"/>
            <w:tcBorders/>
            <w:shd w:fill="CCEEFF" w:val="clear"/>
            <w:vAlign w:val="center"/>
          </w:tcPr>
          <w:p>
            <w:pPr>
              <w:pStyle w:val="TableContents"/>
              <w:spacing w:before="0" w:after="283"/>
              <w:jc w:val="right"/>
              <w:rPr/>
            </w:pPr>
            <w:r>
              <w:rPr/>
              <w:t>6,592,342</w:t>
            </w:r>
          </w:p>
        </w:tc>
        <w:tc>
          <w:tcPr>
            <w:tcW w:w="75" w:type="dxa"/>
            <w:tcBorders/>
            <w:shd w:fill="CCEEFF"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Sean E. Reilly</w:t>
            </w:r>
          </w:p>
        </w:tc>
        <w:tc>
          <w:tcPr>
            <w:tcW w:w="120" w:type="dxa"/>
            <w:tcBorders/>
            <w:shd w:fill="auto" w:val="clear"/>
            <w:vAlign w:val="center"/>
          </w:tcPr>
          <w:p>
            <w:pPr>
              <w:pStyle w:val="TableContents"/>
              <w:spacing w:before="0" w:after="283"/>
              <w:rPr/>
            </w:pPr>
            <w:r>
              <w:rPr/>
              <w:t>  </w:t>
            </w:r>
          </w:p>
        </w:tc>
        <w:tc>
          <w:tcPr>
            <w:tcW w:w="138" w:type="dxa"/>
            <w:tcBorders/>
            <w:shd w:fill="auto" w:val="clear"/>
            <w:vAlign w:val="center"/>
          </w:tcPr>
          <w:p>
            <w:pPr>
              <w:pStyle w:val="TableContents"/>
              <w:spacing w:before="0" w:after="283"/>
              <w:rPr/>
            </w:pPr>
            <w:r>
              <w:rPr/>
              <w:t> </w:t>
            </w:r>
          </w:p>
        </w:tc>
        <w:tc>
          <w:tcPr>
            <w:tcW w:w="1576" w:type="dxa"/>
            <w:tcBorders/>
            <w:shd w:fill="auto" w:val="clear"/>
            <w:vAlign w:val="center"/>
          </w:tcPr>
          <w:p>
            <w:pPr>
              <w:pStyle w:val="TableContents"/>
              <w:spacing w:before="0" w:after="283"/>
              <w:jc w:val="right"/>
              <w:rPr/>
            </w:pPr>
            <w:r>
              <w:rPr/>
              <w:t>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9" w:type="dxa"/>
            <w:tcBorders/>
            <w:shd w:fill="auto" w:val="clear"/>
            <w:vAlign w:val="center"/>
          </w:tcPr>
          <w:p>
            <w:pPr>
              <w:pStyle w:val="TableContents"/>
              <w:spacing w:before="0" w:after="283"/>
              <w:rPr/>
            </w:pPr>
            <w:r>
              <w:rPr/>
              <w:t> </w:t>
            </w:r>
          </w:p>
        </w:tc>
        <w:tc>
          <w:tcPr>
            <w:tcW w:w="1605" w:type="dxa"/>
            <w:tcBorders/>
            <w:shd w:fill="auto" w:val="clear"/>
            <w:vAlign w:val="center"/>
          </w:tcPr>
          <w:p>
            <w:pPr>
              <w:pStyle w:val="TableContents"/>
              <w:spacing w:before="0" w:after="283"/>
              <w:jc w:val="right"/>
              <w:rPr/>
            </w:pPr>
            <w:r>
              <w:rPr/>
              <w:t>(438,889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3"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jc w:val="right"/>
              <w:rPr/>
            </w:pPr>
            <w:r>
              <w:rPr/>
              <w:t>2,148,215</w:t>
            </w:r>
          </w:p>
        </w:tc>
        <w:tc>
          <w:tcPr>
            <w:tcW w:w="75" w:type="dxa"/>
            <w:tcBorders/>
            <w:shd w:fill="auto" w:val="clear"/>
            <w:vAlign w:val="center"/>
          </w:tcPr>
          <w:p>
            <w:pPr>
              <w:pStyle w:val="TableContents"/>
              <w:spacing w:before="0" w:after="283"/>
              <w:rPr/>
            </w:pPr>
            <w:r>
              <w:rPr/>
              <w:t> </w:t>
            </w:r>
          </w:p>
        </w:tc>
      </w:tr>
      <w:tr>
        <w:trPr/>
        <w:tc>
          <w:tcPr>
            <w:tcW w:w="15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Jay L. Johnson</w:t>
            </w:r>
          </w:p>
        </w:tc>
        <w:tc>
          <w:tcPr>
            <w:tcW w:w="120" w:type="dxa"/>
            <w:tcBorders/>
            <w:shd w:fill="CCEEFF" w:val="clear"/>
            <w:vAlign w:val="center"/>
          </w:tcPr>
          <w:p>
            <w:pPr>
              <w:pStyle w:val="TableContents"/>
              <w:spacing w:before="0" w:after="283"/>
              <w:rPr/>
            </w:pPr>
            <w:r>
              <w:rPr/>
              <w:t>  </w:t>
            </w:r>
          </w:p>
        </w:tc>
        <w:tc>
          <w:tcPr>
            <w:tcW w:w="138" w:type="dxa"/>
            <w:tcBorders/>
            <w:shd w:fill="CCEEFF" w:val="clear"/>
            <w:vAlign w:val="center"/>
          </w:tcPr>
          <w:p>
            <w:pPr>
              <w:pStyle w:val="TableContents"/>
              <w:spacing w:before="0" w:after="283"/>
              <w:rPr/>
            </w:pPr>
            <w:r>
              <w:rPr/>
              <w:t> </w:t>
            </w:r>
          </w:p>
        </w:tc>
        <w:tc>
          <w:tcPr>
            <w:tcW w:w="1576" w:type="dxa"/>
            <w:tcBorders/>
            <w:shd w:fill="CCEEFF" w:val="clear"/>
            <w:vAlign w:val="center"/>
          </w:tcPr>
          <w:p>
            <w:pPr>
              <w:pStyle w:val="TableContents"/>
              <w:spacing w:before="0" w:after="283"/>
              <w:jc w:val="right"/>
              <w:rPr/>
            </w:pPr>
            <w:r>
              <w:rPr/>
              <w:t>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09" w:type="dxa"/>
            <w:tcBorders/>
            <w:shd w:fill="CCEEFF" w:val="clear"/>
            <w:vAlign w:val="center"/>
          </w:tcPr>
          <w:p>
            <w:pPr>
              <w:pStyle w:val="TableContents"/>
              <w:spacing w:before="0" w:after="283"/>
              <w:rPr/>
            </w:pPr>
            <w:r>
              <w:rPr/>
              <w:t> </w:t>
            </w:r>
          </w:p>
        </w:tc>
        <w:tc>
          <w:tcPr>
            <w:tcW w:w="1605" w:type="dxa"/>
            <w:tcBorders/>
            <w:shd w:fill="CCEEFF" w:val="clear"/>
            <w:vAlign w:val="center"/>
          </w:tcPr>
          <w:p>
            <w:pPr>
              <w:pStyle w:val="TableContents"/>
              <w:spacing w:before="0" w:after="283"/>
              <w:jc w:val="right"/>
              <w:rPr/>
            </w:pPr>
            <w:r>
              <w:rPr/>
              <w:t>(32,682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3" w:type="dxa"/>
            <w:tcBorders/>
            <w:shd w:fill="CCEEFF" w:val="clear"/>
            <w:vAlign w:val="center"/>
          </w:tcPr>
          <w:p>
            <w:pPr>
              <w:pStyle w:val="TableContents"/>
              <w:spacing w:before="0" w:after="283"/>
              <w:rPr/>
            </w:pPr>
            <w:r>
              <w:rPr/>
              <w:t> </w:t>
            </w:r>
          </w:p>
        </w:tc>
        <w:tc>
          <w:tcPr>
            <w:tcW w:w="1531" w:type="dxa"/>
            <w:tcBorders/>
            <w:shd w:fill="CCEEFF" w:val="clear"/>
            <w:vAlign w:val="center"/>
          </w:tcPr>
          <w:p>
            <w:pPr>
              <w:pStyle w:val="TableContents"/>
              <w:spacing w:before="0" w:after="283"/>
              <w:jc w:val="right"/>
              <w:rPr/>
            </w:pPr>
            <w:r>
              <w:rPr/>
              <w:t>143,377</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03"/>
        <w:gridCol w:w="9902"/>
      </w:tblGrid>
      <w:tr>
        <w:trPr/>
        <w:tc>
          <w:tcPr>
            <w:tcW w:w="303" w:type="dxa"/>
            <w:tcBorders/>
            <w:shd w:fill="auto" w:val="clear"/>
            <w:vAlign w:val="center"/>
          </w:tcPr>
          <w:p>
            <w:pPr>
              <w:pStyle w:val="TableContents"/>
              <w:spacing w:before="0" w:after="283"/>
              <w:jc w:val="left"/>
              <w:rPr/>
            </w:pPr>
            <w:r>
              <w:rPr/>
              <w:t>(1)</w:t>
            </w:r>
          </w:p>
        </w:tc>
        <w:tc>
          <w:tcPr>
            <w:tcW w:w="990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in this column are included in the “All Other Compensation” column in the 2022 Summary Compensation Table. </w:t>
            </w:r>
          </w:p>
        </w:tc>
      </w:tr>
    </w:tbl>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jc w:val="left"/>
              <w:rPr/>
            </w:pPr>
            <w:r>
              <w:rPr/>
              <w:t>(2)</w:t>
            </w:r>
          </w:p>
        </w:tc>
        <w:tc>
          <w:tcPr>
            <w:tcW w:w="991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Amounts in this column are not included in the 2022 Summary Compensation Table because they were not preferential or above market. </w:t>
            </w:r>
          </w:p>
        </w:tc>
      </w:tr>
    </w:tbl>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283"/>
              <w:jc w:val="left"/>
              <w:rPr/>
            </w:pPr>
            <w:r>
              <w:rPr/>
              <w:t>(3)</w:t>
            </w:r>
          </w:p>
        </w:tc>
        <w:tc>
          <w:tcPr>
            <w:tcW w:w="996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This column includes amounts in each named executive officer’s total deferred compensation account as of the last day of fiscal 2022, which includes (i) the following total previous contributions reported in each of the Company’s previous proxy statements: Mr. Kevin P. Reilly, Jr., $1,211,500, Mr. Sean E. Reilly, $915,000, and Mr. Johnson, $100,000; and (ii) aggregate earnings on all previously contributed amounts. This column does not include contributions for each officer for the 2022 fiscal year, which were made in January 2023 and reported in the first column. </w:t>
            </w:r>
          </w:p>
        </w:tc>
      </w:tr>
    </w:tbl>
    <w:p>
      <w:pPr>
        <w:pStyle w:val="TextBody"/>
        <w:spacing w:before="240" w:after="0"/>
        <w:jc w:val="left"/>
        <w:rPr>
          <w:rFonts w:ascii="Times New Roman" w:hAnsi="Times New Roman"/>
          <w:sz w:val="20"/>
        </w:rPr>
      </w:pPr>
      <w:r>
        <w:rPr>
          <w:rFonts w:ascii="Times New Roman" w:hAnsi="Times New Roman"/>
          <w:sz w:val="20"/>
        </w:rPr>
        <w:t xml:space="preserve">The Company sponsors a deferred compensation plan for the benefit of certain of its board-elected officers who meet specific age, years of service and other criteria. Officers that met certain criteria are eligible for annual Company contributions to the plan, depending on the employee’s length of service. The Company’s contributions to the plan are maintained in a rabbi trust. Upon termination, death or disability, participating employees are eligible to receive an amount equal to the fair market value of the assets in the employee’s deferred compensation account either in a lump sum distribution or in twenty percent installments over a five-year period. </w:t>
      </w:r>
    </w:p>
    <w:p>
      <w:pPr>
        <w:pStyle w:val="TextBody"/>
        <w:spacing w:before="360" w:after="0"/>
        <w:jc w:val="left"/>
        <w:rPr>
          <w:rFonts w:ascii="Times New Roman" w:hAnsi="Times New Roman"/>
          <w:b/>
          <w:i/>
          <w:sz w:val="20"/>
        </w:rPr>
      </w:pPr>
      <w:r>
        <w:rPr>
          <w:rFonts w:ascii="Times New Roman" w:hAnsi="Times New Roman"/>
          <w:b/>
          <w:i/>
          <w:sz w:val="20"/>
        </w:rPr>
        <w:t xml:space="preserve">Pay Ratio </w:t>
      </w:r>
    </w:p>
    <w:p>
      <w:pPr>
        <w:pStyle w:val="TextBody"/>
        <w:spacing w:before="120" w:after="0"/>
        <w:jc w:val="left"/>
        <w:rPr>
          <w:rFonts w:ascii="Times New Roman" w:hAnsi="Times New Roman"/>
          <w:sz w:val="20"/>
        </w:rPr>
      </w:pPr>
      <w:r>
        <w:rPr>
          <w:rFonts w:ascii="Times New Roman" w:hAnsi="Times New Roman"/>
          <w:sz w:val="20"/>
        </w:rPr>
        <w:t xml:space="preserve">Pursuant to the Dodd-Frank Wall Street Reform and Consumer Protection Act, the SEC adopted a rule requiring public companies to annually disclose the pay ratio between their median employee’s annual total compensation and the total compensation of the principal executive officer. The Company’s principal executive officer is Mr. Sean E. Reilly, its Chief Executive Officer. </w:t>
      </w:r>
    </w:p>
    <w:p>
      <w:pPr>
        <w:pStyle w:val="TextBody"/>
        <w:spacing w:before="240" w:after="0"/>
        <w:jc w:val="left"/>
        <w:rPr>
          <w:rFonts w:ascii="Times New Roman" w:hAnsi="Times New Roman"/>
          <w:sz w:val="20"/>
        </w:rPr>
      </w:pPr>
      <w:r>
        <w:rPr>
          <w:rFonts w:ascii="Times New Roman" w:hAnsi="Times New Roman"/>
          <w:sz w:val="20"/>
        </w:rPr>
        <w:t xml:space="preserve">For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annual total compensation of the median of all Company employees (other than its Chief Executive Officer) was $59,170.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rPr/>
      </w:pPr>
      <w:r>
        <w:rPr/>
      </w:r>
    </w:p>
    <w:p>
      <w:pPr>
        <w:pStyle w:val="Heading5"/>
        <w:rPr/>
      </w:pPr>
      <w:hyperlink w:anchor="toc">
        <w:r>
          <w:rPr>
            <w:rStyle w:val="InternetLink"/>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annual total compensation of the Company’s Chief Executive Officer, as reported in the Summary Compensation Table on page 27 of this proxy statement, was $6,079,394. </w:t>
            </w:r>
          </w:p>
        </w:tc>
      </w:tr>
    </w:tbl>
    <w:p>
      <w:pPr>
        <w:pStyle w:val="TextBody"/>
        <w:spacing w:before="240" w:after="0"/>
        <w:jc w:val="left"/>
        <w:rPr>
          <w:rFonts w:ascii="Times New Roman" w:hAnsi="Times New Roman"/>
          <w:sz w:val="20"/>
        </w:rPr>
      </w:pPr>
      <w:r>
        <w:rPr>
          <w:rFonts w:ascii="Times New Roman" w:hAnsi="Times New Roman"/>
          <w:sz w:val="20"/>
        </w:rPr>
        <w:t xml:space="preserve">Based on this information, for 2022 the ratio of the annual total compensation of the Company’s Chief Executive Officer to the annual total compensation of our median employee, as required to be reported pursuant to Item 402 of Regulation S-K, was 102.7:1. </w:t>
      </w:r>
    </w:p>
    <w:p>
      <w:pPr>
        <w:pStyle w:val="TextBody"/>
        <w:spacing w:before="240" w:after="0"/>
        <w:jc w:val="left"/>
        <w:rPr>
          <w:rFonts w:ascii="Times New Roman" w:hAnsi="Times New Roman"/>
          <w:sz w:val="20"/>
        </w:rPr>
      </w:pPr>
      <w:r>
        <w:rPr>
          <w:rFonts w:ascii="Times New Roman" w:hAnsi="Times New Roman"/>
          <w:sz w:val="20"/>
        </w:rPr>
        <w:t xml:space="preserve">The median employee was identified using a listing of all employees as of December 31, 2022, and calculating the median amount of total 2022 compensation as it would be reported based on the IRS instructions for Box 5, Medicare wages and tips. Actual amounts reported on Box 5 for 2022 were used for all employees who were employed throughout the entire year. We further annualized pay for those individuals not employed for a full year in 2022. Once we identified our median employee, we calculated such employee’s annual total compensation for 2022 in accordance with the requirements of Item 402(c)(2)(x) of Regulation S-K. </w:t>
      </w:r>
    </w:p>
    <w:p>
      <w:pPr>
        <w:pStyle w:val="TextBody"/>
        <w:spacing w:before="240" w:after="0"/>
        <w:jc w:val="left"/>
        <w:rPr>
          <w:rFonts w:ascii="Times New Roman" w:hAnsi="Times New Roman"/>
          <w:sz w:val="20"/>
        </w:rPr>
      </w:pPr>
      <w:r>
        <w:rPr>
          <w:rFonts w:ascii="Times New Roman" w:hAnsi="Times New Roman"/>
          <w:sz w:val="20"/>
        </w:rPr>
        <w:t xml:space="preserve">This pay ratio is a reasonable estimate calculated in a manner consistent with SEC rules based on the Company’s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Director Compensation in Fiscal Year 2022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a summary of the compensation we paid to our non-employee directors during 2022. Mr. Kevin P. Reilly, Jr. receives no additional compensation for Board service. </w:t>
      </w:r>
    </w:p>
    <w:p>
      <w:pPr>
        <w:pStyle w:val="TextBody"/>
        <w:spacing w:before="0" w:after="0"/>
        <w:jc w:val="left"/>
        <w:rPr/>
      </w:pPr>
      <w:r>
        <w:rPr/>
        <w:t> </w:t>
      </w:r>
    </w:p>
    <w:tbl>
      <w:tblPr>
        <w:tblW w:w="7579" w:type="dxa"/>
        <w:jc w:val="left"/>
        <w:tblInd w:w="0" w:type="dxa"/>
        <w:tblCellMar>
          <w:top w:w="0" w:type="dxa"/>
          <w:left w:w="0" w:type="dxa"/>
          <w:bottom w:w="0" w:type="dxa"/>
          <w:right w:w="0" w:type="dxa"/>
        </w:tblCellMar>
      </w:tblPr>
      <w:tblGrid>
        <w:gridCol w:w="1970"/>
        <w:gridCol w:w="120"/>
        <w:gridCol w:w="170"/>
        <w:gridCol w:w="1935"/>
        <w:gridCol w:w="60"/>
        <w:gridCol w:w="120"/>
        <w:gridCol w:w="166"/>
        <w:gridCol w:w="1893"/>
        <w:gridCol w:w="60"/>
        <w:gridCol w:w="120"/>
        <w:gridCol w:w="62"/>
        <w:gridCol w:w="828"/>
        <w:gridCol w:w="75"/>
      </w:tblGrid>
      <w:tr>
        <w:trPr/>
        <w:tc>
          <w:tcPr>
            <w:tcW w:w="19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9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8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97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120" w:type="dxa"/>
            <w:tcBorders/>
            <w:shd w:fill="auto" w:val="clear"/>
            <w:vAlign w:val="center"/>
          </w:tcPr>
          <w:p>
            <w:pPr>
              <w:pStyle w:val="TableContents"/>
              <w:spacing w:before="0" w:after="283"/>
              <w:rPr/>
            </w:pPr>
            <w:r>
              <w:rPr/>
              <w:t>  </w:t>
            </w:r>
          </w:p>
        </w:tc>
        <w:tc>
          <w:tcPr>
            <w:tcW w:w="210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Fees Earned or Paid</w:t>
            </w:r>
            <w:r>
              <w:rPr/>
              <w:br/>
            </w:r>
            <w:r>
              <w:rPr>
                <w:b/>
              </w:rPr>
              <w:t>in Cash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59"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Stock Awards ($)(1)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90"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Total ($)</w:t>
            </w:r>
          </w:p>
        </w:tc>
        <w:tc>
          <w:tcPr>
            <w:tcW w:w="75" w:type="dxa"/>
            <w:tcBorders/>
            <w:shd w:fill="auto" w:val="clear"/>
            <w:vAlign w:val="center"/>
          </w:tcPr>
          <w:p>
            <w:pPr>
              <w:pStyle w:val="TableContents"/>
              <w:spacing w:before="0" w:after="283"/>
              <w:rPr/>
            </w:pPr>
            <w:r>
              <w:rPr/>
              <w:t> </w:t>
            </w:r>
          </w:p>
        </w:tc>
      </w:tr>
      <w:tr>
        <w:trPr/>
        <w:tc>
          <w:tcPr>
            <w:tcW w:w="19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John E. Koerner, III</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935" w:type="dxa"/>
            <w:tcBorders/>
            <w:shd w:fill="CCEEFF" w:val="clear"/>
            <w:vAlign w:val="center"/>
          </w:tcPr>
          <w:p>
            <w:pPr>
              <w:pStyle w:val="TableContents"/>
              <w:spacing w:before="0" w:after="283"/>
              <w:jc w:val="right"/>
              <w:rPr/>
            </w:pPr>
            <w:r>
              <w:rPr/>
              <w:t>72,500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1893" w:type="dxa"/>
            <w:tcBorders/>
            <w:shd w:fill="CCEEFF" w:val="clear"/>
            <w:vAlign w:val="center"/>
          </w:tcPr>
          <w:p>
            <w:pPr>
              <w:pStyle w:val="TableContents"/>
              <w:spacing w:before="0" w:after="283"/>
              <w:jc w:val="right"/>
              <w:rPr/>
            </w:pPr>
            <w:r>
              <w:rPr/>
              <w:t>70,000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142,500</w:t>
            </w:r>
          </w:p>
        </w:tc>
        <w:tc>
          <w:tcPr>
            <w:tcW w:w="75" w:type="dxa"/>
            <w:tcBorders/>
            <w:shd w:fill="CCEEFF" w:val="clear"/>
            <w:vAlign w:val="center"/>
          </w:tcPr>
          <w:p>
            <w:pPr>
              <w:pStyle w:val="TableContents"/>
              <w:spacing w:before="0" w:after="283"/>
              <w:rPr/>
            </w:pPr>
            <w:r>
              <w:rPr/>
              <w:t> </w:t>
            </w:r>
          </w:p>
        </w:tc>
      </w:tr>
      <w:tr>
        <w:trPr/>
        <w:tc>
          <w:tcPr>
            <w:tcW w:w="19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Marshall Loeb</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35" w:type="dxa"/>
            <w:tcBorders/>
            <w:shd w:fill="auto" w:val="clear"/>
            <w:vAlign w:val="center"/>
          </w:tcPr>
          <w:p>
            <w:pPr>
              <w:pStyle w:val="TableContents"/>
              <w:spacing w:before="0" w:after="283"/>
              <w:jc w:val="right"/>
              <w:rPr/>
            </w:pPr>
            <w:r>
              <w:rPr/>
              <w:t>57,500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893" w:type="dxa"/>
            <w:tcBorders/>
            <w:shd w:fill="auto" w:val="clear"/>
            <w:vAlign w:val="center"/>
          </w:tcPr>
          <w:p>
            <w:pPr>
              <w:pStyle w:val="TableContents"/>
              <w:spacing w:before="0" w:after="283"/>
              <w:jc w:val="right"/>
              <w:rPr/>
            </w:pPr>
            <w:r>
              <w:rPr/>
              <w:t>55,000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8" w:type="dxa"/>
            <w:tcBorders/>
            <w:shd w:fill="auto" w:val="clear"/>
            <w:vAlign w:val="center"/>
          </w:tcPr>
          <w:p>
            <w:pPr>
              <w:pStyle w:val="TableContents"/>
              <w:spacing w:before="0" w:after="283"/>
              <w:jc w:val="right"/>
              <w:rPr/>
            </w:pPr>
            <w:r>
              <w:rPr/>
              <w:t>112,500</w:t>
            </w:r>
          </w:p>
        </w:tc>
        <w:tc>
          <w:tcPr>
            <w:tcW w:w="75" w:type="dxa"/>
            <w:tcBorders/>
            <w:shd w:fill="auto" w:val="clear"/>
            <w:vAlign w:val="center"/>
          </w:tcPr>
          <w:p>
            <w:pPr>
              <w:pStyle w:val="TableContents"/>
              <w:spacing w:before="0" w:after="283"/>
              <w:rPr/>
            </w:pPr>
            <w:r>
              <w:rPr/>
              <w:t> </w:t>
            </w:r>
          </w:p>
        </w:tc>
      </w:tr>
      <w:tr>
        <w:trPr/>
        <w:tc>
          <w:tcPr>
            <w:tcW w:w="19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Stephen P. Mumblow</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935" w:type="dxa"/>
            <w:tcBorders/>
            <w:shd w:fill="CCEEFF" w:val="clear"/>
            <w:vAlign w:val="center"/>
          </w:tcPr>
          <w:p>
            <w:pPr>
              <w:pStyle w:val="TableContents"/>
              <w:spacing w:before="0" w:after="283"/>
              <w:jc w:val="right"/>
              <w:rPr/>
            </w:pPr>
            <w:r>
              <w:rPr/>
              <w:t>83,500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1893" w:type="dxa"/>
            <w:tcBorders/>
            <w:shd w:fill="CCEEFF" w:val="clear"/>
            <w:vAlign w:val="center"/>
          </w:tcPr>
          <w:p>
            <w:pPr>
              <w:pStyle w:val="TableContents"/>
              <w:spacing w:before="0" w:after="283"/>
              <w:jc w:val="right"/>
              <w:rPr/>
            </w:pPr>
            <w:r>
              <w:rPr/>
              <w:t>75,000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158,500</w:t>
            </w:r>
          </w:p>
        </w:tc>
        <w:tc>
          <w:tcPr>
            <w:tcW w:w="75" w:type="dxa"/>
            <w:tcBorders/>
            <w:shd w:fill="CCEEFF" w:val="clear"/>
            <w:vAlign w:val="center"/>
          </w:tcPr>
          <w:p>
            <w:pPr>
              <w:pStyle w:val="TableContents"/>
              <w:spacing w:before="0" w:after="283"/>
              <w:rPr/>
            </w:pPr>
            <w:r>
              <w:rPr/>
              <w:t> </w:t>
            </w:r>
          </w:p>
        </w:tc>
      </w:tr>
      <w:tr>
        <w:trPr/>
        <w:tc>
          <w:tcPr>
            <w:tcW w:w="19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Thomas V. Reifenheiser</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35" w:type="dxa"/>
            <w:tcBorders/>
            <w:shd w:fill="auto" w:val="clear"/>
            <w:vAlign w:val="center"/>
          </w:tcPr>
          <w:p>
            <w:pPr>
              <w:pStyle w:val="TableContents"/>
              <w:spacing w:before="0" w:after="283"/>
              <w:jc w:val="right"/>
              <w:rPr/>
            </w:pPr>
            <w:r>
              <w:rPr/>
              <w:t>72,500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893" w:type="dxa"/>
            <w:tcBorders/>
            <w:shd w:fill="auto" w:val="clear"/>
            <w:vAlign w:val="center"/>
          </w:tcPr>
          <w:p>
            <w:pPr>
              <w:pStyle w:val="TableContents"/>
              <w:spacing w:before="0" w:after="283"/>
              <w:jc w:val="right"/>
              <w:rPr/>
            </w:pPr>
            <w:r>
              <w:rPr/>
              <w:t>70,000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8" w:type="dxa"/>
            <w:tcBorders/>
            <w:shd w:fill="auto" w:val="clear"/>
            <w:vAlign w:val="center"/>
          </w:tcPr>
          <w:p>
            <w:pPr>
              <w:pStyle w:val="TableContents"/>
              <w:spacing w:before="0" w:after="283"/>
              <w:jc w:val="right"/>
              <w:rPr/>
            </w:pPr>
            <w:r>
              <w:rPr/>
              <w:t>142,500</w:t>
            </w:r>
          </w:p>
        </w:tc>
        <w:tc>
          <w:tcPr>
            <w:tcW w:w="75" w:type="dxa"/>
            <w:tcBorders/>
            <w:shd w:fill="auto" w:val="clear"/>
            <w:vAlign w:val="center"/>
          </w:tcPr>
          <w:p>
            <w:pPr>
              <w:pStyle w:val="TableContents"/>
              <w:spacing w:before="0" w:after="283"/>
              <w:rPr/>
            </w:pPr>
            <w:r>
              <w:rPr/>
              <w:t> </w:t>
            </w:r>
          </w:p>
        </w:tc>
      </w:tr>
      <w:tr>
        <w:trPr/>
        <w:tc>
          <w:tcPr>
            <w:tcW w:w="19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Anna Reilly</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935" w:type="dxa"/>
            <w:tcBorders/>
            <w:shd w:fill="CCEEFF" w:val="clear"/>
            <w:vAlign w:val="center"/>
          </w:tcPr>
          <w:p>
            <w:pPr>
              <w:pStyle w:val="TableContents"/>
              <w:spacing w:before="0" w:after="283"/>
              <w:jc w:val="right"/>
              <w:rPr/>
            </w:pPr>
            <w:r>
              <w:rPr/>
              <w:t>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1893" w:type="dxa"/>
            <w:tcBorders/>
            <w:shd w:fill="CCEEFF" w:val="clear"/>
            <w:vAlign w:val="center"/>
          </w:tcPr>
          <w:p>
            <w:pPr>
              <w:pStyle w:val="TableContents"/>
              <w:spacing w:before="0" w:after="283"/>
              <w:jc w:val="right"/>
              <w:rPr/>
            </w:pPr>
            <w:r>
              <w:rPr/>
              <w:t>50,000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100,000</w:t>
            </w:r>
          </w:p>
        </w:tc>
        <w:tc>
          <w:tcPr>
            <w:tcW w:w="75" w:type="dxa"/>
            <w:tcBorders/>
            <w:shd w:fill="CCEEFF" w:val="clear"/>
            <w:vAlign w:val="center"/>
          </w:tcPr>
          <w:p>
            <w:pPr>
              <w:pStyle w:val="TableContents"/>
              <w:spacing w:before="0" w:after="283"/>
              <w:rPr/>
            </w:pPr>
            <w:r>
              <w:rPr/>
              <w:t> </w:t>
            </w:r>
          </w:p>
        </w:tc>
      </w:tr>
      <w:tr>
        <w:trPr/>
        <w:tc>
          <w:tcPr>
            <w:tcW w:w="19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Wendell Reilly</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35" w:type="dxa"/>
            <w:tcBorders/>
            <w:shd w:fill="auto" w:val="clear"/>
            <w:vAlign w:val="center"/>
          </w:tcPr>
          <w:p>
            <w:pPr>
              <w:pStyle w:val="TableContents"/>
              <w:spacing w:before="0" w:after="283"/>
              <w:jc w:val="right"/>
              <w:rPr/>
            </w:pPr>
            <w:r>
              <w:rPr/>
              <w:t>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893" w:type="dxa"/>
            <w:tcBorders/>
            <w:shd w:fill="auto" w:val="clear"/>
            <w:vAlign w:val="center"/>
          </w:tcPr>
          <w:p>
            <w:pPr>
              <w:pStyle w:val="TableContents"/>
              <w:spacing w:before="0" w:after="283"/>
              <w:jc w:val="right"/>
              <w:rPr/>
            </w:pPr>
            <w:r>
              <w:rPr/>
              <w:t>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8" w:type="dxa"/>
            <w:tcBorders/>
            <w:shd w:fill="auto" w:val="clear"/>
            <w:vAlign w:val="center"/>
          </w:tcPr>
          <w:p>
            <w:pPr>
              <w:pStyle w:val="TableContents"/>
              <w:spacing w:before="0" w:after="283"/>
              <w:jc w:val="right"/>
              <w:rPr/>
            </w:pPr>
            <w:r>
              <w:rPr/>
              <w:t>100,000</w:t>
            </w:r>
          </w:p>
        </w:tc>
        <w:tc>
          <w:tcPr>
            <w:tcW w:w="75" w:type="dxa"/>
            <w:tcBorders/>
            <w:shd w:fill="auto" w:val="clear"/>
            <w:vAlign w:val="center"/>
          </w:tcPr>
          <w:p>
            <w:pPr>
              <w:pStyle w:val="TableContents"/>
              <w:spacing w:before="0" w:after="283"/>
              <w:rPr/>
            </w:pPr>
            <w:r>
              <w:rPr/>
              <w:t> </w:t>
            </w:r>
          </w:p>
        </w:tc>
      </w:tr>
      <w:tr>
        <w:trPr/>
        <w:tc>
          <w:tcPr>
            <w:tcW w:w="19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Elizabeth Thompson</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935" w:type="dxa"/>
            <w:tcBorders/>
            <w:shd w:fill="CCEEFF" w:val="clear"/>
            <w:vAlign w:val="center"/>
          </w:tcPr>
          <w:p>
            <w:pPr>
              <w:pStyle w:val="TableContents"/>
              <w:spacing w:before="0" w:after="283"/>
              <w:jc w:val="right"/>
              <w:rPr/>
            </w:pPr>
            <w:r>
              <w:rPr/>
              <w:t>53,000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6" w:type="dxa"/>
            <w:tcBorders/>
            <w:shd w:fill="CCEEFF" w:val="clear"/>
            <w:vAlign w:val="center"/>
          </w:tcPr>
          <w:p>
            <w:pPr>
              <w:pStyle w:val="TableContents"/>
              <w:spacing w:before="0" w:after="283"/>
              <w:rPr/>
            </w:pPr>
            <w:r>
              <w:rPr/>
              <w:t> </w:t>
            </w:r>
          </w:p>
        </w:tc>
        <w:tc>
          <w:tcPr>
            <w:tcW w:w="1893" w:type="dxa"/>
            <w:tcBorders/>
            <w:shd w:fill="CCEEFF" w:val="clear"/>
            <w:vAlign w:val="center"/>
          </w:tcPr>
          <w:p>
            <w:pPr>
              <w:pStyle w:val="TableContents"/>
              <w:spacing w:before="0" w:after="283"/>
              <w:jc w:val="right"/>
              <w:rPr/>
            </w:pPr>
            <w:r>
              <w:rPr/>
              <w:t>55,000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2" w:type="dxa"/>
            <w:tcBorders/>
            <w:shd w:fill="CCEEFF" w:val="clear"/>
            <w:vAlign w:val="center"/>
          </w:tcPr>
          <w:p>
            <w:pPr>
              <w:pStyle w:val="TableContents"/>
              <w:spacing w:before="0" w:after="283"/>
              <w:rPr/>
            </w:pPr>
            <w:r>
              <w:rPr/>
              <w:t> </w:t>
            </w:r>
          </w:p>
        </w:tc>
        <w:tc>
          <w:tcPr>
            <w:tcW w:w="828" w:type="dxa"/>
            <w:tcBorders/>
            <w:shd w:fill="CCEEFF" w:val="clear"/>
            <w:vAlign w:val="center"/>
          </w:tcPr>
          <w:p>
            <w:pPr>
              <w:pStyle w:val="TableContents"/>
              <w:spacing w:before="0" w:after="283"/>
              <w:jc w:val="right"/>
              <w:rPr/>
            </w:pPr>
            <w:r>
              <w:rPr/>
              <w:t>108,000</w:t>
            </w:r>
          </w:p>
        </w:tc>
        <w:tc>
          <w:tcPr>
            <w:tcW w:w="75" w:type="dxa"/>
            <w:tcBorders/>
            <w:shd w:fill="CCEEFF" w:val="clear"/>
            <w:vAlign w:val="center"/>
          </w:tcPr>
          <w:p>
            <w:pPr>
              <w:pStyle w:val="TableContents"/>
              <w:spacing w:before="0" w:after="283"/>
              <w:rPr/>
            </w:pPr>
            <w:r>
              <w:rPr/>
              <w:t> </w:t>
            </w:r>
          </w:p>
        </w:tc>
      </w:tr>
      <w:tr>
        <w:trPr/>
        <w:tc>
          <w:tcPr>
            <w:tcW w:w="19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Nancy Fletcher</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935" w:type="dxa"/>
            <w:tcBorders/>
            <w:shd w:fill="auto" w:val="clear"/>
            <w:vAlign w:val="center"/>
          </w:tcPr>
          <w:p>
            <w:pPr>
              <w:pStyle w:val="TableContents"/>
              <w:spacing w:before="0" w:after="283"/>
              <w:jc w:val="right"/>
              <w:rPr/>
            </w:pPr>
            <w:r>
              <w:rPr/>
              <w:t>53,000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6" w:type="dxa"/>
            <w:tcBorders/>
            <w:shd w:fill="auto" w:val="clear"/>
            <w:vAlign w:val="center"/>
          </w:tcPr>
          <w:p>
            <w:pPr>
              <w:pStyle w:val="TableContents"/>
              <w:spacing w:before="0" w:after="283"/>
              <w:rPr/>
            </w:pPr>
            <w:r>
              <w:rPr/>
              <w:t> </w:t>
            </w:r>
          </w:p>
        </w:tc>
        <w:tc>
          <w:tcPr>
            <w:tcW w:w="1893" w:type="dxa"/>
            <w:tcBorders/>
            <w:shd w:fill="auto" w:val="clear"/>
            <w:vAlign w:val="center"/>
          </w:tcPr>
          <w:p>
            <w:pPr>
              <w:pStyle w:val="TableContents"/>
              <w:spacing w:before="0" w:after="283"/>
              <w:jc w:val="right"/>
              <w:rPr/>
            </w:pPr>
            <w:r>
              <w:rPr/>
              <w:t>55,000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2" w:type="dxa"/>
            <w:tcBorders/>
            <w:shd w:fill="auto" w:val="clear"/>
            <w:vAlign w:val="center"/>
          </w:tcPr>
          <w:p>
            <w:pPr>
              <w:pStyle w:val="TableContents"/>
              <w:spacing w:before="0" w:after="283"/>
              <w:rPr/>
            </w:pPr>
            <w:r>
              <w:rPr/>
              <w:t> </w:t>
            </w:r>
          </w:p>
        </w:tc>
        <w:tc>
          <w:tcPr>
            <w:tcW w:w="828" w:type="dxa"/>
            <w:tcBorders/>
            <w:shd w:fill="auto" w:val="clear"/>
            <w:vAlign w:val="center"/>
          </w:tcPr>
          <w:p>
            <w:pPr>
              <w:pStyle w:val="TableContents"/>
              <w:spacing w:before="0" w:after="283"/>
              <w:jc w:val="right"/>
              <w:rPr/>
            </w:pPr>
            <w:r>
              <w:rPr/>
              <w:t>108,000</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pPr>
            <w:r>
              <w:rPr/>
              <w:t>(1)</w:t>
            </w:r>
          </w:p>
        </w:tc>
        <w:tc>
          <w:tcPr>
            <w:tcW w:w="9958"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Reflects the aggregate grant date fair value recognized for financial statement reporting purposes for fiscal year 2022 in accordance with ASC Topic 718 that relates to the value of the shares awarded upon each director’s election in 2022. For the assumptions underlying the valuation of these awards see Note 15 to the Consolidated Financial Statements included in our Annual Report on Form 10-K for the fiscal year ended December 31, 2022, filed with the SEC on February 24, 2023. </w:t>
            </w:r>
          </w:p>
        </w:tc>
      </w:tr>
    </w:tbl>
    <w:p>
      <w:pPr>
        <w:pStyle w:val="TextBody"/>
        <w:spacing w:before="240" w:after="0"/>
        <w:jc w:val="left"/>
        <w:rPr>
          <w:rFonts w:ascii="Times New Roman" w:hAnsi="Times New Roman"/>
          <w:sz w:val="20"/>
        </w:rPr>
      </w:pPr>
      <w:r>
        <w:rPr>
          <w:rFonts w:ascii="Times New Roman" w:hAnsi="Times New Roman"/>
          <w:sz w:val="20"/>
        </w:rPr>
        <w:t xml:space="preserve">For 2022, we paid our non-employee directors annual fees in cash of $50,000, paid monthly. We also reimburse non-employee directors for travel expenses incurred to attend Board and committee meetings and expenses incurred to perform other related responsibilities. </w:t>
      </w:r>
    </w:p>
    <w:p>
      <w:pPr>
        <w:pStyle w:val="TextBody"/>
        <w:spacing w:before="240" w:after="0"/>
        <w:jc w:val="left"/>
        <w:rPr>
          <w:rFonts w:ascii="Times New Roman" w:hAnsi="Times New Roman"/>
          <w:sz w:val="20"/>
        </w:rPr>
      </w:pPr>
      <w:r>
        <w:rPr>
          <w:rFonts w:ascii="Times New Roman" w:hAnsi="Times New Roman"/>
          <w:sz w:val="20"/>
        </w:rPr>
        <w:t xml:space="preserve">Each member of a committee (including the chair of such committee) of the Board of Directors also received an annual committee meeting fee, paid semi-annually in cash, for each committee on which they serve. For each Audit Committee member, the annual fee is $7,500. For each Compensation Committee member and Nominating and Governance Committee member, the annual fee is $3,000. </w:t>
      </w:r>
    </w:p>
    <w:p>
      <w:pPr>
        <w:pStyle w:val="TextBody"/>
        <w:spacing w:before="240" w:after="0"/>
        <w:jc w:val="left"/>
        <w:rPr>
          <w:rFonts w:ascii="Times New Roman" w:hAnsi="Times New Roman"/>
          <w:sz w:val="20"/>
        </w:rPr>
      </w:pPr>
      <w:r>
        <w:rPr>
          <w:rFonts w:ascii="Times New Roman" w:hAnsi="Times New Roman"/>
          <w:sz w:val="20"/>
        </w:rPr>
        <w:t xml:space="preserve">In 2022, the Chairman of the Audit Committee received an additional annual fee of $20,000. In 2022, the Chairman of the Compensation and the Nominating and Governance Committees each received an additional annual fee of $9,000. These fees are paid on a quarterly basis. </w:t>
      </w:r>
    </w:p>
    <w:p>
      <w:pPr>
        <w:pStyle w:val="TextBody"/>
        <w:spacing w:before="240" w:after="0"/>
        <w:jc w:val="left"/>
        <w:rPr>
          <w:rFonts w:ascii="Times New Roman" w:hAnsi="Times New Roman"/>
          <w:sz w:val="20"/>
        </w:rPr>
      </w:pPr>
      <w:r>
        <w:rPr>
          <w:rFonts w:ascii="Times New Roman" w:hAnsi="Times New Roman"/>
          <w:sz w:val="20"/>
        </w:rPr>
        <w:t xml:space="preserve">Each non-employee director automatically receives upon his election or re-election at an annual meeting of stockholders a restricted stock award in shares of the Company’s Class A Common Stock with a fair market value as set forth below (rounded down to the nearest whole share), which fair market value is determined based upon the closing price of the Class A Common Stock on the date of such election, 50% of which is fully vested on the grant date and 50% of which vests on the last day of such director’s one-year term (the business day prior to the Company’s next annual meeting of stockholders) with pro-rated grants upon an election other than at an annual meeting of stockholders whether by action of the Board or the stockholders to fill a vacancy or otherwise.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rPr/>
      </w:pPr>
      <w:r>
        <w:rPr/>
      </w:r>
    </w:p>
    <w:p>
      <w:pPr>
        <w:pStyle w:val="Heading5"/>
        <w:rPr/>
      </w:pPr>
      <w:hyperlink w:anchor="toc">
        <w:r>
          <w:rPr>
            <w:rStyle w:val="InternetLink"/>
          </w:rPr>
          <w:t>Table of Contents</w:t>
        </w:r>
      </w:hyperlink>
    </w:p>
    <w:tbl>
      <w:tblPr>
        <w:tblW w:w="6580" w:type="dxa"/>
        <w:jc w:val="left"/>
        <w:tblInd w:w="0" w:type="dxa"/>
        <w:tblCellMar>
          <w:top w:w="0" w:type="dxa"/>
          <w:left w:w="0" w:type="dxa"/>
          <w:bottom w:w="0" w:type="dxa"/>
          <w:right w:w="0" w:type="dxa"/>
        </w:tblCellMar>
      </w:tblPr>
      <w:tblGrid>
        <w:gridCol w:w="4025"/>
        <w:gridCol w:w="120"/>
        <w:gridCol w:w="402"/>
        <w:gridCol w:w="1958"/>
        <w:gridCol w:w="75"/>
      </w:tblGrid>
      <w:tr>
        <w:trPr/>
        <w:tc>
          <w:tcPr>
            <w:tcW w:w="40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195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025"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Non-Employee Director</w:t>
            </w:r>
          </w:p>
        </w:tc>
        <w:tc>
          <w:tcPr>
            <w:tcW w:w="120" w:type="dxa"/>
            <w:tcBorders/>
            <w:shd w:fill="auto" w:val="clear"/>
            <w:vAlign w:val="center"/>
          </w:tcPr>
          <w:p>
            <w:pPr>
              <w:pStyle w:val="TableContents"/>
              <w:spacing w:before="0" w:after="283"/>
              <w:rPr/>
            </w:pPr>
            <w:r>
              <w:rPr/>
              <w:t>  </w:t>
            </w:r>
          </w:p>
        </w:tc>
        <w:tc>
          <w:tcPr>
            <w:tcW w:w="236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Fair Market Value of</w:t>
            </w:r>
            <w:r>
              <w:rPr/>
              <w:br/>
            </w:r>
            <w:r>
              <w:rPr>
                <w:b/>
              </w:rPr>
              <w:t>Restricted Stock Grant</w:t>
            </w:r>
          </w:p>
        </w:tc>
        <w:tc>
          <w:tcPr>
            <w:tcW w:w="75"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Non-Committee Members</w:t>
            </w:r>
          </w:p>
        </w:tc>
        <w:tc>
          <w:tcPr>
            <w:tcW w:w="120" w:type="dxa"/>
            <w:tcBorders/>
            <w:shd w:fill="CCEEFF" w:val="clear"/>
            <w:vAlign w:val="center"/>
          </w:tcPr>
          <w:p>
            <w:pPr>
              <w:pStyle w:val="TableContents"/>
              <w:spacing w:before="0" w:after="283"/>
              <w:rPr/>
            </w:pPr>
            <w:r>
              <w:rPr/>
              <w:t>  </w:t>
            </w:r>
          </w:p>
        </w:tc>
        <w:tc>
          <w:tcPr>
            <w:tcW w:w="402" w:type="dxa"/>
            <w:tcBorders/>
            <w:shd w:fill="CCEEFF" w:val="clear"/>
            <w:vAlign w:val="center"/>
          </w:tcPr>
          <w:p>
            <w:pPr>
              <w:pStyle w:val="TableContents"/>
              <w:spacing w:before="0" w:after="283"/>
              <w:rPr/>
            </w:pPr>
            <w:r>
              <w:rPr/>
              <w:t>$</w:t>
            </w:r>
          </w:p>
        </w:tc>
        <w:tc>
          <w:tcPr>
            <w:tcW w:w="1958" w:type="dxa"/>
            <w:tcBorders/>
            <w:shd w:fill="CCEEFF" w:val="clear"/>
            <w:vAlign w:val="center"/>
          </w:tcPr>
          <w:p>
            <w:pPr>
              <w:pStyle w:val="TableContents"/>
              <w:spacing w:before="0" w:after="283"/>
              <w:jc w:val="right"/>
              <w:rPr/>
            </w:pPr>
            <w:r>
              <w:rPr/>
              <w:t>50,000</w:t>
            </w:r>
          </w:p>
        </w:tc>
        <w:tc>
          <w:tcPr>
            <w:tcW w:w="75" w:type="dxa"/>
            <w:tcBorders/>
            <w:shd w:fill="CCEEFF"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Committee Members (not Chair)</w:t>
            </w:r>
          </w:p>
        </w:tc>
        <w:tc>
          <w:tcPr>
            <w:tcW w:w="120" w:type="dxa"/>
            <w:tcBorders/>
            <w:shd w:fill="auto" w:val="clear"/>
            <w:vAlign w:val="center"/>
          </w:tcPr>
          <w:p>
            <w:pPr>
              <w:pStyle w:val="TableContents"/>
              <w:spacing w:before="0" w:after="283"/>
              <w:rPr/>
            </w:pPr>
            <w:r>
              <w:rPr/>
              <w:t>  </w:t>
            </w:r>
          </w:p>
        </w:tc>
        <w:tc>
          <w:tcPr>
            <w:tcW w:w="402" w:type="dxa"/>
            <w:tcBorders/>
            <w:shd w:fill="auto" w:val="clear"/>
            <w:vAlign w:val="center"/>
          </w:tcPr>
          <w:p>
            <w:pPr>
              <w:pStyle w:val="TableContents"/>
              <w:spacing w:before="0" w:after="283"/>
              <w:rPr/>
            </w:pPr>
            <w:r>
              <w:rPr/>
              <w:t>$</w:t>
            </w:r>
          </w:p>
        </w:tc>
        <w:tc>
          <w:tcPr>
            <w:tcW w:w="1958" w:type="dxa"/>
            <w:tcBorders/>
            <w:shd w:fill="auto" w:val="clear"/>
            <w:vAlign w:val="center"/>
          </w:tcPr>
          <w:p>
            <w:pPr>
              <w:pStyle w:val="TableContents"/>
              <w:spacing w:before="0" w:after="283"/>
              <w:jc w:val="right"/>
              <w:rPr/>
            </w:pPr>
            <w:r>
              <w:rPr/>
              <w:t>55,000</w:t>
            </w:r>
          </w:p>
        </w:tc>
        <w:tc>
          <w:tcPr>
            <w:tcW w:w="75"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Chair of Compensation Committee</w:t>
            </w:r>
          </w:p>
        </w:tc>
        <w:tc>
          <w:tcPr>
            <w:tcW w:w="120" w:type="dxa"/>
            <w:tcBorders/>
            <w:shd w:fill="CCEEFF" w:val="clear"/>
            <w:vAlign w:val="center"/>
          </w:tcPr>
          <w:p>
            <w:pPr>
              <w:pStyle w:val="TableContents"/>
              <w:spacing w:before="0" w:after="283"/>
              <w:rPr/>
            </w:pPr>
            <w:r>
              <w:rPr/>
              <w:t>  </w:t>
            </w:r>
          </w:p>
        </w:tc>
        <w:tc>
          <w:tcPr>
            <w:tcW w:w="402" w:type="dxa"/>
            <w:tcBorders/>
            <w:shd w:fill="CCEEFF" w:val="clear"/>
            <w:vAlign w:val="center"/>
          </w:tcPr>
          <w:p>
            <w:pPr>
              <w:pStyle w:val="TableContents"/>
              <w:spacing w:before="0" w:after="283"/>
              <w:rPr/>
            </w:pPr>
            <w:r>
              <w:rPr/>
              <w:t>$</w:t>
            </w:r>
          </w:p>
        </w:tc>
        <w:tc>
          <w:tcPr>
            <w:tcW w:w="1958" w:type="dxa"/>
            <w:tcBorders/>
            <w:shd w:fill="CCEEFF" w:val="clear"/>
            <w:vAlign w:val="center"/>
          </w:tcPr>
          <w:p>
            <w:pPr>
              <w:pStyle w:val="TableContents"/>
              <w:spacing w:before="0" w:after="283"/>
              <w:jc w:val="right"/>
              <w:rPr/>
            </w:pPr>
            <w:r>
              <w:rPr/>
              <w:t>70,000</w:t>
            </w:r>
          </w:p>
        </w:tc>
        <w:tc>
          <w:tcPr>
            <w:tcW w:w="75" w:type="dxa"/>
            <w:tcBorders/>
            <w:shd w:fill="CCEEFF" w:val="clear"/>
            <w:vAlign w:val="center"/>
          </w:tcPr>
          <w:p>
            <w:pPr>
              <w:pStyle w:val="TableContents"/>
              <w:spacing w:before="0" w:after="283"/>
              <w:rPr/>
            </w:pPr>
            <w:r>
              <w:rPr/>
              <w:t> </w:t>
            </w:r>
          </w:p>
        </w:tc>
      </w:tr>
      <w:tr>
        <w:trPr/>
        <w:tc>
          <w:tcPr>
            <w:tcW w:w="40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Chair of Nominating and Governance Committee</w:t>
            </w:r>
          </w:p>
        </w:tc>
        <w:tc>
          <w:tcPr>
            <w:tcW w:w="120" w:type="dxa"/>
            <w:tcBorders/>
            <w:shd w:fill="auto" w:val="clear"/>
            <w:vAlign w:val="center"/>
          </w:tcPr>
          <w:p>
            <w:pPr>
              <w:pStyle w:val="TableContents"/>
              <w:spacing w:before="0" w:after="283"/>
              <w:rPr/>
            </w:pPr>
            <w:r>
              <w:rPr/>
              <w:t>  </w:t>
            </w:r>
          </w:p>
        </w:tc>
        <w:tc>
          <w:tcPr>
            <w:tcW w:w="402" w:type="dxa"/>
            <w:tcBorders/>
            <w:shd w:fill="auto" w:val="clear"/>
            <w:vAlign w:val="center"/>
          </w:tcPr>
          <w:p>
            <w:pPr>
              <w:pStyle w:val="TableContents"/>
              <w:spacing w:before="0" w:after="283"/>
              <w:rPr/>
            </w:pPr>
            <w:r>
              <w:rPr/>
              <w:t>$</w:t>
            </w:r>
          </w:p>
        </w:tc>
        <w:tc>
          <w:tcPr>
            <w:tcW w:w="1958" w:type="dxa"/>
            <w:tcBorders/>
            <w:shd w:fill="auto" w:val="clear"/>
            <w:vAlign w:val="center"/>
          </w:tcPr>
          <w:p>
            <w:pPr>
              <w:pStyle w:val="TableContents"/>
              <w:spacing w:before="0" w:after="283"/>
              <w:jc w:val="right"/>
              <w:rPr/>
            </w:pPr>
            <w:r>
              <w:rPr/>
              <w:t>70,000</w:t>
            </w:r>
          </w:p>
        </w:tc>
        <w:tc>
          <w:tcPr>
            <w:tcW w:w="75" w:type="dxa"/>
            <w:tcBorders/>
            <w:shd w:fill="auto" w:val="clear"/>
            <w:vAlign w:val="center"/>
          </w:tcPr>
          <w:p>
            <w:pPr>
              <w:pStyle w:val="TableContents"/>
              <w:spacing w:before="0" w:after="283"/>
              <w:rPr/>
            </w:pPr>
            <w:r>
              <w:rPr/>
              <w:t> </w:t>
            </w:r>
          </w:p>
        </w:tc>
      </w:tr>
      <w:tr>
        <w:trPr/>
        <w:tc>
          <w:tcPr>
            <w:tcW w:w="402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Chair of Audit Committee</w:t>
            </w:r>
          </w:p>
        </w:tc>
        <w:tc>
          <w:tcPr>
            <w:tcW w:w="120" w:type="dxa"/>
            <w:tcBorders/>
            <w:shd w:fill="CCEEFF" w:val="clear"/>
            <w:vAlign w:val="center"/>
          </w:tcPr>
          <w:p>
            <w:pPr>
              <w:pStyle w:val="TableContents"/>
              <w:spacing w:before="0" w:after="283"/>
              <w:rPr/>
            </w:pPr>
            <w:r>
              <w:rPr/>
              <w:t>  </w:t>
            </w:r>
          </w:p>
        </w:tc>
        <w:tc>
          <w:tcPr>
            <w:tcW w:w="402" w:type="dxa"/>
            <w:tcBorders/>
            <w:shd w:fill="CCEEFF" w:val="clear"/>
            <w:vAlign w:val="center"/>
          </w:tcPr>
          <w:p>
            <w:pPr>
              <w:pStyle w:val="TableContents"/>
              <w:spacing w:before="0" w:after="283"/>
              <w:rPr/>
            </w:pPr>
            <w:r>
              <w:rPr/>
              <w:t>$</w:t>
            </w:r>
          </w:p>
        </w:tc>
        <w:tc>
          <w:tcPr>
            <w:tcW w:w="1958" w:type="dxa"/>
            <w:tcBorders/>
            <w:shd w:fill="CCEEFF" w:val="clear"/>
            <w:vAlign w:val="center"/>
          </w:tcPr>
          <w:p>
            <w:pPr>
              <w:pStyle w:val="TableContents"/>
              <w:spacing w:before="0" w:after="283"/>
              <w:jc w:val="right"/>
              <w:rPr/>
            </w:pPr>
            <w:r>
              <w:rPr/>
              <w:t>75,000</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rPr/>
      </w:pPr>
      <w:r>
        <w:rPr/>
      </w:r>
    </w:p>
    <w:p>
      <w:pPr>
        <w:pStyle w:val="Heading5"/>
        <w:rPr/>
      </w:pPr>
      <w:hyperlink w:anchor="toc">
        <w:r>
          <w:rPr>
            <w:rStyle w:val="InternetLink"/>
          </w:rPr>
          <w:t>Table of Contents</w:t>
        </w:r>
      </w:hyperlink>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z w:val="20"/>
        </w:rPr>
      </w:pPr>
      <w:r>
        <w:rPr>
          <w:rFonts w:ascii="Times New Roman" w:hAnsi="Times New Roman"/>
          <w:b/>
          <w:sz w:val="20"/>
        </w:rPr>
        <w:t xml:space="preserve">PAY VERSUS PERFORMANCE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As required by Section 953(a) of the Dodd-Frank Wall Street Reform and Consumer Protection Act, and Item 402(v) of Regulation </w:t>
      </w:r>
    </w:p>
    <w:p>
      <w:pPr>
        <w:pStyle w:val="TextBody"/>
        <w:spacing w:before="240" w:after="0"/>
        <w:jc w:val="left"/>
        <w:rPr>
          <w:rFonts w:ascii="Times New Roman" w:hAnsi="Times New Roman"/>
          <w:spacing w:val="0"/>
          <w:sz w:val="20"/>
          <w:highlight w:val="white"/>
        </w:rPr>
      </w:pPr>
      <w:r>
        <w:rPr>
          <w:rFonts w:ascii="Times New Roman" w:hAnsi="Times New Roman"/>
          <w:spacing w:val="0"/>
          <w:sz w:val="20"/>
          <w:highlight w:val="white"/>
        </w:rPr>
        <w:t>S-K,</w:t>
      </w:r>
    </w:p>
    <w:p>
      <w:pPr>
        <w:pStyle w:val="TextBody"/>
        <w:spacing w:before="240" w:after="0"/>
        <w:jc w:val="left"/>
        <w:rPr>
          <w:rFonts w:ascii="Times New Roman" w:hAnsi="Times New Roman"/>
          <w:sz w:val="20"/>
          <w:highlight w:val="white"/>
        </w:rPr>
      </w:pPr>
      <w:r>
        <w:rPr>
          <w:rFonts w:ascii="Times New Roman" w:hAnsi="Times New Roman"/>
          <w:sz w:val="20"/>
          <w:highlight w:val="white"/>
        </w:rPr>
        <w:t xml:space="preserve">we are providing the following information about the relationship between executive compensation actually paid and certain financial performance of the Company. </w:t>
      </w:r>
    </w:p>
    <w:p>
      <w:pPr>
        <w:pStyle w:val="TextBody"/>
        <w:spacing w:before="0" w:after="0"/>
        <w:jc w:val="left"/>
        <w:rPr>
          <w:highlight w:val="white"/>
        </w:rPr>
      </w:pPr>
      <w:r>
        <w:rPr>
          <w:highlight w:val="white"/>
        </w:rPr>
        <w:t> </w:t>
      </w:r>
    </w:p>
    <w:tbl>
      <w:tblPr>
        <w:tblW w:w="12790" w:type="dxa"/>
        <w:jc w:val="left"/>
        <w:tblInd w:w="0" w:type="dxa"/>
        <w:tblCellMar>
          <w:top w:w="0" w:type="dxa"/>
          <w:left w:w="0" w:type="dxa"/>
          <w:bottom w:w="0" w:type="dxa"/>
          <w:right w:w="0" w:type="dxa"/>
        </w:tblCellMar>
      </w:tblPr>
      <w:tblGrid>
        <w:gridCol w:w="455"/>
        <w:gridCol w:w="120"/>
        <w:gridCol w:w="186"/>
        <w:gridCol w:w="1304"/>
        <w:gridCol w:w="60"/>
        <w:gridCol w:w="120"/>
        <w:gridCol w:w="186"/>
        <w:gridCol w:w="1304"/>
        <w:gridCol w:w="60"/>
        <w:gridCol w:w="120"/>
        <w:gridCol w:w="186"/>
        <w:gridCol w:w="1304"/>
        <w:gridCol w:w="60"/>
        <w:gridCol w:w="120"/>
        <w:gridCol w:w="186"/>
        <w:gridCol w:w="1304"/>
        <w:gridCol w:w="60"/>
        <w:gridCol w:w="120"/>
        <w:gridCol w:w="208"/>
        <w:gridCol w:w="1010"/>
        <w:gridCol w:w="89"/>
        <w:gridCol w:w="178"/>
        <w:gridCol w:w="208"/>
        <w:gridCol w:w="1012"/>
        <w:gridCol w:w="60"/>
        <w:gridCol w:w="120"/>
        <w:gridCol w:w="157"/>
        <w:gridCol w:w="898"/>
        <w:gridCol w:w="60"/>
        <w:gridCol w:w="120"/>
        <w:gridCol w:w="199"/>
        <w:gridCol w:w="1141"/>
        <w:gridCol w:w="75"/>
      </w:tblGrid>
      <w:tr>
        <w:trPr/>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05" w:type="dxa"/>
            <w:gridSpan w:val="6"/>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Value of Initial Fixed $100</w:t>
            </w:r>
          </w:p>
          <w:p>
            <w:pPr>
              <w:pStyle w:val="TableContents"/>
              <w:spacing w:before="0" w:after="0"/>
              <w:jc w:val="center"/>
              <w:rPr/>
            </w:pPr>
            <w:r>
              <w:rPr/>
            </w:r>
          </w:p>
          <w:p>
            <w:pPr>
              <w:pStyle w:val="TableContents"/>
              <w:spacing w:before="0" w:after="0"/>
              <w:jc w:val="center"/>
              <w:rPr>
                <w:b/>
                <w:spacing w:val="0"/>
              </w:rPr>
            </w:pPr>
            <w:r>
              <w:rPr>
                <w:b/>
                <w:spacing w:val="0"/>
              </w:rPr>
              <w:t>Investment Based On:</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Summary</w:t>
            </w:r>
          </w:p>
          <w:p>
            <w:pPr>
              <w:pStyle w:val="TableContents"/>
              <w:spacing w:before="0" w:after="0"/>
              <w:jc w:val="center"/>
              <w:rPr/>
            </w:pPr>
            <w:r>
              <w:rPr/>
            </w:r>
          </w:p>
          <w:p>
            <w:pPr>
              <w:pStyle w:val="TableContents"/>
              <w:spacing w:before="0" w:after="0"/>
              <w:jc w:val="center"/>
              <w:rPr>
                <w:b/>
                <w:spacing w:val="0"/>
              </w:rPr>
            </w:pPr>
            <w:r>
              <w:rPr>
                <w:b/>
                <w:spacing w:val="0"/>
              </w:rPr>
              <w:t>Compensation</w:t>
            </w:r>
          </w:p>
          <w:p>
            <w:pPr>
              <w:pStyle w:val="TableContents"/>
              <w:spacing w:before="0" w:after="0"/>
              <w:jc w:val="center"/>
              <w:rPr/>
            </w:pPr>
            <w:r>
              <w:rPr/>
            </w:r>
          </w:p>
          <w:p>
            <w:pPr>
              <w:pStyle w:val="TableContents"/>
              <w:spacing w:before="0" w:after="0"/>
              <w:jc w:val="center"/>
              <w:rPr>
                <w:b/>
                <w:spacing w:val="0"/>
              </w:rPr>
            </w:pPr>
            <w:r>
              <w:rPr>
                <w:b/>
                <w:spacing w:val="0"/>
              </w:rPr>
              <w:t>Table Total</w:t>
            </w:r>
          </w:p>
          <w:p>
            <w:pPr>
              <w:pStyle w:val="TableContents"/>
              <w:spacing w:before="0" w:after="0"/>
              <w:jc w:val="center"/>
              <w:rPr/>
            </w:pPr>
            <w:r>
              <w:rPr/>
            </w:r>
          </w:p>
          <w:p>
            <w:pPr>
              <w:pStyle w:val="TableContents"/>
              <w:spacing w:before="0" w:after="0"/>
              <w:jc w:val="center"/>
              <w:rPr>
                <w:b/>
                <w:spacing w:val="0"/>
              </w:rPr>
            </w:pPr>
            <w:r>
              <w:rPr>
                <w:b/>
                <w:spacing w:val="0"/>
              </w:rPr>
              <w:t>Compensation</w:t>
            </w:r>
          </w:p>
          <w:p>
            <w:pPr>
              <w:pStyle w:val="TableContents"/>
              <w:spacing w:before="0" w:after="0"/>
              <w:jc w:val="center"/>
              <w:rPr/>
            </w:pPr>
            <w:r>
              <w:rPr/>
            </w:r>
          </w:p>
          <w:p>
            <w:pPr>
              <w:pStyle w:val="TableContents"/>
              <w:spacing w:before="0" w:after="0"/>
              <w:jc w:val="center"/>
              <w:rPr>
                <w:b/>
                <w:spacing w:val="0"/>
              </w:rPr>
            </w:pPr>
            <w:r>
              <w:rPr>
                <w:b/>
                <w:spacing w:val="0"/>
              </w:rPr>
              <w:t>for CEO</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Compensation</w:t>
            </w:r>
          </w:p>
          <w:p>
            <w:pPr>
              <w:pStyle w:val="TableContents"/>
              <w:spacing w:before="0" w:after="0"/>
              <w:jc w:val="center"/>
              <w:rPr/>
            </w:pPr>
            <w:r>
              <w:rPr/>
            </w:r>
          </w:p>
          <w:p>
            <w:pPr>
              <w:pStyle w:val="TableContents"/>
              <w:spacing w:before="0" w:after="0"/>
              <w:jc w:val="center"/>
              <w:rPr>
                <w:b/>
                <w:spacing w:val="0"/>
              </w:rPr>
            </w:pPr>
            <w:r>
              <w:rPr>
                <w:b/>
                <w:spacing w:val="0"/>
              </w:rPr>
              <w:t>Actually Paid</w:t>
            </w:r>
          </w:p>
          <w:p>
            <w:pPr>
              <w:pStyle w:val="TableContents"/>
              <w:spacing w:before="0" w:after="0"/>
              <w:jc w:val="center"/>
              <w:rPr/>
            </w:pPr>
            <w:r>
              <w:rPr/>
            </w:r>
          </w:p>
          <w:p>
            <w:pPr>
              <w:pStyle w:val="TableContents"/>
              <w:spacing w:before="0" w:after="0"/>
              <w:jc w:val="center"/>
              <w:rPr>
                <w:b/>
                <w:spacing w:val="0"/>
              </w:rPr>
            </w:pPr>
            <w:r>
              <w:rPr>
                <w:b/>
                <w:spacing w:val="0"/>
              </w:rPr>
              <w:t>to CEO</w:t>
            </w:r>
          </w:p>
          <w:p>
            <w:pPr>
              <w:pStyle w:val="TableContents"/>
              <w:spacing w:before="0" w:after="0"/>
              <w:jc w:val="center"/>
              <w:rPr>
                <w:b/>
                <w:spacing w:val="0"/>
                <w:sz w:val="9"/>
              </w:rPr>
            </w:pPr>
            <w:r>
              <w:rPr>
                <w:b/>
                <w:spacing w:val="0"/>
                <w:sz w:val="9"/>
              </w:rPr>
              <w:t>(1)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w:t>
            </w:r>
          </w:p>
          <w:p>
            <w:pPr>
              <w:pStyle w:val="TableContents"/>
              <w:spacing w:before="0" w:after="0"/>
              <w:jc w:val="center"/>
              <w:rPr/>
            </w:pPr>
            <w:r>
              <w:rPr/>
            </w:r>
          </w:p>
          <w:p>
            <w:pPr>
              <w:pStyle w:val="TableContents"/>
              <w:spacing w:before="0" w:after="0"/>
              <w:jc w:val="center"/>
              <w:rPr>
                <w:b/>
                <w:spacing w:val="0"/>
              </w:rPr>
            </w:pPr>
            <w:r>
              <w:rPr>
                <w:b/>
                <w:spacing w:val="0"/>
              </w:rPr>
              <w:t>Summary</w:t>
            </w:r>
          </w:p>
          <w:p>
            <w:pPr>
              <w:pStyle w:val="TableContents"/>
              <w:spacing w:before="0" w:after="0"/>
              <w:jc w:val="center"/>
              <w:rPr/>
            </w:pPr>
            <w:r>
              <w:rPr/>
            </w:r>
          </w:p>
          <w:p>
            <w:pPr>
              <w:pStyle w:val="TableContents"/>
              <w:spacing w:before="0" w:after="0"/>
              <w:jc w:val="center"/>
              <w:rPr>
                <w:b/>
                <w:spacing w:val="0"/>
              </w:rPr>
            </w:pPr>
            <w:r>
              <w:rPr>
                <w:b/>
                <w:spacing w:val="0"/>
              </w:rPr>
              <w:t>Compensation</w:t>
            </w:r>
          </w:p>
          <w:p>
            <w:pPr>
              <w:pStyle w:val="TableContents"/>
              <w:spacing w:before="0" w:after="0"/>
              <w:jc w:val="center"/>
              <w:rPr/>
            </w:pPr>
            <w:r>
              <w:rPr/>
            </w:r>
          </w:p>
          <w:p>
            <w:pPr>
              <w:pStyle w:val="TableContents"/>
              <w:spacing w:before="0" w:after="0"/>
              <w:jc w:val="center"/>
              <w:rPr>
                <w:b/>
                <w:spacing w:val="0"/>
              </w:rPr>
            </w:pPr>
            <w:r>
              <w:rPr>
                <w:b/>
                <w:spacing w:val="0"/>
              </w:rPr>
              <w:t>Table Total</w:t>
            </w:r>
          </w:p>
          <w:p>
            <w:pPr>
              <w:pStyle w:val="TableContents"/>
              <w:spacing w:before="0" w:after="0"/>
              <w:jc w:val="center"/>
              <w:rPr/>
            </w:pPr>
            <w:r>
              <w:rPr/>
            </w:r>
          </w:p>
          <w:p>
            <w:pPr>
              <w:pStyle w:val="TableContents"/>
              <w:spacing w:before="0" w:after="0"/>
              <w:jc w:val="center"/>
              <w:rPr>
                <w:b/>
                <w:spacing w:val="0"/>
              </w:rPr>
            </w:pPr>
            <w:r>
              <w:rPr>
                <w:b/>
                <w:spacing w:val="0"/>
              </w:rPr>
              <w:t>Compensation</w:t>
            </w:r>
          </w:p>
          <w:p>
            <w:pPr>
              <w:pStyle w:val="TableContents"/>
              <w:spacing w:before="0" w:after="0"/>
              <w:jc w:val="center"/>
              <w:rPr/>
            </w:pPr>
            <w:r>
              <w:rPr/>
            </w:r>
          </w:p>
          <w:p>
            <w:pPr>
              <w:pStyle w:val="TableContents"/>
              <w:spacing w:before="0" w:after="0"/>
              <w:jc w:val="center"/>
              <w:rPr>
                <w:b/>
                <w:spacing w:val="0"/>
              </w:rPr>
            </w:pPr>
            <w:r>
              <w:rPr>
                <w:b/>
                <w:spacing w:val="0"/>
              </w:rPr>
              <w:t>for Other</w:t>
            </w:r>
          </w:p>
          <w:p>
            <w:pPr>
              <w:pStyle w:val="TableContents"/>
              <w:spacing w:before="0" w:after="0"/>
              <w:jc w:val="center"/>
              <w:rPr/>
            </w:pPr>
            <w:r>
              <w:rPr/>
            </w:r>
          </w:p>
          <w:p>
            <w:pPr>
              <w:pStyle w:val="TableContents"/>
              <w:spacing w:before="0" w:after="0"/>
              <w:jc w:val="center"/>
              <w:rPr>
                <w:b/>
                <w:spacing w:val="0"/>
              </w:rPr>
            </w:pPr>
            <w:r>
              <w:rPr>
                <w:b/>
                <w:spacing w:val="0"/>
              </w:rPr>
              <w:t>NEOs</w:t>
            </w:r>
          </w:p>
          <w:p>
            <w:pPr>
              <w:pStyle w:val="TableContents"/>
              <w:spacing w:before="0" w:after="0"/>
              <w:jc w:val="center"/>
              <w:rPr>
                <w:b/>
                <w:spacing w:val="0"/>
                <w:sz w:val="9"/>
              </w:rPr>
            </w:pPr>
            <w:r>
              <w:rPr>
                <w:b/>
                <w:spacing w:val="0"/>
                <w:sz w:val="9"/>
              </w:rPr>
              <w:t>(2)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9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w:t>
            </w:r>
          </w:p>
          <w:p>
            <w:pPr>
              <w:pStyle w:val="TableContents"/>
              <w:spacing w:before="0" w:after="0"/>
              <w:jc w:val="center"/>
              <w:rPr/>
            </w:pPr>
            <w:r>
              <w:rPr/>
            </w:r>
          </w:p>
          <w:p>
            <w:pPr>
              <w:pStyle w:val="TableContents"/>
              <w:spacing w:before="0" w:after="0"/>
              <w:jc w:val="center"/>
              <w:rPr>
                <w:b/>
                <w:spacing w:val="0"/>
              </w:rPr>
            </w:pPr>
            <w:r>
              <w:rPr>
                <w:b/>
                <w:spacing w:val="0"/>
              </w:rPr>
              <w:t>Compensation</w:t>
            </w:r>
          </w:p>
          <w:p>
            <w:pPr>
              <w:pStyle w:val="TableContents"/>
              <w:spacing w:before="0" w:after="0"/>
              <w:jc w:val="center"/>
              <w:rPr/>
            </w:pPr>
            <w:r>
              <w:rPr/>
            </w:r>
          </w:p>
          <w:p>
            <w:pPr>
              <w:pStyle w:val="TableContents"/>
              <w:spacing w:before="0" w:after="0"/>
              <w:jc w:val="center"/>
              <w:rPr>
                <w:b/>
                <w:spacing w:val="0"/>
              </w:rPr>
            </w:pPr>
            <w:r>
              <w:rPr>
                <w:b/>
                <w:spacing w:val="0"/>
              </w:rPr>
              <w:t>Actually Paid</w:t>
            </w:r>
          </w:p>
          <w:p>
            <w:pPr>
              <w:pStyle w:val="TableContents"/>
              <w:spacing w:before="0" w:after="0"/>
              <w:jc w:val="center"/>
              <w:rPr/>
            </w:pPr>
            <w:r>
              <w:rPr/>
            </w:r>
          </w:p>
          <w:p>
            <w:pPr>
              <w:pStyle w:val="TableContents"/>
              <w:spacing w:before="0" w:after="0"/>
              <w:jc w:val="center"/>
              <w:rPr>
                <w:b/>
                <w:spacing w:val="0"/>
              </w:rPr>
            </w:pPr>
            <w:r>
              <w:rPr>
                <w:b/>
                <w:spacing w:val="0"/>
              </w:rPr>
              <w:t>to Other</w:t>
            </w:r>
          </w:p>
          <w:p>
            <w:pPr>
              <w:pStyle w:val="TableContents"/>
              <w:spacing w:before="0" w:after="0"/>
              <w:jc w:val="center"/>
              <w:rPr/>
            </w:pPr>
            <w:r>
              <w:rPr/>
            </w:r>
          </w:p>
          <w:p>
            <w:pPr>
              <w:pStyle w:val="TableContents"/>
              <w:spacing w:before="0" w:after="0"/>
              <w:jc w:val="center"/>
              <w:rPr>
                <w:b/>
                <w:spacing w:val="0"/>
              </w:rPr>
            </w:pPr>
            <w:r>
              <w:rPr>
                <w:b/>
                <w:spacing w:val="0"/>
              </w:rPr>
              <w:t>NEOs</w:t>
            </w:r>
          </w:p>
          <w:p>
            <w:pPr>
              <w:pStyle w:val="TableContents"/>
              <w:spacing w:before="0" w:after="0"/>
              <w:jc w:val="center"/>
              <w:rPr>
                <w:b/>
                <w:spacing w:val="0"/>
                <w:sz w:val="9"/>
              </w:rPr>
            </w:pPr>
            <w:r>
              <w:rPr>
                <w:b/>
                <w:spacing w:val="0"/>
                <w:sz w:val="9"/>
              </w:rPr>
              <w:t>(3)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18"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Company</w:t>
            </w:r>
          </w:p>
          <w:p>
            <w:pPr>
              <w:pStyle w:val="TableContents"/>
              <w:spacing w:before="0" w:after="0"/>
              <w:jc w:val="center"/>
              <w:rPr/>
            </w:pPr>
            <w:r>
              <w:rPr/>
            </w:r>
          </w:p>
          <w:p>
            <w:pPr>
              <w:pStyle w:val="TableContents"/>
              <w:spacing w:before="0" w:after="0"/>
              <w:jc w:val="center"/>
              <w:rPr>
                <w:b/>
                <w:spacing w:val="0"/>
              </w:rPr>
            </w:pPr>
            <w:r>
              <w:rPr>
                <w:b/>
                <w:spacing w:val="0"/>
              </w:rPr>
              <w:t>Cumulative</w:t>
            </w:r>
          </w:p>
          <w:p>
            <w:pPr>
              <w:pStyle w:val="TableContents"/>
              <w:spacing w:before="0" w:after="0"/>
              <w:jc w:val="center"/>
              <w:rPr/>
            </w:pPr>
            <w:r>
              <w:rPr/>
            </w:r>
          </w:p>
          <w:p>
            <w:pPr>
              <w:pStyle w:val="TableContents"/>
              <w:spacing w:before="0" w:after="0"/>
              <w:jc w:val="center"/>
              <w:rPr>
                <w:b/>
                <w:spacing w:val="0"/>
              </w:rPr>
            </w:pPr>
            <w:r>
              <w:rPr>
                <w:b/>
                <w:spacing w:val="0"/>
              </w:rPr>
              <w:t>TSR</w:t>
            </w:r>
          </w:p>
          <w:p>
            <w:pPr>
              <w:pStyle w:val="TableContents"/>
              <w:spacing w:before="0" w:after="0"/>
              <w:jc w:val="center"/>
              <w:rPr>
                <w:b/>
                <w:spacing w:val="0"/>
                <w:sz w:val="9"/>
              </w:rPr>
            </w:pPr>
            <w:r>
              <w:rPr>
                <w:b/>
                <w:spacing w:val="0"/>
                <w:sz w:val="9"/>
              </w:rPr>
              <w:t>(4)</w:t>
            </w:r>
          </w:p>
        </w:tc>
        <w:tc>
          <w:tcPr>
            <w:tcW w:w="8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Peer Group</w:t>
            </w:r>
          </w:p>
          <w:p>
            <w:pPr>
              <w:pStyle w:val="TableContents"/>
              <w:spacing w:before="0" w:after="0"/>
              <w:jc w:val="center"/>
              <w:rPr/>
            </w:pPr>
            <w:r>
              <w:rPr/>
            </w:r>
          </w:p>
          <w:p>
            <w:pPr>
              <w:pStyle w:val="TableContents"/>
              <w:spacing w:before="0" w:after="0"/>
              <w:jc w:val="center"/>
              <w:rPr>
                <w:b/>
                <w:spacing w:val="0"/>
              </w:rPr>
            </w:pPr>
            <w:r>
              <w:rPr>
                <w:b/>
                <w:spacing w:val="0"/>
              </w:rPr>
              <w:t>Cumulative</w:t>
            </w:r>
          </w:p>
          <w:p>
            <w:pPr>
              <w:pStyle w:val="TableContents"/>
              <w:spacing w:before="0" w:after="0"/>
              <w:jc w:val="center"/>
              <w:rPr/>
            </w:pPr>
            <w:r>
              <w:rPr/>
            </w:r>
          </w:p>
          <w:p>
            <w:pPr>
              <w:pStyle w:val="TableContents"/>
              <w:spacing w:before="0" w:after="0"/>
              <w:jc w:val="center"/>
              <w:rPr>
                <w:b/>
                <w:spacing w:val="0"/>
              </w:rPr>
            </w:pPr>
            <w:r>
              <w:rPr>
                <w:b/>
                <w:spacing w:val="0"/>
              </w:rPr>
              <w:t>TSR</w:t>
            </w:r>
          </w:p>
          <w:p>
            <w:pPr>
              <w:pStyle w:val="TableContents"/>
              <w:spacing w:before="0" w:after="0"/>
              <w:jc w:val="center"/>
              <w:rPr>
                <w:b/>
                <w:spacing w:val="0"/>
                <w:sz w:val="9"/>
              </w:rPr>
            </w:pPr>
            <w:r>
              <w:rPr>
                <w:b/>
                <w:spacing w:val="0"/>
                <w:sz w:val="9"/>
              </w:rPr>
              <w:t>(4)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5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Net</w:t>
            </w:r>
          </w:p>
          <w:p>
            <w:pPr>
              <w:pStyle w:val="TableContents"/>
              <w:spacing w:before="0" w:after="0"/>
              <w:jc w:val="center"/>
              <w:rPr/>
            </w:pPr>
            <w:r>
              <w:rPr/>
            </w:r>
          </w:p>
          <w:p>
            <w:pPr>
              <w:pStyle w:val="TableContents"/>
              <w:spacing w:before="0" w:after="0"/>
              <w:jc w:val="center"/>
              <w:rPr>
                <w:b/>
                <w:spacing w:val="0"/>
              </w:rPr>
            </w:pPr>
            <w:r>
              <w:rPr>
                <w:b/>
                <w:spacing w:val="0"/>
              </w:rPr>
              <w:t>Income</w:t>
            </w:r>
          </w:p>
          <w:p>
            <w:pPr>
              <w:pStyle w:val="TableContents"/>
              <w:spacing w:before="0" w:after="0"/>
              <w:jc w:val="center"/>
              <w:rPr/>
            </w:pPr>
            <w:r>
              <w:rPr/>
            </w:r>
          </w:p>
          <w:p>
            <w:pPr>
              <w:pStyle w:val="TableContents"/>
              <w:spacing w:before="0" w:after="0"/>
              <w:jc w:val="center"/>
              <w:rPr>
                <w:b/>
                <w:spacing w:val="0"/>
              </w:rPr>
            </w:pPr>
            <w:r>
              <w:rPr>
                <w:b/>
                <w:spacing w:val="0"/>
              </w:rPr>
              <w:t>($ millions)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Company-</w:t>
            </w:r>
          </w:p>
          <w:p>
            <w:pPr>
              <w:pStyle w:val="TableContents"/>
              <w:spacing w:before="0" w:after="0"/>
              <w:jc w:val="center"/>
              <w:rPr/>
            </w:pPr>
            <w:r>
              <w:rPr/>
            </w:r>
          </w:p>
          <w:p>
            <w:pPr>
              <w:pStyle w:val="TableContents"/>
              <w:spacing w:before="0" w:after="0"/>
              <w:jc w:val="center"/>
              <w:rPr>
                <w:b/>
                <w:spacing w:val="0"/>
              </w:rPr>
            </w:pPr>
            <w:r>
              <w:rPr>
                <w:b/>
                <w:spacing w:val="0"/>
              </w:rPr>
              <w:t>Selected</w:t>
            </w:r>
          </w:p>
          <w:p>
            <w:pPr>
              <w:pStyle w:val="TableContents"/>
              <w:spacing w:before="0" w:after="0"/>
              <w:jc w:val="center"/>
              <w:rPr/>
            </w:pPr>
            <w:r>
              <w:rPr/>
            </w:r>
          </w:p>
          <w:p>
            <w:pPr>
              <w:pStyle w:val="TableContents"/>
              <w:spacing w:before="0" w:after="0"/>
              <w:jc w:val="center"/>
              <w:rPr>
                <w:b/>
                <w:spacing w:val="0"/>
              </w:rPr>
            </w:pPr>
            <w:r>
              <w:rPr>
                <w:b/>
                <w:spacing w:val="0"/>
              </w:rPr>
              <w:t>Performance</w:t>
            </w:r>
          </w:p>
          <w:p>
            <w:pPr>
              <w:pStyle w:val="TableContents"/>
              <w:spacing w:before="0" w:after="0"/>
              <w:jc w:val="center"/>
              <w:rPr/>
            </w:pPr>
            <w:r>
              <w:rPr/>
            </w:r>
          </w:p>
          <w:p>
            <w:pPr>
              <w:pStyle w:val="TableContents"/>
              <w:spacing w:before="0" w:after="0"/>
              <w:jc w:val="center"/>
              <w:rPr>
                <w:b/>
                <w:spacing w:val="0"/>
              </w:rPr>
            </w:pPr>
            <w:r>
              <w:rPr>
                <w:b/>
                <w:spacing w:val="0"/>
              </w:rPr>
              <w:t>Measure -</w:t>
            </w:r>
          </w:p>
          <w:p>
            <w:pPr>
              <w:pStyle w:val="TableContents"/>
              <w:spacing w:before="0" w:after="0"/>
              <w:jc w:val="center"/>
              <w:rPr/>
            </w:pPr>
            <w:r>
              <w:rPr/>
            </w:r>
          </w:p>
          <w:p>
            <w:pPr>
              <w:pStyle w:val="TableContents"/>
              <w:spacing w:before="0" w:after="0"/>
              <w:jc w:val="center"/>
              <w:rPr>
                <w:b/>
                <w:spacing w:val="0"/>
              </w:rPr>
            </w:pPr>
            <w:r>
              <w:rPr>
                <w:b/>
                <w:spacing w:val="0"/>
              </w:rPr>
              <w:t>Adjusted</w:t>
            </w:r>
          </w:p>
          <w:p>
            <w:pPr>
              <w:pStyle w:val="TableContents"/>
              <w:spacing w:before="0" w:after="0"/>
              <w:jc w:val="center"/>
              <w:rPr/>
            </w:pPr>
            <w:r>
              <w:rPr/>
            </w:r>
          </w:p>
          <w:p>
            <w:pPr>
              <w:pStyle w:val="TableContents"/>
              <w:spacing w:before="0" w:after="0"/>
              <w:jc w:val="center"/>
              <w:rPr>
                <w:b/>
                <w:spacing w:val="0"/>
              </w:rPr>
            </w:pPr>
            <w:r>
              <w:rPr>
                <w:b/>
                <w:spacing w:val="0"/>
              </w:rPr>
              <w:t>EBITDA</w:t>
            </w:r>
          </w:p>
          <w:p>
            <w:pPr>
              <w:pStyle w:val="TableContents"/>
              <w:spacing w:before="0" w:after="0"/>
              <w:jc w:val="center"/>
              <w:rPr/>
            </w:pPr>
            <w:r>
              <w:rPr/>
            </w:r>
          </w:p>
          <w:p>
            <w:pPr>
              <w:pStyle w:val="TableContents"/>
              <w:spacing w:before="0" w:after="0"/>
              <w:jc w:val="center"/>
              <w:rPr>
                <w:b/>
                <w:spacing w:val="0"/>
              </w:rPr>
            </w:pPr>
            <w:r>
              <w:rPr>
                <w:b/>
                <w:spacing w:val="0"/>
              </w:rPr>
              <w:t>($ millions)</w:t>
            </w:r>
          </w:p>
          <w:p>
            <w:pPr>
              <w:pStyle w:val="TableContents"/>
              <w:spacing w:before="0" w:after="0"/>
              <w:jc w:val="center"/>
              <w:rPr>
                <w:b/>
                <w:spacing w:val="0"/>
                <w:sz w:val="9"/>
              </w:rPr>
            </w:pPr>
            <w:r>
              <w:rPr>
                <w:b/>
                <w:spacing w:val="0"/>
                <w:sz w:val="9"/>
              </w:rPr>
              <w:t>(5)</w:t>
            </w:r>
          </w:p>
        </w:tc>
        <w:tc>
          <w:tcPr>
            <w:tcW w:w="75" w:type="dxa"/>
            <w:tcBorders/>
            <w:shd w:fill="auto" w:val="clear"/>
            <w:vAlign w:val="center"/>
          </w:tcPr>
          <w:p>
            <w:pPr>
              <w:pStyle w:val="TableContents"/>
              <w:spacing w:before="0" w:after="283"/>
              <w:rPr/>
            </w:pPr>
            <w:r>
              <w:rPr/>
              <w:t> </w:t>
            </w:r>
          </w:p>
        </w:tc>
      </w:tr>
      <w:tr>
        <w:trPr/>
        <w:tc>
          <w:tcPr>
            <w:tcW w:w="4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w:t>
            </w:r>
          </w:p>
        </w:tc>
        <w:tc>
          <w:tcPr>
            <w:tcW w:w="1304" w:type="dxa"/>
            <w:tcBorders/>
            <w:shd w:fill="CCEEFF" w:val="clear"/>
            <w:vAlign w:val="center"/>
          </w:tcPr>
          <w:p>
            <w:pPr>
              <w:pStyle w:val="TableContents"/>
              <w:spacing w:before="0" w:after="283"/>
              <w:jc w:val="right"/>
              <w:rPr/>
            </w:pPr>
            <w:r>
              <w:rPr/>
              <w:t>6,079,394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w:t>
            </w:r>
          </w:p>
        </w:tc>
        <w:tc>
          <w:tcPr>
            <w:tcW w:w="1304" w:type="dxa"/>
            <w:tcBorders/>
            <w:shd w:fill="CCEEFF" w:val="clear"/>
            <w:vAlign w:val="center"/>
          </w:tcPr>
          <w:p>
            <w:pPr>
              <w:pStyle w:val="TableContents"/>
              <w:spacing w:before="0" w:after="283"/>
              <w:jc w:val="right"/>
              <w:rPr/>
            </w:pPr>
            <w:r>
              <w:rPr/>
              <w:t>5,835,634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w:t>
            </w:r>
          </w:p>
        </w:tc>
        <w:tc>
          <w:tcPr>
            <w:tcW w:w="1304" w:type="dxa"/>
            <w:tcBorders/>
            <w:shd w:fill="CCEEFF" w:val="clear"/>
            <w:vAlign w:val="center"/>
          </w:tcPr>
          <w:p>
            <w:pPr>
              <w:pStyle w:val="TableContents"/>
              <w:spacing w:before="0" w:after="283"/>
              <w:jc w:val="right"/>
              <w:rPr/>
            </w:pPr>
            <w:r>
              <w:rPr/>
              <w:t>2,987,339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w:t>
            </w:r>
          </w:p>
        </w:tc>
        <w:tc>
          <w:tcPr>
            <w:tcW w:w="1304" w:type="dxa"/>
            <w:tcBorders/>
            <w:shd w:fill="CCEEFF" w:val="clear"/>
            <w:vAlign w:val="center"/>
          </w:tcPr>
          <w:p>
            <w:pPr>
              <w:pStyle w:val="TableContents"/>
              <w:spacing w:before="0" w:after="283"/>
              <w:jc w:val="right"/>
              <w:rPr/>
            </w:pPr>
            <w:r>
              <w:rPr/>
              <w:t>2,865,459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120.86</w:t>
            </w:r>
          </w:p>
        </w:tc>
        <w:tc>
          <w:tcPr>
            <w:tcW w:w="89"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w:t>
            </w:r>
          </w:p>
        </w:tc>
        <w:tc>
          <w:tcPr>
            <w:tcW w:w="1012" w:type="dxa"/>
            <w:tcBorders/>
            <w:shd w:fill="CCEEFF" w:val="clear"/>
            <w:vAlign w:val="center"/>
          </w:tcPr>
          <w:p>
            <w:pPr>
              <w:pStyle w:val="TableContents"/>
              <w:spacing w:before="0" w:after="283"/>
              <w:jc w:val="right"/>
              <w:rPr/>
            </w:pPr>
            <w:r>
              <w:rPr/>
              <w:t>36.71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898" w:type="dxa"/>
            <w:tcBorders/>
            <w:shd w:fill="CCEEFF" w:val="clear"/>
            <w:vAlign w:val="center"/>
          </w:tcPr>
          <w:p>
            <w:pPr>
              <w:pStyle w:val="TableContents"/>
              <w:spacing w:before="0" w:after="283"/>
              <w:jc w:val="right"/>
              <w:rPr/>
            </w:pPr>
            <w:r>
              <w:rPr/>
              <w:t>438,647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w:t>
            </w:r>
          </w:p>
        </w:tc>
        <w:tc>
          <w:tcPr>
            <w:tcW w:w="1141" w:type="dxa"/>
            <w:tcBorders/>
            <w:shd w:fill="CCEEFF" w:val="clear"/>
            <w:vAlign w:val="center"/>
          </w:tcPr>
          <w:p>
            <w:pPr>
              <w:pStyle w:val="TableContents"/>
              <w:spacing w:before="0" w:after="283"/>
              <w:jc w:val="right"/>
              <w:rPr/>
            </w:pPr>
            <w:r>
              <w:rPr/>
              <w:t>938,079</w:t>
            </w:r>
          </w:p>
        </w:tc>
        <w:tc>
          <w:tcPr>
            <w:tcW w:w="75" w:type="dxa"/>
            <w:tcBorders/>
            <w:shd w:fill="CCEEFF"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w:t>
            </w:r>
          </w:p>
        </w:tc>
        <w:tc>
          <w:tcPr>
            <w:tcW w:w="1304" w:type="dxa"/>
            <w:tcBorders/>
            <w:shd w:fill="auto" w:val="clear"/>
            <w:vAlign w:val="center"/>
          </w:tcPr>
          <w:p>
            <w:pPr>
              <w:pStyle w:val="TableContents"/>
              <w:spacing w:before="0" w:after="283"/>
              <w:jc w:val="right"/>
              <w:rPr/>
            </w:pPr>
            <w:r>
              <w:rPr/>
              <w:t>5,934,758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w:t>
            </w:r>
          </w:p>
        </w:tc>
        <w:tc>
          <w:tcPr>
            <w:tcW w:w="1304" w:type="dxa"/>
            <w:tcBorders/>
            <w:shd w:fill="auto" w:val="clear"/>
            <w:vAlign w:val="center"/>
          </w:tcPr>
          <w:p>
            <w:pPr>
              <w:pStyle w:val="TableContents"/>
              <w:spacing w:before="0" w:after="283"/>
              <w:jc w:val="right"/>
              <w:rPr/>
            </w:pPr>
            <w:r>
              <w:rPr/>
              <w:t>3,575,038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w:t>
            </w:r>
          </w:p>
        </w:tc>
        <w:tc>
          <w:tcPr>
            <w:tcW w:w="1304" w:type="dxa"/>
            <w:tcBorders/>
            <w:shd w:fill="auto" w:val="clear"/>
            <w:vAlign w:val="center"/>
          </w:tcPr>
          <w:p>
            <w:pPr>
              <w:pStyle w:val="TableContents"/>
              <w:spacing w:before="0" w:after="283"/>
              <w:jc w:val="right"/>
              <w:rPr/>
            </w:pPr>
            <w:r>
              <w:rPr/>
              <w:t>3,014,134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6" w:type="dxa"/>
            <w:tcBorders/>
            <w:shd w:fill="auto" w:val="clear"/>
            <w:vAlign w:val="center"/>
          </w:tcPr>
          <w:p>
            <w:pPr>
              <w:pStyle w:val="TableContents"/>
              <w:spacing w:before="0" w:after="283"/>
              <w:rPr/>
            </w:pPr>
            <w:r>
              <w:rPr/>
              <w:t>$</w:t>
            </w:r>
          </w:p>
        </w:tc>
        <w:tc>
          <w:tcPr>
            <w:tcW w:w="1304" w:type="dxa"/>
            <w:tcBorders/>
            <w:shd w:fill="auto" w:val="clear"/>
            <w:vAlign w:val="center"/>
          </w:tcPr>
          <w:p>
            <w:pPr>
              <w:pStyle w:val="TableContents"/>
              <w:spacing w:before="0" w:after="283"/>
              <w:jc w:val="right"/>
              <w:rPr/>
            </w:pPr>
            <w:r>
              <w:rPr/>
              <w:t>2,894,741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w:t>
            </w:r>
          </w:p>
        </w:tc>
        <w:tc>
          <w:tcPr>
            <w:tcW w:w="1010" w:type="dxa"/>
            <w:tcBorders/>
            <w:shd w:fill="auto" w:val="clear"/>
            <w:vAlign w:val="center"/>
          </w:tcPr>
          <w:p>
            <w:pPr>
              <w:pStyle w:val="TableContents"/>
              <w:spacing w:before="0" w:after="283"/>
              <w:jc w:val="right"/>
              <w:rPr/>
            </w:pPr>
            <w:r>
              <w:rPr/>
              <w:t>146.81</w:t>
            </w:r>
          </w:p>
        </w:tc>
        <w:tc>
          <w:tcPr>
            <w:tcW w:w="89" w:type="dxa"/>
            <w:tcBorders/>
            <w:shd w:fill="auto" w:val="clear"/>
            <w:vAlign w:val="center"/>
          </w:tcPr>
          <w:p>
            <w:pPr>
              <w:pStyle w:val="TableContents"/>
              <w:spacing w:before="0" w:after="283"/>
              <w:rPr/>
            </w:pPr>
            <w:r>
              <w:rPr/>
              <w:t> </w:t>
            </w:r>
          </w:p>
        </w:tc>
        <w:tc>
          <w:tcPr>
            <w:tcW w:w="178" w:type="dxa"/>
            <w:tcBorders/>
            <w:shd w:fill="auto" w:val="clear"/>
            <w:vAlign w:val="center"/>
          </w:tcPr>
          <w:p>
            <w:pPr>
              <w:pStyle w:val="TableContents"/>
              <w:spacing w:before="0" w:after="283"/>
              <w:rPr/>
            </w:pPr>
            <w:r>
              <w:rPr/>
              <w:t>  </w:t>
            </w:r>
          </w:p>
        </w:tc>
        <w:tc>
          <w:tcPr>
            <w:tcW w:w="208" w:type="dxa"/>
            <w:tcBorders/>
            <w:shd w:fill="auto" w:val="clear"/>
            <w:vAlign w:val="center"/>
          </w:tcPr>
          <w:p>
            <w:pPr>
              <w:pStyle w:val="TableContents"/>
              <w:spacing w:before="0" w:after="283"/>
              <w:rPr/>
            </w:pPr>
            <w:r>
              <w:rPr/>
              <w:t>$</w:t>
            </w:r>
          </w:p>
        </w:tc>
        <w:tc>
          <w:tcPr>
            <w:tcW w:w="1012" w:type="dxa"/>
            <w:tcBorders/>
            <w:shd w:fill="auto" w:val="clear"/>
            <w:vAlign w:val="center"/>
          </w:tcPr>
          <w:p>
            <w:pPr>
              <w:pStyle w:val="TableContents"/>
              <w:spacing w:before="0" w:after="283"/>
              <w:jc w:val="right"/>
              <w:rPr/>
            </w:pPr>
            <w:r>
              <w:rPr/>
              <w:t>115.73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w:t>
            </w:r>
          </w:p>
        </w:tc>
        <w:tc>
          <w:tcPr>
            <w:tcW w:w="898" w:type="dxa"/>
            <w:tcBorders/>
            <w:shd w:fill="auto" w:val="clear"/>
            <w:vAlign w:val="center"/>
          </w:tcPr>
          <w:p>
            <w:pPr>
              <w:pStyle w:val="TableContents"/>
              <w:spacing w:before="0" w:after="283"/>
              <w:jc w:val="right"/>
              <w:rPr/>
            </w:pPr>
            <w:r>
              <w:rPr/>
              <w:t>388,090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9" w:type="dxa"/>
            <w:tcBorders/>
            <w:shd w:fill="auto" w:val="clear"/>
            <w:vAlign w:val="center"/>
          </w:tcPr>
          <w:p>
            <w:pPr>
              <w:pStyle w:val="TableContents"/>
              <w:spacing w:before="0" w:after="283"/>
              <w:rPr/>
            </w:pPr>
            <w:r>
              <w:rPr/>
              <w:t>$</w:t>
            </w:r>
          </w:p>
        </w:tc>
        <w:tc>
          <w:tcPr>
            <w:tcW w:w="1141" w:type="dxa"/>
            <w:tcBorders/>
            <w:shd w:fill="auto" w:val="clear"/>
            <w:vAlign w:val="center"/>
          </w:tcPr>
          <w:p>
            <w:pPr>
              <w:pStyle w:val="TableContents"/>
              <w:spacing w:before="0" w:after="283"/>
              <w:jc w:val="right"/>
              <w:rPr/>
            </w:pPr>
            <w:r>
              <w:rPr/>
              <w:t>827,289</w:t>
            </w:r>
          </w:p>
        </w:tc>
        <w:tc>
          <w:tcPr>
            <w:tcW w:w="75" w:type="dxa"/>
            <w:tcBorders/>
            <w:shd w:fill="auto" w:val="clear"/>
            <w:vAlign w:val="center"/>
          </w:tcPr>
          <w:p>
            <w:pPr>
              <w:pStyle w:val="TableContents"/>
              <w:spacing w:before="0" w:after="283"/>
              <w:rPr/>
            </w:pPr>
            <w:r>
              <w:rPr/>
              <w:t> </w:t>
            </w:r>
          </w:p>
        </w:tc>
      </w:tr>
      <w:tr>
        <w:trPr/>
        <w:tc>
          <w:tcPr>
            <w:tcW w:w="4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2020</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w:t>
            </w:r>
          </w:p>
        </w:tc>
        <w:tc>
          <w:tcPr>
            <w:tcW w:w="1304" w:type="dxa"/>
            <w:tcBorders/>
            <w:shd w:fill="CCEEFF" w:val="clear"/>
            <w:vAlign w:val="center"/>
          </w:tcPr>
          <w:p>
            <w:pPr>
              <w:pStyle w:val="TableContents"/>
              <w:spacing w:before="0" w:after="283"/>
              <w:jc w:val="right"/>
              <w:rPr/>
            </w:pPr>
            <w:r>
              <w:rPr/>
              <w:t>3,912,660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w:t>
            </w:r>
          </w:p>
        </w:tc>
        <w:tc>
          <w:tcPr>
            <w:tcW w:w="1304" w:type="dxa"/>
            <w:tcBorders/>
            <w:shd w:fill="CCEEFF" w:val="clear"/>
            <w:vAlign w:val="center"/>
          </w:tcPr>
          <w:p>
            <w:pPr>
              <w:pStyle w:val="TableContents"/>
              <w:spacing w:before="0" w:after="283"/>
              <w:jc w:val="right"/>
              <w:rPr/>
            </w:pPr>
            <w:r>
              <w:rPr/>
              <w:t>4,845,020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w:t>
            </w:r>
          </w:p>
        </w:tc>
        <w:tc>
          <w:tcPr>
            <w:tcW w:w="1304" w:type="dxa"/>
            <w:tcBorders/>
            <w:shd w:fill="CCEEFF" w:val="clear"/>
            <w:vAlign w:val="center"/>
          </w:tcPr>
          <w:p>
            <w:pPr>
              <w:pStyle w:val="TableContents"/>
              <w:spacing w:before="0" w:after="283"/>
              <w:jc w:val="right"/>
              <w:rPr/>
            </w:pPr>
            <w:r>
              <w:rPr/>
              <w:t>2,385,147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6" w:type="dxa"/>
            <w:tcBorders/>
            <w:shd w:fill="CCEEFF" w:val="clear"/>
            <w:vAlign w:val="center"/>
          </w:tcPr>
          <w:p>
            <w:pPr>
              <w:pStyle w:val="TableContents"/>
              <w:spacing w:before="0" w:after="283"/>
              <w:rPr/>
            </w:pPr>
            <w:r>
              <w:rPr/>
              <w:t>$</w:t>
            </w:r>
          </w:p>
        </w:tc>
        <w:tc>
          <w:tcPr>
            <w:tcW w:w="1304" w:type="dxa"/>
            <w:tcBorders/>
            <w:shd w:fill="CCEEFF" w:val="clear"/>
            <w:vAlign w:val="center"/>
          </w:tcPr>
          <w:p>
            <w:pPr>
              <w:pStyle w:val="TableContents"/>
              <w:spacing w:before="0" w:after="283"/>
              <w:jc w:val="right"/>
              <w:rPr/>
            </w:pPr>
            <w:r>
              <w:rPr/>
              <w:t>2,220,007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w:t>
            </w:r>
          </w:p>
        </w:tc>
        <w:tc>
          <w:tcPr>
            <w:tcW w:w="1010" w:type="dxa"/>
            <w:tcBorders/>
            <w:shd w:fill="CCEEFF" w:val="clear"/>
            <w:vAlign w:val="center"/>
          </w:tcPr>
          <w:p>
            <w:pPr>
              <w:pStyle w:val="TableContents"/>
              <w:spacing w:before="0" w:after="283"/>
              <w:jc w:val="right"/>
              <w:rPr/>
            </w:pPr>
            <w:r>
              <w:rPr/>
              <w:t>97.39</w:t>
            </w:r>
          </w:p>
        </w:tc>
        <w:tc>
          <w:tcPr>
            <w:tcW w:w="89" w:type="dxa"/>
            <w:tcBorders/>
            <w:shd w:fill="CCEEFF" w:val="clear"/>
            <w:vAlign w:val="center"/>
          </w:tcPr>
          <w:p>
            <w:pPr>
              <w:pStyle w:val="TableContents"/>
              <w:spacing w:before="0" w:after="283"/>
              <w:rPr/>
            </w:pPr>
            <w:r>
              <w:rPr/>
              <w:t> </w:t>
            </w:r>
          </w:p>
        </w:tc>
        <w:tc>
          <w:tcPr>
            <w:tcW w:w="178" w:type="dxa"/>
            <w:tcBorders/>
            <w:shd w:fill="CCEEFF" w:val="clear"/>
            <w:vAlign w:val="center"/>
          </w:tcPr>
          <w:p>
            <w:pPr>
              <w:pStyle w:val="TableContents"/>
              <w:spacing w:before="0" w:after="283"/>
              <w:rPr/>
            </w:pPr>
            <w:r>
              <w:rPr/>
              <w:t>  </w:t>
            </w:r>
          </w:p>
        </w:tc>
        <w:tc>
          <w:tcPr>
            <w:tcW w:w="208" w:type="dxa"/>
            <w:tcBorders/>
            <w:shd w:fill="CCEEFF" w:val="clear"/>
            <w:vAlign w:val="center"/>
          </w:tcPr>
          <w:p>
            <w:pPr>
              <w:pStyle w:val="TableContents"/>
              <w:spacing w:before="0" w:after="283"/>
              <w:rPr/>
            </w:pPr>
            <w:r>
              <w:rPr/>
              <w:t>$</w:t>
            </w:r>
          </w:p>
        </w:tc>
        <w:tc>
          <w:tcPr>
            <w:tcW w:w="1012" w:type="dxa"/>
            <w:tcBorders/>
            <w:shd w:fill="CCEEFF" w:val="clear"/>
            <w:vAlign w:val="center"/>
          </w:tcPr>
          <w:p>
            <w:pPr>
              <w:pStyle w:val="TableContents"/>
              <w:spacing w:before="0" w:after="283"/>
              <w:jc w:val="right"/>
              <w:rPr/>
            </w:pPr>
            <w:r>
              <w:rPr/>
              <w:t>57.69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w:t>
            </w:r>
          </w:p>
        </w:tc>
        <w:tc>
          <w:tcPr>
            <w:tcW w:w="898" w:type="dxa"/>
            <w:tcBorders/>
            <w:shd w:fill="CCEEFF" w:val="clear"/>
            <w:vAlign w:val="center"/>
          </w:tcPr>
          <w:p>
            <w:pPr>
              <w:pStyle w:val="TableContents"/>
              <w:spacing w:before="0" w:after="283"/>
              <w:jc w:val="right"/>
              <w:rPr/>
            </w:pPr>
            <w:r>
              <w:rPr/>
              <w:t>243,386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99" w:type="dxa"/>
            <w:tcBorders/>
            <w:shd w:fill="CCEEFF" w:val="clear"/>
            <w:vAlign w:val="center"/>
          </w:tcPr>
          <w:p>
            <w:pPr>
              <w:pStyle w:val="TableContents"/>
              <w:spacing w:before="0" w:after="283"/>
              <w:rPr/>
            </w:pPr>
            <w:r>
              <w:rPr/>
              <w:t>$</w:t>
            </w:r>
          </w:p>
        </w:tc>
        <w:tc>
          <w:tcPr>
            <w:tcW w:w="1141" w:type="dxa"/>
            <w:tcBorders/>
            <w:shd w:fill="CCEEFF" w:val="clear"/>
            <w:vAlign w:val="center"/>
          </w:tcPr>
          <w:p>
            <w:pPr>
              <w:pStyle w:val="TableContents"/>
              <w:spacing w:before="0" w:after="283"/>
              <w:jc w:val="right"/>
              <w:rPr/>
            </w:pPr>
            <w:r>
              <w:rPr/>
              <w:t>671,536</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72"/>
        <w:gridCol w:w="9933"/>
      </w:tblGrid>
      <w:tr>
        <w:trPr/>
        <w:tc>
          <w:tcPr>
            <w:tcW w:w="272" w:type="dxa"/>
            <w:tcBorders/>
            <w:shd w:fill="auto" w:val="clear"/>
            <w:vAlign w:val="center"/>
          </w:tcPr>
          <w:p>
            <w:pPr>
              <w:pStyle w:val="TableContents"/>
              <w:spacing w:before="0" w:after="283"/>
              <w:jc w:val="left"/>
              <w:rPr/>
            </w:pPr>
            <w:r>
              <w:rPr/>
              <w:t>(1)</w:t>
            </w:r>
          </w:p>
        </w:tc>
        <w:tc>
          <w:tcPr>
            <w:tcW w:w="993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the amount of “compensation actually paid” (“CAP”) to Mr. Sean E. Reilly, as computed in accordance with Item 402(v) of Regulation </w:t>
            </w:r>
          </w:p>
          <w:p>
            <w:pPr>
              <w:pStyle w:val="TableContents"/>
              <w:spacing w:before="0" w:after="0"/>
              <w:jc w:val="left"/>
              <w:rPr>
                <w:rFonts w:ascii="Times New Roman" w:hAnsi="Times New Roman"/>
                <w:spacing w:val="0"/>
                <w:sz w:val="20"/>
              </w:rPr>
            </w:pPr>
            <w:r>
              <w:rPr>
                <w:rFonts w:ascii="Times New Roman" w:hAnsi="Times New Roman"/>
                <w:spacing w:val="0"/>
                <w:sz w:val="20"/>
              </w:rPr>
              <w:t>S-K.</w:t>
            </w:r>
          </w:p>
          <w:p>
            <w:pPr>
              <w:pStyle w:val="TableContents"/>
              <w:spacing w:before="0" w:after="0"/>
              <w:jc w:val="left"/>
              <w:rPr>
                <w:rFonts w:ascii="Times New Roman" w:hAnsi="Times New Roman"/>
                <w:sz w:val="20"/>
              </w:rPr>
            </w:pPr>
            <w:r>
              <w:rPr>
                <w:rFonts w:ascii="Times New Roman" w:hAnsi="Times New Roman"/>
                <w:sz w:val="20"/>
              </w:rPr>
              <w:t xml:space="preserve">The dollar amounts do not reflect the actual amount of compensation earned by or paid to Mr. Sean E. Reilly during the applicable year. In accordance with the requirements of Item 402(v) of Regulation </w:t>
            </w:r>
          </w:p>
          <w:p>
            <w:pPr>
              <w:pStyle w:val="TableContents"/>
              <w:spacing w:before="0" w:after="0"/>
              <w:jc w:val="left"/>
              <w:rPr>
                <w:rFonts w:ascii="Times New Roman" w:hAnsi="Times New Roman"/>
                <w:spacing w:val="0"/>
                <w:sz w:val="20"/>
              </w:rPr>
            </w:pPr>
            <w:r>
              <w:rPr>
                <w:rFonts w:ascii="Times New Roman" w:hAnsi="Times New Roman"/>
                <w:spacing w:val="0"/>
                <w:sz w:val="20"/>
              </w:rPr>
              <w:t>S-K,</w:t>
            </w:r>
          </w:p>
          <w:p>
            <w:pPr>
              <w:pStyle w:val="TableContents"/>
              <w:spacing w:before="0" w:after="0"/>
              <w:jc w:val="left"/>
              <w:rPr>
                <w:rFonts w:ascii="Times New Roman" w:hAnsi="Times New Roman"/>
                <w:sz w:val="20"/>
              </w:rPr>
            </w:pPr>
            <w:r>
              <w:rPr>
                <w:rFonts w:ascii="Times New Roman" w:hAnsi="Times New Roman"/>
                <w:sz w:val="20"/>
              </w:rPr>
              <w:t xml:space="preserve">the following adjustments were made to Mr. Sean Reilly’s total compensation as reported in the Summary Compensation Table (“SCT”) for each year to determine the compensation actually paid: </w:t>
            </w:r>
          </w:p>
        </w:tc>
      </w:tr>
    </w:tbl>
    <w:p>
      <w:pPr>
        <w:pStyle w:val="TextBody"/>
        <w:spacing w:before="0" w:after="0"/>
        <w:jc w:val="left"/>
        <w:rPr>
          <w:highlight w:val="white"/>
        </w:rPr>
      </w:pPr>
      <w:r>
        <w:rPr>
          <w:highlight w:val="white"/>
        </w:rPr>
        <w:t> </w:t>
      </w:r>
    </w:p>
    <w:tbl>
      <w:tblPr>
        <w:tblW w:w="8555" w:type="dxa"/>
        <w:jc w:val="left"/>
        <w:tblInd w:w="0" w:type="dxa"/>
        <w:tblCellMar>
          <w:top w:w="0" w:type="dxa"/>
          <w:left w:w="0" w:type="dxa"/>
          <w:bottom w:w="0" w:type="dxa"/>
          <w:right w:w="0" w:type="dxa"/>
        </w:tblCellMar>
      </w:tblPr>
      <w:tblGrid>
        <w:gridCol w:w="4130"/>
        <w:gridCol w:w="120"/>
        <w:gridCol w:w="215"/>
        <w:gridCol w:w="980"/>
        <w:gridCol w:w="155"/>
        <w:gridCol w:w="120"/>
        <w:gridCol w:w="215"/>
        <w:gridCol w:w="980"/>
        <w:gridCol w:w="155"/>
        <w:gridCol w:w="120"/>
        <w:gridCol w:w="215"/>
        <w:gridCol w:w="980"/>
        <w:gridCol w:w="170"/>
      </w:tblGrid>
      <w:tr>
        <w:trPr/>
        <w:tc>
          <w:tcPr>
            <w:tcW w:w="41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130" w:type="dxa"/>
            <w:tcBorders/>
            <w:shd w:fill="auto" w:val="clear"/>
            <w:vAlign w:val="center"/>
          </w:tcPr>
          <w:p>
            <w:pPr>
              <w:pStyle w:val="TableContents"/>
              <w:spacing w:before="0" w:after="0"/>
              <w:rPr>
                <w:rFonts w:ascii="Times New Roman" w:hAnsi="Times New Roman"/>
                <w:b/>
                <w:sz w:val="16"/>
                <w:bdr w:val="single" w:sz="8" w:space="1" w:color="000000"/>
              </w:rPr>
            </w:pPr>
            <w:r>
              <w:rPr>
                <w:rFonts w:ascii="Times New Roman" w:hAnsi="Times New Roman"/>
                <w:b/>
                <w:sz w:val="16"/>
                <w:bdr w:val="single" w:sz="8" w:space="1" w:color="000000"/>
              </w:rPr>
              <w:t>Compensation Element</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70" w:type="dxa"/>
            <w:tcBorders/>
            <w:shd w:fill="auto" w:val="clear"/>
            <w:vAlign w:val="center"/>
          </w:tcPr>
          <w:p>
            <w:pPr>
              <w:pStyle w:val="TableContents"/>
              <w:spacing w:before="0" w:after="283"/>
              <w:rPr/>
            </w:pPr>
            <w:r>
              <w:rPr/>
              <w:t> </w:t>
            </w:r>
          </w:p>
        </w:tc>
      </w:tr>
      <w:tr>
        <w:trPr/>
        <w:tc>
          <w:tcPr>
            <w:tcW w:w="41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Comp as Reported in SCT</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3,912,660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5,934,758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6,079,394</w:t>
            </w:r>
          </w:p>
        </w:tc>
        <w:tc>
          <w:tcPr>
            <w:tcW w:w="170" w:type="dxa"/>
            <w:tcBorders/>
            <w:shd w:fill="CCEEFF" w:val="clear"/>
            <w:vAlign w:val="center"/>
          </w:tcPr>
          <w:p>
            <w:pPr>
              <w:pStyle w:val="TableContents"/>
              <w:spacing w:before="0" w:after="283"/>
              <w:rPr/>
            </w:pPr>
            <w:r>
              <w:rPr/>
              <w:t> </w:t>
            </w:r>
          </w:p>
        </w:tc>
      </w:tr>
      <w:tr>
        <w:trPr/>
        <w:tc>
          <w:tcPr>
            <w:tcW w:w="4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Pension/NQDC as Reported in SCT</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41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Stock Awards as Reported in SCT</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2,885,960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4,035,240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3,893,560</w:t>
            </w:r>
          </w:p>
        </w:tc>
        <w:tc>
          <w:tcPr>
            <w:tcW w:w="170" w:type="dxa"/>
            <w:tcBorders/>
            <w:shd w:fill="CCEEFF" w:val="clear"/>
            <w:vAlign w:val="center"/>
          </w:tcPr>
          <w:p>
            <w:pPr>
              <w:pStyle w:val="TableContents"/>
              <w:spacing w:before="0" w:after="283"/>
              <w:rPr/>
            </w:pPr>
            <w:r>
              <w:rPr/>
              <w:t>) </w:t>
            </w:r>
          </w:p>
        </w:tc>
      </w:tr>
      <w:tr>
        <w:trPr/>
        <w:tc>
          <w:tcPr>
            <w:tcW w:w="4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Option Awards as Reported in SCT</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413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Pension Value for Current Year</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413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Adjusted Equity Values and Accrued Dividends(a)</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3,818,320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1,675,520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3,649,800</w:t>
            </w:r>
          </w:p>
        </w:tc>
        <w:tc>
          <w:tcPr>
            <w:tcW w:w="170" w:type="dxa"/>
            <w:tcBorders/>
            <w:shd w:fill="auto" w:val="clear"/>
            <w:vAlign w:val="center"/>
          </w:tcPr>
          <w:p>
            <w:pPr>
              <w:pStyle w:val="TableContents"/>
              <w:spacing w:before="0" w:after="283"/>
              <w:rPr/>
            </w:pPr>
            <w:r>
              <w:rPr/>
              <w:t> </w:t>
            </w:r>
          </w:p>
        </w:tc>
      </w:tr>
      <w:tr>
        <w:trPr/>
        <w:tc>
          <w:tcPr>
            <w:tcW w:w="41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13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Compensation Actually Paid (CAP)</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0"/>
              <w:rPr>
                <w:b/>
                <w:spacing w:val="0"/>
              </w:rPr>
            </w:pPr>
            <w:r>
              <w:rPr>
                <w:b/>
                <w:spacing w:val="0"/>
              </w:rPr>
              <w:t>$</w:t>
            </w:r>
          </w:p>
        </w:tc>
        <w:tc>
          <w:tcPr>
            <w:tcW w:w="980" w:type="dxa"/>
            <w:tcBorders/>
            <w:shd w:fill="CCEEFF" w:val="clear"/>
            <w:vAlign w:val="center"/>
          </w:tcPr>
          <w:p>
            <w:pPr>
              <w:pStyle w:val="TableContents"/>
              <w:spacing w:before="0" w:after="0"/>
              <w:jc w:val="right"/>
              <w:rPr>
                <w:b/>
                <w:spacing w:val="0"/>
              </w:rPr>
            </w:pPr>
            <w:r>
              <w:rPr>
                <w:b/>
                <w:spacing w:val="0"/>
              </w:rPr>
              <w:t>4,845,020</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0"/>
              <w:rPr>
                <w:b/>
                <w:spacing w:val="0"/>
              </w:rPr>
            </w:pPr>
            <w:r>
              <w:rPr>
                <w:b/>
                <w:spacing w:val="0"/>
              </w:rPr>
              <w:t>$</w:t>
            </w:r>
          </w:p>
        </w:tc>
        <w:tc>
          <w:tcPr>
            <w:tcW w:w="980" w:type="dxa"/>
            <w:tcBorders/>
            <w:shd w:fill="CCEEFF" w:val="clear"/>
            <w:vAlign w:val="center"/>
          </w:tcPr>
          <w:p>
            <w:pPr>
              <w:pStyle w:val="TableContents"/>
              <w:spacing w:before="0" w:after="0"/>
              <w:jc w:val="right"/>
              <w:rPr>
                <w:b/>
                <w:spacing w:val="0"/>
              </w:rPr>
            </w:pPr>
            <w:r>
              <w:rPr>
                <w:b/>
                <w:spacing w:val="0"/>
              </w:rPr>
              <w:t>3,575,038</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0"/>
              <w:rPr>
                <w:b/>
                <w:spacing w:val="0"/>
              </w:rPr>
            </w:pPr>
            <w:r>
              <w:rPr>
                <w:b/>
                <w:spacing w:val="0"/>
              </w:rPr>
              <w:t>$</w:t>
            </w:r>
          </w:p>
        </w:tc>
        <w:tc>
          <w:tcPr>
            <w:tcW w:w="980" w:type="dxa"/>
            <w:tcBorders/>
            <w:shd w:fill="CCEEFF" w:val="clear"/>
            <w:vAlign w:val="center"/>
          </w:tcPr>
          <w:p>
            <w:pPr>
              <w:pStyle w:val="TableContents"/>
              <w:spacing w:before="0" w:after="0"/>
              <w:jc w:val="right"/>
              <w:rPr>
                <w:b/>
                <w:spacing w:val="0"/>
              </w:rPr>
            </w:pPr>
            <w:r>
              <w:rPr>
                <w:b/>
                <w:spacing w:val="0"/>
              </w:rPr>
              <w:t>5,835,634</w:t>
            </w:r>
          </w:p>
        </w:tc>
        <w:tc>
          <w:tcPr>
            <w:tcW w:w="170" w:type="dxa"/>
            <w:tcBorders/>
            <w:shd w:fill="CCEEFF" w:val="clear"/>
            <w:vAlign w:val="center"/>
          </w:tcPr>
          <w:p>
            <w:pPr>
              <w:pStyle w:val="TableContents"/>
              <w:spacing w:before="0" w:after="0"/>
              <w:rPr>
                <w:spacing w:val="0"/>
              </w:rPr>
            </w:pPr>
            <w:r>
              <w:rPr>
                <w:spacing w:val="0"/>
              </w:rPr>
              <w:t> </w:t>
            </w:r>
          </w:p>
        </w:tc>
      </w:tr>
      <w:tr>
        <w:trPr/>
        <w:tc>
          <w:tcPr>
            <w:tcW w:w="41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7750" w:type="dxa"/>
        <w:jc w:val="left"/>
        <w:tblInd w:w="0" w:type="dxa"/>
        <w:tblCellMar>
          <w:top w:w="0" w:type="dxa"/>
          <w:left w:w="0" w:type="dxa"/>
          <w:bottom w:w="0" w:type="dxa"/>
          <w:right w:w="0" w:type="dxa"/>
        </w:tblCellMar>
      </w:tblPr>
      <w:tblGrid>
        <w:gridCol w:w="290"/>
        <w:gridCol w:w="7460"/>
      </w:tblGrid>
      <w:tr>
        <w:trPr/>
        <w:tc>
          <w:tcPr>
            <w:tcW w:w="290" w:type="dxa"/>
            <w:tcBorders/>
            <w:shd w:fill="auto" w:val="clear"/>
            <w:vAlign w:val="center"/>
          </w:tcPr>
          <w:p>
            <w:pPr>
              <w:pStyle w:val="TableContents"/>
              <w:spacing w:before="0" w:after="283"/>
              <w:jc w:val="left"/>
              <w:rPr/>
            </w:pPr>
            <w:r>
              <w:rPr/>
              <w:t>(a)</w:t>
            </w:r>
          </w:p>
        </w:tc>
        <w:tc>
          <w:tcPr>
            <w:tcW w:w="74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amounts deducted or added in calculating the equity award adjustments are as follows: </w:t>
            </w:r>
          </w:p>
        </w:tc>
      </w:tr>
    </w:tbl>
    <w:p>
      <w:pPr>
        <w:pStyle w:val="TextBody"/>
        <w:spacing w:before="0" w:after="0"/>
        <w:jc w:val="left"/>
        <w:rPr>
          <w:highlight w:val="white"/>
        </w:rPr>
      </w:pPr>
      <w:r>
        <w:rPr>
          <w:highlight w:val="white"/>
        </w:rPr>
        <w:t> </w:t>
      </w:r>
    </w:p>
    <w:tbl>
      <w:tblPr>
        <w:tblW w:w="9100" w:type="dxa"/>
        <w:jc w:val="left"/>
        <w:tblInd w:w="0" w:type="dxa"/>
        <w:tblCellMar>
          <w:top w:w="0" w:type="dxa"/>
          <w:left w:w="0" w:type="dxa"/>
          <w:bottom w:w="0" w:type="dxa"/>
          <w:right w:w="0" w:type="dxa"/>
        </w:tblCellMar>
      </w:tblPr>
      <w:tblGrid>
        <w:gridCol w:w="455"/>
        <w:gridCol w:w="120"/>
        <w:gridCol w:w="398"/>
        <w:gridCol w:w="2787"/>
        <w:gridCol w:w="60"/>
        <w:gridCol w:w="120"/>
        <w:gridCol w:w="340"/>
        <w:gridCol w:w="2380"/>
        <w:gridCol w:w="155"/>
        <w:gridCol w:w="120"/>
        <w:gridCol w:w="261"/>
        <w:gridCol w:w="1829"/>
        <w:gridCol w:w="75"/>
      </w:tblGrid>
      <w:tr>
        <w:trPr/>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3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82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0"/>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shd w:fill="auto" w:val="clear"/>
            <w:vAlign w:val="center"/>
          </w:tcPr>
          <w:p>
            <w:pPr>
              <w:pStyle w:val="TableContents"/>
              <w:spacing w:before="0" w:after="283"/>
              <w:rPr/>
            </w:pPr>
            <w:r>
              <w:rPr/>
              <w:t>  </w:t>
            </w:r>
          </w:p>
        </w:tc>
        <w:tc>
          <w:tcPr>
            <w:tcW w:w="318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End Fair Value of Equity</w:t>
            </w:r>
          </w:p>
          <w:p>
            <w:pPr>
              <w:pStyle w:val="TableContents"/>
              <w:spacing w:before="0" w:after="0"/>
              <w:jc w:val="center"/>
              <w:rPr/>
            </w:pPr>
            <w:r>
              <w:rPr/>
            </w:r>
          </w:p>
          <w:p>
            <w:pPr>
              <w:pStyle w:val="TableContents"/>
              <w:spacing w:before="0" w:after="0"/>
              <w:jc w:val="center"/>
              <w:rPr>
                <w:b/>
                <w:spacing w:val="0"/>
              </w:rPr>
            </w:pPr>
            <w:r>
              <w:rPr>
                <w:b/>
                <w:spacing w:val="0"/>
              </w:rPr>
              <w:t>Awards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2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over Year Change in</w:t>
            </w:r>
          </w:p>
          <w:p>
            <w:pPr>
              <w:pStyle w:val="TableContents"/>
              <w:spacing w:before="0" w:after="0"/>
              <w:jc w:val="center"/>
              <w:rPr/>
            </w:pPr>
            <w:r>
              <w:rPr/>
            </w:r>
          </w:p>
          <w:p>
            <w:pPr>
              <w:pStyle w:val="TableContents"/>
              <w:spacing w:before="0" w:after="0"/>
              <w:jc w:val="center"/>
              <w:rPr>
                <w:b/>
                <w:spacing w:val="0"/>
              </w:rPr>
            </w:pPr>
            <w:r>
              <w:rPr>
                <w:b/>
                <w:spacing w:val="0"/>
              </w:rPr>
              <w:t>Fair Value of Equity</w:t>
            </w:r>
          </w:p>
          <w:p>
            <w:pPr>
              <w:pStyle w:val="TableContents"/>
              <w:spacing w:before="0" w:after="0"/>
              <w:jc w:val="center"/>
              <w:rPr/>
            </w:pPr>
            <w:r>
              <w:rPr/>
            </w:r>
          </w:p>
          <w:p>
            <w:pPr>
              <w:pStyle w:val="TableContents"/>
              <w:spacing w:before="0" w:after="0"/>
              <w:jc w:val="center"/>
              <w:rPr>
                <w:b/>
                <w:spacing w:val="0"/>
              </w:rPr>
            </w:pPr>
            <w:r>
              <w:rPr>
                <w:b/>
                <w:spacing w:val="0"/>
              </w:rPr>
              <w:t>Awards Granted in Prior</w:t>
            </w:r>
          </w:p>
          <w:p>
            <w:pPr>
              <w:pStyle w:val="TableContents"/>
              <w:spacing w:before="0" w:after="0"/>
              <w:jc w:val="center"/>
              <w:rPr/>
            </w:pPr>
            <w:r>
              <w:rPr/>
            </w:r>
          </w:p>
          <w:p>
            <w:pPr>
              <w:pStyle w:val="TableContents"/>
              <w:spacing w:before="0" w:after="0"/>
              <w:jc w:val="center"/>
              <w:rPr>
                <w:b/>
                <w:spacing w:val="0"/>
              </w:rPr>
            </w:pPr>
            <w:r>
              <w:rPr>
                <w:b/>
                <w:spacing w:val="0"/>
              </w:rPr>
              <w:t>Years that Vested in the</w:t>
            </w:r>
          </w:p>
          <w:p>
            <w:pPr>
              <w:pStyle w:val="TableContents"/>
              <w:spacing w:before="0" w:after="0"/>
              <w:jc w:val="center"/>
              <w:rPr/>
            </w:pPr>
            <w:r>
              <w:rPr/>
            </w:r>
          </w:p>
          <w:p>
            <w:pPr>
              <w:pStyle w:val="TableContents"/>
              <w:spacing w:before="0" w:after="0"/>
              <w:jc w:val="center"/>
              <w:rPr>
                <w:b/>
                <w:spacing w:val="0"/>
              </w:rPr>
            </w:pPr>
            <w:r>
              <w:rPr>
                <w:b/>
                <w:spacing w:val="0"/>
              </w:rPr>
              <w:t>Year</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09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 Equity Award</w:t>
            </w:r>
          </w:p>
          <w:p>
            <w:pPr>
              <w:pStyle w:val="TableContents"/>
              <w:spacing w:before="0" w:after="0"/>
              <w:jc w:val="center"/>
              <w:rPr/>
            </w:pPr>
            <w:r>
              <w:rPr/>
            </w:r>
          </w:p>
          <w:p>
            <w:pPr>
              <w:pStyle w:val="TableContents"/>
              <w:spacing w:before="0" w:after="0"/>
              <w:jc w:val="center"/>
              <w:rPr>
                <w:b/>
                <w:spacing w:val="0"/>
              </w:rPr>
            </w:pPr>
            <w:r>
              <w:rPr>
                <w:b/>
                <w:spacing w:val="0"/>
              </w:rPr>
              <w:t>Adjustments</w:t>
            </w:r>
          </w:p>
        </w:tc>
        <w:tc>
          <w:tcPr>
            <w:tcW w:w="75" w:type="dxa"/>
            <w:tcBorders/>
            <w:shd w:fill="auto" w:val="clear"/>
            <w:vAlign w:val="center"/>
          </w:tcPr>
          <w:p>
            <w:pPr>
              <w:pStyle w:val="TableContents"/>
              <w:spacing w:before="0" w:after="283"/>
              <w:rPr/>
            </w:pPr>
            <w:r>
              <w:rPr/>
              <w:t> </w:t>
            </w:r>
          </w:p>
        </w:tc>
      </w:tr>
      <w:tr>
        <w:trPr/>
        <w:tc>
          <w:tcPr>
            <w:tcW w:w="4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2020</w:t>
            </w:r>
          </w:p>
        </w:tc>
        <w:tc>
          <w:tcPr>
            <w:tcW w:w="120" w:type="dxa"/>
            <w:tcBorders/>
            <w:shd w:fill="CCEEFF" w:val="clear"/>
            <w:vAlign w:val="center"/>
          </w:tcPr>
          <w:p>
            <w:pPr>
              <w:pStyle w:val="TableContents"/>
              <w:spacing w:before="0" w:after="283"/>
              <w:rPr/>
            </w:pPr>
            <w:r>
              <w:rPr/>
              <w:t>  </w:t>
            </w:r>
          </w:p>
        </w:tc>
        <w:tc>
          <w:tcPr>
            <w:tcW w:w="398" w:type="dxa"/>
            <w:tcBorders/>
            <w:shd w:fill="CCEEFF" w:val="clear"/>
            <w:vAlign w:val="center"/>
          </w:tcPr>
          <w:p>
            <w:pPr>
              <w:pStyle w:val="TableContents"/>
              <w:spacing w:before="0" w:after="283"/>
              <w:rPr/>
            </w:pPr>
            <w:r>
              <w:rPr/>
              <w:t>$</w:t>
            </w:r>
          </w:p>
        </w:tc>
        <w:tc>
          <w:tcPr>
            <w:tcW w:w="2787" w:type="dxa"/>
            <w:tcBorders/>
            <w:shd w:fill="CCEEFF" w:val="clear"/>
            <w:vAlign w:val="center"/>
          </w:tcPr>
          <w:p>
            <w:pPr>
              <w:pStyle w:val="TableContents"/>
              <w:spacing w:before="0" w:after="283"/>
              <w:jc w:val="right"/>
              <w:rPr/>
            </w:pPr>
            <w:r>
              <w:rPr/>
              <w:t>3,661,680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40" w:type="dxa"/>
            <w:tcBorders/>
            <w:shd w:fill="CCEEFF" w:val="clear"/>
            <w:vAlign w:val="center"/>
          </w:tcPr>
          <w:p>
            <w:pPr>
              <w:pStyle w:val="TableContents"/>
              <w:spacing w:before="0" w:after="283"/>
              <w:rPr/>
            </w:pPr>
            <w:r>
              <w:rPr/>
              <w:t>$</w:t>
            </w:r>
          </w:p>
        </w:tc>
        <w:tc>
          <w:tcPr>
            <w:tcW w:w="2380" w:type="dxa"/>
            <w:tcBorders/>
            <w:shd w:fill="CCEEFF" w:val="clear"/>
            <w:vAlign w:val="center"/>
          </w:tcPr>
          <w:p>
            <w:pPr>
              <w:pStyle w:val="TableContents"/>
              <w:spacing w:before="0" w:after="283"/>
              <w:jc w:val="right"/>
              <w:rPr/>
            </w:pPr>
            <w:r>
              <w:rPr/>
              <w:t>156,640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w:t>
            </w:r>
          </w:p>
        </w:tc>
        <w:tc>
          <w:tcPr>
            <w:tcW w:w="1829" w:type="dxa"/>
            <w:tcBorders/>
            <w:shd w:fill="CCEEFF" w:val="clear"/>
            <w:vAlign w:val="center"/>
          </w:tcPr>
          <w:p>
            <w:pPr>
              <w:pStyle w:val="TableContents"/>
              <w:spacing w:before="0" w:after="283"/>
              <w:jc w:val="right"/>
              <w:rPr/>
            </w:pPr>
            <w:r>
              <w:rPr/>
              <w:t>3,818,320</w:t>
            </w:r>
          </w:p>
        </w:tc>
        <w:tc>
          <w:tcPr>
            <w:tcW w:w="75" w:type="dxa"/>
            <w:tcBorders/>
            <w:shd w:fill="CCEEFF"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120"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w:t>
            </w:r>
          </w:p>
        </w:tc>
        <w:tc>
          <w:tcPr>
            <w:tcW w:w="2787" w:type="dxa"/>
            <w:tcBorders/>
            <w:shd w:fill="auto" w:val="clear"/>
            <w:vAlign w:val="center"/>
          </w:tcPr>
          <w:p>
            <w:pPr>
              <w:pStyle w:val="TableContents"/>
              <w:spacing w:before="0" w:after="283"/>
              <w:jc w:val="right"/>
              <w:rPr/>
            </w:pPr>
            <w:r>
              <w:rPr/>
              <w:t>5,337,200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40" w:type="dxa"/>
            <w:tcBorders/>
            <w:shd w:fill="auto" w:val="clear"/>
            <w:vAlign w:val="center"/>
          </w:tcPr>
          <w:p>
            <w:pPr>
              <w:pStyle w:val="TableContents"/>
              <w:spacing w:before="0" w:after="283"/>
              <w:rPr/>
            </w:pPr>
            <w:r>
              <w:rPr/>
              <w:t>($</w:t>
            </w:r>
          </w:p>
        </w:tc>
        <w:tc>
          <w:tcPr>
            <w:tcW w:w="2380" w:type="dxa"/>
            <w:tcBorders/>
            <w:shd w:fill="auto" w:val="clear"/>
            <w:vAlign w:val="center"/>
          </w:tcPr>
          <w:p>
            <w:pPr>
              <w:pStyle w:val="TableContents"/>
              <w:spacing w:before="0" w:after="283"/>
              <w:jc w:val="right"/>
              <w:rPr/>
            </w:pPr>
            <w:r>
              <w:rPr/>
              <w:t>3,661,680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1" w:type="dxa"/>
            <w:tcBorders/>
            <w:shd w:fill="auto" w:val="clear"/>
            <w:vAlign w:val="center"/>
          </w:tcPr>
          <w:p>
            <w:pPr>
              <w:pStyle w:val="TableContents"/>
              <w:spacing w:before="0" w:after="283"/>
              <w:rPr/>
            </w:pPr>
            <w:r>
              <w:rPr/>
              <w:t>$</w:t>
            </w:r>
          </w:p>
        </w:tc>
        <w:tc>
          <w:tcPr>
            <w:tcW w:w="1829" w:type="dxa"/>
            <w:tcBorders/>
            <w:shd w:fill="auto" w:val="clear"/>
            <w:vAlign w:val="center"/>
          </w:tcPr>
          <w:p>
            <w:pPr>
              <w:pStyle w:val="TableContents"/>
              <w:spacing w:before="0" w:after="283"/>
              <w:jc w:val="right"/>
              <w:rPr/>
            </w:pPr>
            <w:r>
              <w:rPr/>
              <w:t>1,675,520</w:t>
            </w:r>
          </w:p>
        </w:tc>
        <w:tc>
          <w:tcPr>
            <w:tcW w:w="75" w:type="dxa"/>
            <w:tcBorders/>
            <w:shd w:fill="auto" w:val="clear"/>
            <w:vAlign w:val="center"/>
          </w:tcPr>
          <w:p>
            <w:pPr>
              <w:pStyle w:val="TableContents"/>
              <w:spacing w:before="0" w:after="283"/>
              <w:rPr/>
            </w:pPr>
            <w:r>
              <w:rPr/>
              <w:t> </w:t>
            </w:r>
          </w:p>
        </w:tc>
      </w:tr>
      <w:tr>
        <w:trPr/>
        <w:tc>
          <w:tcPr>
            <w:tcW w:w="4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120" w:type="dxa"/>
            <w:tcBorders/>
            <w:shd w:fill="CCEEFF" w:val="clear"/>
            <w:vAlign w:val="center"/>
          </w:tcPr>
          <w:p>
            <w:pPr>
              <w:pStyle w:val="TableContents"/>
              <w:spacing w:before="0" w:after="283"/>
              <w:rPr/>
            </w:pPr>
            <w:r>
              <w:rPr/>
              <w:t>  </w:t>
            </w:r>
          </w:p>
        </w:tc>
        <w:tc>
          <w:tcPr>
            <w:tcW w:w="398" w:type="dxa"/>
            <w:tcBorders/>
            <w:shd w:fill="CCEEFF" w:val="clear"/>
            <w:vAlign w:val="center"/>
          </w:tcPr>
          <w:p>
            <w:pPr>
              <w:pStyle w:val="TableContents"/>
              <w:spacing w:before="0" w:after="283"/>
              <w:rPr/>
            </w:pPr>
            <w:r>
              <w:rPr/>
              <w:t>$</w:t>
            </w:r>
          </w:p>
        </w:tc>
        <w:tc>
          <w:tcPr>
            <w:tcW w:w="2787" w:type="dxa"/>
            <w:tcBorders/>
            <w:shd w:fill="CCEEFF" w:val="clear"/>
            <w:vAlign w:val="center"/>
          </w:tcPr>
          <w:p>
            <w:pPr>
              <w:pStyle w:val="TableContents"/>
              <w:spacing w:before="0" w:after="283"/>
              <w:jc w:val="right"/>
              <w:rPr/>
            </w:pPr>
            <w:r>
              <w:rPr/>
              <w:t>4,153,600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40" w:type="dxa"/>
            <w:tcBorders/>
            <w:shd w:fill="CCEEFF" w:val="clear"/>
            <w:vAlign w:val="center"/>
          </w:tcPr>
          <w:p>
            <w:pPr>
              <w:pStyle w:val="TableContents"/>
              <w:spacing w:before="0" w:after="283"/>
              <w:rPr/>
            </w:pPr>
            <w:r>
              <w:rPr/>
              <w:t>($</w:t>
            </w:r>
          </w:p>
        </w:tc>
        <w:tc>
          <w:tcPr>
            <w:tcW w:w="2380" w:type="dxa"/>
            <w:tcBorders/>
            <w:shd w:fill="CCEEFF" w:val="clear"/>
            <w:vAlign w:val="center"/>
          </w:tcPr>
          <w:p>
            <w:pPr>
              <w:pStyle w:val="TableContents"/>
              <w:spacing w:before="0" w:after="283"/>
              <w:jc w:val="right"/>
              <w:rPr/>
            </w:pPr>
            <w:r>
              <w:rPr/>
              <w:t>503,800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1" w:type="dxa"/>
            <w:tcBorders/>
            <w:shd w:fill="CCEEFF" w:val="clear"/>
            <w:vAlign w:val="center"/>
          </w:tcPr>
          <w:p>
            <w:pPr>
              <w:pStyle w:val="TableContents"/>
              <w:spacing w:before="0" w:after="283"/>
              <w:rPr/>
            </w:pPr>
            <w:r>
              <w:rPr/>
              <w:t>$</w:t>
            </w:r>
          </w:p>
        </w:tc>
        <w:tc>
          <w:tcPr>
            <w:tcW w:w="1829" w:type="dxa"/>
            <w:tcBorders/>
            <w:shd w:fill="CCEEFF" w:val="clear"/>
            <w:vAlign w:val="center"/>
          </w:tcPr>
          <w:p>
            <w:pPr>
              <w:pStyle w:val="TableContents"/>
              <w:spacing w:before="0" w:after="283"/>
              <w:jc w:val="right"/>
              <w:rPr/>
            </w:pPr>
            <w:r>
              <w:rPr/>
              <w:t>3,649,800</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34</w:t>
      </w:r>
    </w:p>
    <w:p>
      <w:pPr>
        <w:pStyle w:val="HorizontalLine"/>
        <w:rPr/>
      </w:pPr>
      <w:r>
        <w:rPr/>
      </w:r>
    </w:p>
    <w:p>
      <w:pPr>
        <w:pStyle w:val="TextBody"/>
        <w:spacing w:before="0" w:after="0"/>
        <w:rPr/>
      </w:pPr>
      <w:hyperlink w:anchor="toc">
        <w:r>
          <w:rPr>
            <w:rStyle w:val="InternetLink"/>
            <w:highlight w:val="white"/>
          </w:rPr>
          <w:t>Table of Contents</w:t>
        </w:r>
      </w:hyperlink>
    </w:p>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pPr>
            <w:r>
              <w:rPr/>
              <w:t>(2)</w:t>
            </w:r>
          </w:p>
        </w:tc>
        <w:tc>
          <w:tcPr>
            <w:tcW w:w="995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the average of the amounts reported for the Company’s named executive officers, excluding Mr. Sean E. Reilly (“NEOs”), as a group in the “Total” column of the Summary Compensation Table in each applicable year. The names of each of the NEOs (excluding Mr. Sean E. Reilly) included for purposes of calculating the average amounts in each applicable year are Mr. Kevin P. Reilly, Jr. and Mr. Jay L. Johnson. </w:t>
            </w:r>
          </w:p>
        </w:tc>
      </w:tr>
    </w:tbl>
    <w:tbl>
      <w:tblPr>
        <w:tblW w:w="10205" w:type="dxa"/>
        <w:jc w:val="left"/>
        <w:tblInd w:w="0" w:type="dxa"/>
        <w:tblCellMar>
          <w:top w:w="0" w:type="dxa"/>
          <w:left w:w="0" w:type="dxa"/>
          <w:bottom w:w="0" w:type="dxa"/>
          <w:right w:w="0" w:type="dxa"/>
        </w:tblCellMar>
      </w:tblPr>
      <w:tblGrid>
        <w:gridCol w:w="270"/>
        <w:gridCol w:w="9935"/>
      </w:tblGrid>
      <w:tr>
        <w:trPr/>
        <w:tc>
          <w:tcPr>
            <w:tcW w:w="270" w:type="dxa"/>
            <w:tcBorders/>
            <w:shd w:fill="auto" w:val="clear"/>
            <w:vAlign w:val="center"/>
          </w:tcPr>
          <w:p>
            <w:pPr>
              <w:pStyle w:val="TableContents"/>
              <w:spacing w:before="0" w:after="283"/>
              <w:jc w:val="left"/>
              <w:rPr/>
            </w:pPr>
            <w:r>
              <w:rPr/>
              <w:t>(3)</w:t>
            </w:r>
          </w:p>
        </w:tc>
        <w:tc>
          <w:tcPr>
            <w:tcW w:w="99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Represents the amount of “compensation actually paid” (“CAP”) to the NEOs as a group, as computed in accordance with Item 402(v) of Regulation </w:t>
            </w:r>
          </w:p>
          <w:p>
            <w:pPr>
              <w:pStyle w:val="TableContents"/>
              <w:spacing w:before="0" w:after="0"/>
              <w:jc w:val="left"/>
              <w:rPr>
                <w:rFonts w:ascii="Times New Roman" w:hAnsi="Times New Roman"/>
                <w:spacing w:val="0"/>
                <w:sz w:val="20"/>
              </w:rPr>
            </w:pPr>
            <w:r>
              <w:rPr>
                <w:rFonts w:ascii="Times New Roman" w:hAnsi="Times New Roman"/>
                <w:spacing w:val="0"/>
                <w:sz w:val="20"/>
              </w:rPr>
              <w:t>S-K.</w:t>
            </w:r>
          </w:p>
          <w:p>
            <w:pPr>
              <w:pStyle w:val="TableContents"/>
              <w:spacing w:before="0" w:after="0"/>
              <w:jc w:val="left"/>
              <w:rPr>
                <w:rFonts w:ascii="Times New Roman" w:hAnsi="Times New Roman"/>
                <w:sz w:val="20"/>
              </w:rPr>
            </w:pPr>
            <w:r>
              <w:rPr>
                <w:rFonts w:ascii="Times New Roman" w:hAnsi="Times New Roman"/>
                <w:sz w:val="20"/>
              </w:rPr>
              <w:t xml:space="preserve">The dollar amounts do not reflect the actual average amount of compensation earned by or paid to the NEOs as a group during the applicable year. In accordance with the requirements of Item 402(v) of Regulation </w:t>
            </w:r>
          </w:p>
          <w:p>
            <w:pPr>
              <w:pStyle w:val="TableContents"/>
              <w:spacing w:before="0" w:after="0"/>
              <w:jc w:val="left"/>
              <w:rPr>
                <w:rFonts w:ascii="Times New Roman" w:hAnsi="Times New Roman"/>
                <w:spacing w:val="0"/>
                <w:sz w:val="20"/>
              </w:rPr>
            </w:pPr>
            <w:r>
              <w:rPr>
                <w:rFonts w:ascii="Times New Roman" w:hAnsi="Times New Roman"/>
                <w:spacing w:val="0"/>
                <w:sz w:val="20"/>
              </w:rPr>
              <w:t>S-K,</w:t>
            </w:r>
          </w:p>
          <w:p>
            <w:pPr>
              <w:pStyle w:val="TableContents"/>
              <w:spacing w:before="0" w:after="0"/>
              <w:jc w:val="left"/>
              <w:rPr>
                <w:rFonts w:ascii="Times New Roman" w:hAnsi="Times New Roman"/>
                <w:sz w:val="20"/>
              </w:rPr>
            </w:pPr>
            <w:r>
              <w:rPr>
                <w:rFonts w:ascii="Times New Roman" w:hAnsi="Times New Roman"/>
                <w:sz w:val="20"/>
              </w:rPr>
              <w:t xml:space="preserve">the following adjustments were made to average total compensation for the NEOs as a group for each year to determine the compensation actually paid: </w:t>
            </w:r>
          </w:p>
        </w:tc>
      </w:tr>
    </w:tbl>
    <w:p>
      <w:pPr>
        <w:pStyle w:val="TextBody"/>
        <w:spacing w:before="0" w:after="0"/>
        <w:jc w:val="left"/>
        <w:rPr>
          <w:highlight w:val="white"/>
        </w:rPr>
      </w:pPr>
      <w:r>
        <w:rPr>
          <w:highlight w:val="white"/>
        </w:rPr>
        <w:t> </w:t>
      </w:r>
    </w:p>
    <w:tbl>
      <w:tblPr>
        <w:tblW w:w="9275" w:type="dxa"/>
        <w:jc w:val="left"/>
        <w:tblInd w:w="0" w:type="dxa"/>
        <w:tblCellMar>
          <w:top w:w="0" w:type="dxa"/>
          <w:left w:w="0" w:type="dxa"/>
          <w:bottom w:w="0" w:type="dxa"/>
          <w:right w:w="0" w:type="dxa"/>
        </w:tblCellMar>
      </w:tblPr>
      <w:tblGrid>
        <w:gridCol w:w="4850"/>
        <w:gridCol w:w="120"/>
        <w:gridCol w:w="215"/>
        <w:gridCol w:w="980"/>
        <w:gridCol w:w="155"/>
        <w:gridCol w:w="120"/>
        <w:gridCol w:w="215"/>
        <w:gridCol w:w="980"/>
        <w:gridCol w:w="155"/>
        <w:gridCol w:w="120"/>
        <w:gridCol w:w="215"/>
        <w:gridCol w:w="980"/>
        <w:gridCol w:w="170"/>
      </w:tblGrid>
      <w:tr>
        <w:trPr/>
        <w:tc>
          <w:tcPr>
            <w:tcW w:w="48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850" w:type="dxa"/>
            <w:tcBorders/>
            <w:shd w:fill="auto" w:val="clear"/>
            <w:vAlign w:val="center"/>
          </w:tcPr>
          <w:p>
            <w:pPr>
              <w:pStyle w:val="TableContents"/>
              <w:spacing w:before="0" w:after="0"/>
              <w:rPr>
                <w:rFonts w:ascii="Times New Roman" w:hAnsi="Times New Roman"/>
                <w:b/>
                <w:sz w:val="16"/>
                <w:bdr w:val="single" w:sz="8" w:space="1" w:color="000000"/>
              </w:rPr>
            </w:pPr>
            <w:r>
              <w:rPr>
                <w:rFonts w:ascii="Times New Roman" w:hAnsi="Times New Roman"/>
                <w:b/>
                <w:sz w:val="16"/>
                <w:bdr w:val="single" w:sz="8" w:space="1" w:color="000000"/>
              </w:rPr>
              <w:t>Compensation Element</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9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2022</w:t>
            </w:r>
          </w:p>
        </w:tc>
        <w:tc>
          <w:tcPr>
            <w:tcW w:w="170" w:type="dxa"/>
            <w:tcBorders/>
            <w:shd w:fill="auto" w:val="clear"/>
            <w:vAlign w:val="center"/>
          </w:tcPr>
          <w:p>
            <w:pPr>
              <w:pStyle w:val="TableContents"/>
              <w:spacing w:before="0" w:after="283"/>
              <w:rPr/>
            </w:pPr>
            <w:r>
              <w:rPr/>
              <w:t> </w:t>
            </w:r>
          </w:p>
        </w:tc>
      </w:tr>
      <w:tr>
        <w:trPr/>
        <w:tc>
          <w:tcPr>
            <w:tcW w:w="48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Average Total Comp as Reported in SCT</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2,385,147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3,014,134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2,987,339</w:t>
            </w:r>
          </w:p>
        </w:tc>
        <w:tc>
          <w:tcPr>
            <w:tcW w:w="170" w:type="dxa"/>
            <w:tcBorders/>
            <w:shd w:fill="CCEEFF" w:val="clear"/>
            <w:vAlign w:val="center"/>
          </w:tcPr>
          <w:p>
            <w:pPr>
              <w:pStyle w:val="TableContents"/>
              <w:spacing w:before="0" w:after="283"/>
              <w:rPr/>
            </w:pPr>
            <w:r>
              <w:rPr/>
              <w:t> </w:t>
            </w:r>
          </w:p>
        </w:tc>
      </w:tr>
      <w:tr>
        <w:trPr/>
        <w:tc>
          <w:tcPr>
            <w:tcW w:w="48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Average Pension/NQDC as Reported in SCT</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48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Average Stock Awards as Reported in SCT</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1,742,980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2,017,620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1,946,780</w:t>
            </w:r>
          </w:p>
        </w:tc>
        <w:tc>
          <w:tcPr>
            <w:tcW w:w="170" w:type="dxa"/>
            <w:tcBorders/>
            <w:shd w:fill="CCEEFF" w:val="clear"/>
            <w:vAlign w:val="center"/>
          </w:tcPr>
          <w:p>
            <w:pPr>
              <w:pStyle w:val="TableContents"/>
              <w:spacing w:before="0" w:after="283"/>
              <w:rPr/>
            </w:pPr>
            <w:r>
              <w:rPr/>
              <w:t>) </w:t>
            </w:r>
          </w:p>
        </w:tc>
      </w:tr>
      <w:tr>
        <w:trPr/>
        <w:tc>
          <w:tcPr>
            <w:tcW w:w="48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Average Option Awards as Reported in SCT</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485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Average Pension Value for Current Year</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485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Average Adjusted Equity Values and Accrued Dividends(a)</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1,577,840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1,898,227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1,824,900</w:t>
            </w:r>
          </w:p>
        </w:tc>
        <w:tc>
          <w:tcPr>
            <w:tcW w:w="170" w:type="dxa"/>
            <w:tcBorders/>
            <w:shd w:fill="auto" w:val="clear"/>
            <w:vAlign w:val="center"/>
          </w:tcPr>
          <w:p>
            <w:pPr>
              <w:pStyle w:val="TableContents"/>
              <w:spacing w:before="0" w:after="283"/>
              <w:rPr/>
            </w:pPr>
            <w:r>
              <w:rPr/>
              <w:t> </w:t>
            </w:r>
          </w:p>
        </w:tc>
      </w:tr>
      <w:tr>
        <w:trPr/>
        <w:tc>
          <w:tcPr>
            <w:tcW w:w="48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85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Compensation Actually Paid (CAP)</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0"/>
              <w:rPr>
                <w:b/>
                <w:spacing w:val="0"/>
              </w:rPr>
            </w:pPr>
            <w:r>
              <w:rPr>
                <w:b/>
                <w:spacing w:val="0"/>
              </w:rPr>
              <w:t>$</w:t>
            </w:r>
          </w:p>
        </w:tc>
        <w:tc>
          <w:tcPr>
            <w:tcW w:w="980" w:type="dxa"/>
            <w:tcBorders/>
            <w:shd w:fill="CCEEFF" w:val="clear"/>
            <w:vAlign w:val="center"/>
          </w:tcPr>
          <w:p>
            <w:pPr>
              <w:pStyle w:val="TableContents"/>
              <w:spacing w:before="0" w:after="0"/>
              <w:jc w:val="right"/>
              <w:rPr>
                <w:b/>
                <w:spacing w:val="0"/>
              </w:rPr>
            </w:pPr>
            <w:r>
              <w:rPr>
                <w:b/>
                <w:spacing w:val="0"/>
              </w:rPr>
              <w:t>2,220,007</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0"/>
              <w:rPr>
                <w:b/>
                <w:spacing w:val="0"/>
              </w:rPr>
            </w:pPr>
            <w:r>
              <w:rPr>
                <w:b/>
                <w:spacing w:val="0"/>
              </w:rPr>
              <w:t>$</w:t>
            </w:r>
          </w:p>
        </w:tc>
        <w:tc>
          <w:tcPr>
            <w:tcW w:w="980" w:type="dxa"/>
            <w:tcBorders/>
            <w:shd w:fill="CCEEFF" w:val="clear"/>
            <w:vAlign w:val="center"/>
          </w:tcPr>
          <w:p>
            <w:pPr>
              <w:pStyle w:val="TableContents"/>
              <w:spacing w:before="0" w:after="0"/>
              <w:jc w:val="right"/>
              <w:rPr>
                <w:b/>
                <w:spacing w:val="0"/>
              </w:rPr>
            </w:pPr>
            <w:r>
              <w:rPr>
                <w:b/>
                <w:spacing w:val="0"/>
              </w:rPr>
              <w:t>2,894,741</w:t>
            </w:r>
          </w:p>
        </w:tc>
        <w:tc>
          <w:tcPr>
            <w:tcW w:w="155"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283"/>
              <w:rPr/>
            </w:pPr>
            <w:r>
              <w:rPr/>
              <w:t>  </w:t>
            </w:r>
          </w:p>
        </w:tc>
        <w:tc>
          <w:tcPr>
            <w:tcW w:w="215" w:type="dxa"/>
            <w:tcBorders/>
            <w:shd w:fill="CCEEFF" w:val="clear"/>
            <w:vAlign w:val="center"/>
          </w:tcPr>
          <w:p>
            <w:pPr>
              <w:pStyle w:val="TableContents"/>
              <w:spacing w:before="0" w:after="0"/>
              <w:rPr>
                <w:b/>
                <w:spacing w:val="0"/>
              </w:rPr>
            </w:pPr>
            <w:r>
              <w:rPr>
                <w:b/>
                <w:spacing w:val="0"/>
              </w:rPr>
              <w:t>$</w:t>
            </w:r>
          </w:p>
        </w:tc>
        <w:tc>
          <w:tcPr>
            <w:tcW w:w="980" w:type="dxa"/>
            <w:tcBorders/>
            <w:shd w:fill="CCEEFF" w:val="clear"/>
            <w:vAlign w:val="center"/>
          </w:tcPr>
          <w:p>
            <w:pPr>
              <w:pStyle w:val="TableContents"/>
              <w:spacing w:before="0" w:after="0"/>
              <w:jc w:val="right"/>
              <w:rPr>
                <w:b/>
                <w:spacing w:val="0"/>
              </w:rPr>
            </w:pPr>
            <w:r>
              <w:rPr>
                <w:b/>
                <w:spacing w:val="0"/>
              </w:rPr>
              <w:t>2,865,459</w:t>
            </w:r>
          </w:p>
        </w:tc>
        <w:tc>
          <w:tcPr>
            <w:tcW w:w="170" w:type="dxa"/>
            <w:tcBorders/>
            <w:shd w:fill="CCEEFF" w:val="clear"/>
            <w:vAlign w:val="center"/>
          </w:tcPr>
          <w:p>
            <w:pPr>
              <w:pStyle w:val="TableContents"/>
              <w:spacing w:before="0" w:after="0"/>
              <w:rPr>
                <w:spacing w:val="0"/>
              </w:rPr>
            </w:pPr>
            <w:r>
              <w:rPr>
                <w:spacing w:val="0"/>
              </w:rPr>
              <w:t> </w:t>
            </w:r>
          </w:p>
        </w:tc>
      </w:tr>
      <w:tr>
        <w:trPr/>
        <w:tc>
          <w:tcPr>
            <w:tcW w:w="48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7750" w:type="dxa"/>
        <w:jc w:val="left"/>
        <w:tblInd w:w="0" w:type="dxa"/>
        <w:tblCellMar>
          <w:top w:w="0" w:type="dxa"/>
          <w:left w:w="0" w:type="dxa"/>
          <w:bottom w:w="0" w:type="dxa"/>
          <w:right w:w="0" w:type="dxa"/>
        </w:tblCellMar>
      </w:tblPr>
      <w:tblGrid>
        <w:gridCol w:w="290"/>
        <w:gridCol w:w="7460"/>
      </w:tblGrid>
      <w:tr>
        <w:trPr/>
        <w:tc>
          <w:tcPr>
            <w:tcW w:w="290" w:type="dxa"/>
            <w:tcBorders/>
            <w:shd w:fill="auto" w:val="clear"/>
            <w:vAlign w:val="center"/>
          </w:tcPr>
          <w:p>
            <w:pPr>
              <w:pStyle w:val="TableContents"/>
              <w:spacing w:before="0" w:after="283"/>
              <w:jc w:val="left"/>
              <w:rPr/>
            </w:pPr>
            <w:r>
              <w:rPr/>
              <w:t>(a)</w:t>
            </w:r>
          </w:p>
        </w:tc>
        <w:tc>
          <w:tcPr>
            <w:tcW w:w="74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amounts deducted or added in calculating the equity award adjustments are as follows: </w:t>
            </w:r>
          </w:p>
        </w:tc>
      </w:tr>
    </w:tbl>
    <w:p>
      <w:pPr>
        <w:pStyle w:val="TextBody"/>
        <w:spacing w:before="0" w:after="0"/>
        <w:jc w:val="left"/>
        <w:rPr>
          <w:highlight w:val="white"/>
        </w:rPr>
      </w:pPr>
      <w:r>
        <w:rPr>
          <w:highlight w:val="white"/>
        </w:rPr>
        <w:t> </w:t>
      </w:r>
    </w:p>
    <w:tbl>
      <w:tblPr>
        <w:tblW w:w="10665" w:type="dxa"/>
        <w:jc w:val="left"/>
        <w:tblInd w:w="0" w:type="dxa"/>
        <w:tblCellMar>
          <w:top w:w="0" w:type="dxa"/>
          <w:left w:w="0" w:type="dxa"/>
          <w:bottom w:w="0" w:type="dxa"/>
          <w:right w:w="0" w:type="dxa"/>
        </w:tblCellMar>
      </w:tblPr>
      <w:tblGrid>
        <w:gridCol w:w="455"/>
        <w:gridCol w:w="120"/>
        <w:gridCol w:w="197"/>
        <w:gridCol w:w="1383"/>
        <w:gridCol w:w="60"/>
        <w:gridCol w:w="120"/>
        <w:gridCol w:w="268"/>
        <w:gridCol w:w="1537"/>
        <w:gridCol w:w="155"/>
        <w:gridCol w:w="60"/>
        <w:gridCol w:w="246"/>
        <w:gridCol w:w="1199"/>
        <w:gridCol w:w="155"/>
        <w:gridCol w:w="60"/>
        <w:gridCol w:w="204"/>
        <w:gridCol w:w="1166"/>
        <w:gridCol w:w="60"/>
        <w:gridCol w:w="120"/>
        <w:gridCol w:w="262"/>
        <w:gridCol w:w="1273"/>
        <w:gridCol w:w="60"/>
        <w:gridCol w:w="120"/>
        <w:gridCol w:w="163"/>
        <w:gridCol w:w="1147"/>
        <w:gridCol w:w="75"/>
      </w:tblGrid>
      <w:tr>
        <w:trPr/>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0"/>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shd w:fill="auto" w:val="clear"/>
            <w:vAlign w:val="center"/>
          </w:tcPr>
          <w:p>
            <w:pPr>
              <w:pStyle w:val="TableContents"/>
              <w:spacing w:before="0" w:after="283"/>
              <w:rPr/>
            </w:pPr>
            <w:r>
              <w:rPr/>
              <w:t>  </w:t>
            </w:r>
          </w:p>
        </w:tc>
        <w:tc>
          <w:tcPr>
            <w:tcW w:w="158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 Year</w:t>
            </w:r>
          </w:p>
          <w:p>
            <w:pPr>
              <w:pStyle w:val="TableContents"/>
              <w:spacing w:before="0" w:after="0"/>
              <w:jc w:val="center"/>
              <w:rPr/>
            </w:pPr>
            <w:r>
              <w:rPr/>
            </w:r>
          </w:p>
          <w:p>
            <w:pPr>
              <w:pStyle w:val="TableContents"/>
              <w:spacing w:before="0" w:after="0"/>
              <w:jc w:val="center"/>
              <w:rPr>
                <w:b/>
                <w:spacing w:val="0"/>
              </w:rPr>
            </w:pPr>
            <w:r>
              <w:rPr>
                <w:b/>
                <w:spacing w:val="0"/>
              </w:rPr>
              <w:t>End Fair</w:t>
            </w:r>
          </w:p>
          <w:p>
            <w:pPr>
              <w:pStyle w:val="TableContents"/>
              <w:spacing w:before="0" w:after="0"/>
              <w:jc w:val="center"/>
              <w:rPr/>
            </w:pPr>
            <w:r>
              <w:rPr/>
            </w:r>
          </w:p>
          <w:p>
            <w:pPr>
              <w:pStyle w:val="TableContents"/>
              <w:spacing w:before="0" w:after="0"/>
              <w:jc w:val="center"/>
              <w:rPr>
                <w:b/>
                <w:spacing w:val="0"/>
              </w:rPr>
            </w:pPr>
            <w:r>
              <w:rPr>
                <w:b/>
                <w:spacing w:val="0"/>
              </w:rPr>
              <w:t>Value of</w:t>
            </w:r>
          </w:p>
          <w:p>
            <w:pPr>
              <w:pStyle w:val="TableContents"/>
              <w:spacing w:before="0" w:after="0"/>
              <w:jc w:val="center"/>
              <w:rPr/>
            </w:pPr>
            <w:r>
              <w:rPr/>
            </w:r>
          </w:p>
          <w:p>
            <w:pPr>
              <w:pStyle w:val="TableContents"/>
              <w:spacing w:before="0" w:after="0"/>
              <w:jc w:val="center"/>
              <w:rPr>
                <w:b/>
                <w:spacing w:val="0"/>
              </w:rPr>
            </w:pPr>
            <w:r>
              <w:rPr>
                <w:b/>
                <w:spacing w:val="0"/>
              </w:rPr>
              <w:t>Equity Awards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0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 Year</w:t>
            </w:r>
          </w:p>
          <w:p>
            <w:pPr>
              <w:pStyle w:val="TableContents"/>
              <w:spacing w:before="0" w:after="0"/>
              <w:jc w:val="center"/>
              <w:rPr/>
            </w:pPr>
            <w:r>
              <w:rPr/>
            </w:r>
          </w:p>
          <w:p>
            <w:pPr>
              <w:pStyle w:val="TableContents"/>
              <w:spacing w:before="0" w:after="0"/>
              <w:jc w:val="center"/>
              <w:rPr>
                <w:b/>
                <w:spacing w:val="0"/>
              </w:rPr>
            </w:pPr>
            <w:r>
              <w:rPr>
                <w:b/>
                <w:spacing w:val="0"/>
              </w:rPr>
              <w:t>over Year</w:t>
            </w:r>
          </w:p>
          <w:p>
            <w:pPr>
              <w:pStyle w:val="TableContents"/>
              <w:spacing w:before="0" w:after="0"/>
              <w:jc w:val="center"/>
              <w:rPr/>
            </w:pPr>
            <w:r>
              <w:rPr/>
            </w:r>
          </w:p>
          <w:p>
            <w:pPr>
              <w:pStyle w:val="TableContents"/>
              <w:spacing w:before="0" w:after="0"/>
              <w:jc w:val="center"/>
              <w:rPr>
                <w:b/>
                <w:spacing w:val="0"/>
              </w:rPr>
            </w:pPr>
            <w:r>
              <w:rPr>
                <w:b/>
                <w:spacing w:val="0"/>
              </w:rPr>
              <w:t>Change in Fair</w:t>
            </w:r>
          </w:p>
          <w:p>
            <w:pPr>
              <w:pStyle w:val="TableContents"/>
              <w:spacing w:before="0" w:after="0"/>
              <w:jc w:val="center"/>
              <w:rPr/>
            </w:pPr>
            <w:r>
              <w:rPr/>
            </w:r>
          </w:p>
          <w:p>
            <w:pPr>
              <w:pStyle w:val="TableContents"/>
              <w:spacing w:before="0" w:after="0"/>
              <w:jc w:val="center"/>
              <w:rPr>
                <w:b/>
                <w:spacing w:val="0"/>
              </w:rPr>
            </w:pPr>
            <w:r>
              <w:rPr>
                <w:b/>
                <w:spacing w:val="0"/>
              </w:rPr>
              <w:t>Value of Equity</w:t>
            </w:r>
          </w:p>
          <w:p>
            <w:pPr>
              <w:pStyle w:val="TableContents"/>
              <w:spacing w:before="0" w:after="0"/>
              <w:jc w:val="center"/>
              <w:rPr/>
            </w:pPr>
            <w:r>
              <w:rPr/>
            </w:r>
          </w:p>
          <w:p>
            <w:pPr>
              <w:pStyle w:val="TableContents"/>
              <w:spacing w:before="0" w:after="0"/>
              <w:jc w:val="center"/>
              <w:rPr>
                <w:b/>
                <w:spacing w:val="0"/>
              </w:rPr>
            </w:pPr>
            <w:r>
              <w:rPr>
                <w:b/>
                <w:spacing w:val="0"/>
              </w:rPr>
              <w:t>Awards Granted</w:t>
            </w:r>
          </w:p>
          <w:p>
            <w:pPr>
              <w:pStyle w:val="TableContents"/>
              <w:spacing w:before="0" w:after="0"/>
              <w:jc w:val="center"/>
              <w:rPr/>
            </w:pPr>
            <w:r>
              <w:rPr/>
            </w:r>
          </w:p>
          <w:p>
            <w:pPr>
              <w:pStyle w:val="TableContents"/>
              <w:spacing w:before="0" w:after="0"/>
              <w:jc w:val="center"/>
              <w:rPr>
                <w:b/>
                <w:spacing w:val="0"/>
              </w:rPr>
            </w:pPr>
            <w:r>
              <w:rPr>
                <w:b/>
                <w:spacing w:val="0"/>
              </w:rPr>
              <w:t>in Prior Years</w:t>
            </w:r>
          </w:p>
          <w:p>
            <w:pPr>
              <w:pStyle w:val="TableContents"/>
              <w:spacing w:before="0" w:after="0"/>
              <w:jc w:val="center"/>
              <w:rPr/>
            </w:pPr>
            <w:r>
              <w:rPr/>
            </w:r>
          </w:p>
          <w:p>
            <w:pPr>
              <w:pStyle w:val="TableContents"/>
              <w:spacing w:before="0" w:after="0"/>
              <w:jc w:val="center"/>
              <w:rPr>
                <w:b/>
                <w:spacing w:val="0"/>
              </w:rPr>
            </w:pPr>
            <w:r>
              <w:rPr>
                <w:b/>
                <w:spacing w:val="0"/>
              </w:rPr>
              <w:t>that Vested in the</w:t>
            </w:r>
          </w:p>
          <w:p>
            <w:pPr>
              <w:pStyle w:val="TableContents"/>
              <w:spacing w:before="0" w:after="0"/>
              <w:jc w:val="center"/>
              <w:rPr/>
            </w:pPr>
            <w:r>
              <w:rPr/>
            </w:r>
          </w:p>
          <w:p>
            <w:pPr>
              <w:pStyle w:val="TableContents"/>
              <w:spacing w:before="0" w:after="0"/>
              <w:jc w:val="center"/>
              <w:rPr>
                <w:b/>
                <w:spacing w:val="0"/>
              </w:rPr>
            </w:pPr>
            <w:r>
              <w:rPr>
                <w:b/>
                <w:spacing w:val="0"/>
              </w:rPr>
              <w:t>Year</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4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Year over</w:t>
            </w:r>
          </w:p>
          <w:p>
            <w:pPr>
              <w:pStyle w:val="TableContents"/>
              <w:spacing w:before="0" w:after="0"/>
              <w:jc w:val="center"/>
              <w:rPr/>
            </w:pPr>
            <w:r>
              <w:rPr/>
            </w:r>
          </w:p>
          <w:p>
            <w:pPr>
              <w:pStyle w:val="TableContents"/>
              <w:spacing w:before="0" w:after="0"/>
              <w:jc w:val="center"/>
              <w:rPr>
                <w:b/>
                <w:spacing w:val="0"/>
              </w:rPr>
            </w:pPr>
            <w:r>
              <w:rPr>
                <w:b/>
                <w:spacing w:val="0"/>
              </w:rPr>
              <w:t>Year Average</w:t>
            </w:r>
          </w:p>
          <w:p>
            <w:pPr>
              <w:pStyle w:val="TableContents"/>
              <w:spacing w:before="0" w:after="0"/>
              <w:jc w:val="center"/>
              <w:rPr/>
            </w:pPr>
            <w:r>
              <w:rPr/>
            </w:r>
          </w:p>
          <w:p>
            <w:pPr>
              <w:pStyle w:val="TableContents"/>
              <w:spacing w:before="0" w:after="0"/>
              <w:jc w:val="center"/>
              <w:rPr>
                <w:b/>
                <w:spacing w:val="0"/>
              </w:rPr>
            </w:pPr>
            <w:r>
              <w:rPr>
                <w:b/>
                <w:spacing w:val="0"/>
              </w:rPr>
              <w:t>Change in</w:t>
            </w:r>
          </w:p>
          <w:p>
            <w:pPr>
              <w:pStyle w:val="TableContents"/>
              <w:spacing w:before="0" w:after="0"/>
              <w:jc w:val="center"/>
              <w:rPr/>
            </w:pPr>
            <w:r>
              <w:rPr/>
            </w:r>
          </w:p>
          <w:p>
            <w:pPr>
              <w:pStyle w:val="TableContents"/>
              <w:spacing w:before="0" w:after="0"/>
              <w:jc w:val="center"/>
              <w:rPr>
                <w:b/>
                <w:spacing w:val="0"/>
              </w:rPr>
            </w:pPr>
            <w:r>
              <w:rPr>
                <w:b/>
                <w:spacing w:val="0"/>
              </w:rPr>
              <w:t>Fair Value of</w:t>
            </w:r>
          </w:p>
          <w:p>
            <w:pPr>
              <w:pStyle w:val="TableContents"/>
              <w:spacing w:before="0" w:after="0"/>
              <w:jc w:val="center"/>
              <w:rPr/>
            </w:pPr>
            <w:r>
              <w:rPr/>
            </w:r>
          </w:p>
          <w:p>
            <w:pPr>
              <w:pStyle w:val="TableContents"/>
              <w:spacing w:before="0" w:after="0"/>
              <w:jc w:val="center"/>
              <w:rPr>
                <w:b/>
                <w:spacing w:val="0"/>
              </w:rPr>
            </w:pPr>
            <w:r>
              <w:rPr>
                <w:b/>
                <w:spacing w:val="0"/>
              </w:rPr>
              <w:t>Outstanding</w:t>
            </w:r>
          </w:p>
          <w:p>
            <w:pPr>
              <w:pStyle w:val="TableContents"/>
              <w:spacing w:before="0" w:after="0"/>
              <w:jc w:val="center"/>
              <w:rPr/>
            </w:pPr>
            <w:r>
              <w:rPr/>
            </w:r>
          </w:p>
          <w:p>
            <w:pPr>
              <w:pStyle w:val="TableContents"/>
              <w:spacing w:before="0" w:after="0"/>
              <w:jc w:val="center"/>
              <w:rPr>
                <w:b/>
                <w:spacing w:val="0"/>
              </w:rPr>
            </w:pPr>
            <w:r>
              <w:rPr>
                <w:b/>
                <w:spacing w:val="0"/>
              </w:rPr>
              <w:t>and Unvested</w:t>
            </w:r>
          </w:p>
          <w:p>
            <w:pPr>
              <w:pStyle w:val="TableContents"/>
              <w:spacing w:before="0" w:after="0"/>
              <w:jc w:val="center"/>
              <w:rPr/>
            </w:pPr>
            <w:r>
              <w:rPr/>
            </w:r>
          </w:p>
          <w:p>
            <w:pPr>
              <w:pStyle w:val="TableContents"/>
              <w:spacing w:before="0" w:after="0"/>
              <w:jc w:val="center"/>
              <w:rPr>
                <w:b/>
                <w:spacing w:val="0"/>
              </w:rPr>
            </w:pPr>
            <w:r>
              <w:rPr>
                <w:b/>
                <w:spacing w:val="0"/>
              </w:rPr>
              <w:t>Equity</w:t>
            </w:r>
          </w:p>
          <w:p>
            <w:pPr>
              <w:pStyle w:val="TableContents"/>
              <w:spacing w:before="0" w:after="0"/>
              <w:jc w:val="center"/>
              <w:rPr/>
            </w:pPr>
            <w:r>
              <w:rPr/>
            </w:r>
          </w:p>
          <w:p>
            <w:pPr>
              <w:pStyle w:val="TableContents"/>
              <w:spacing w:before="0" w:after="0"/>
              <w:jc w:val="center"/>
              <w:rPr>
                <w:b/>
                <w:spacing w:val="0"/>
              </w:rPr>
            </w:pPr>
            <w:r>
              <w:rPr>
                <w:b/>
                <w:spacing w:val="0"/>
              </w:rPr>
              <w:t>Awards</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 Fair</w:t>
            </w:r>
          </w:p>
          <w:p>
            <w:pPr>
              <w:pStyle w:val="TableContents"/>
              <w:spacing w:before="0" w:after="0"/>
              <w:jc w:val="center"/>
              <w:rPr/>
            </w:pPr>
            <w:r>
              <w:rPr/>
            </w:r>
          </w:p>
          <w:p>
            <w:pPr>
              <w:pStyle w:val="TableContents"/>
              <w:spacing w:before="0" w:after="0"/>
              <w:jc w:val="center"/>
              <w:rPr>
                <w:b/>
                <w:spacing w:val="0"/>
              </w:rPr>
            </w:pPr>
            <w:r>
              <w:rPr>
                <w:b/>
                <w:spacing w:val="0"/>
              </w:rPr>
              <w:t>Value as of</w:t>
            </w:r>
          </w:p>
          <w:p>
            <w:pPr>
              <w:pStyle w:val="TableContents"/>
              <w:spacing w:before="0" w:after="0"/>
              <w:jc w:val="center"/>
              <w:rPr/>
            </w:pPr>
            <w:r>
              <w:rPr/>
            </w:r>
          </w:p>
          <w:p>
            <w:pPr>
              <w:pStyle w:val="TableContents"/>
              <w:spacing w:before="0" w:after="0"/>
              <w:jc w:val="center"/>
              <w:rPr>
                <w:b/>
                <w:spacing w:val="0"/>
              </w:rPr>
            </w:pPr>
            <w:r>
              <w:rPr>
                <w:b/>
                <w:spacing w:val="0"/>
              </w:rPr>
              <w:t>Vesting Date</w:t>
            </w:r>
          </w:p>
          <w:p>
            <w:pPr>
              <w:pStyle w:val="TableContents"/>
              <w:spacing w:before="0" w:after="0"/>
              <w:jc w:val="center"/>
              <w:rPr/>
            </w:pPr>
            <w:r>
              <w:rPr/>
            </w:r>
          </w:p>
          <w:p>
            <w:pPr>
              <w:pStyle w:val="TableContents"/>
              <w:spacing w:before="0" w:after="0"/>
              <w:jc w:val="center"/>
              <w:rPr>
                <w:b/>
                <w:spacing w:val="0"/>
              </w:rPr>
            </w:pPr>
            <w:r>
              <w:rPr>
                <w:b/>
                <w:spacing w:val="0"/>
              </w:rPr>
              <w:t>of Equity</w:t>
            </w:r>
          </w:p>
          <w:p>
            <w:pPr>
              <w:pStyle w:val="TableContents"/>
              <w:spacing w:before="0" w:after="0"/>
              <w:jc w:val="center"/>
              <w:rPr/>
            </w:pPr>
            <w:r>
              <w:rPr/>
            </w:r>
          </w:p>
          <w:p>
            <w:pPr>
              <w:pStyle w:val="TableContents"/>
              <w:spacing w:before="0" w:after="0"/>
              <w:jc w:val="center"/>
              <w:rPr>
                <w:b/>
                <w:spacing w:val="0"/>
              </w:rPr>
            </w:pPr>
            <w:r>
              <w:rPr>
                <w:b/>
                <w:spacing w:val="0"/>
              </w:rPr>
              <w:t>Awards</w:t>
            </w:r>
          </w:p>
          <w:p>
            <w:pPr>
              <w:pStyle w:val="TableContents"/>
              <w:spacing w:before="0" w:after="0"/>
              <w:jc w:val="center"/>
              <w:rPr/>
            </w:pPr>
            <w:r>
              <w:rPr/>
            </w:r>
          </w:p>
          <w:p>
            <w:pPr>
              <w:pStyle w:val="TableContents"/>
              <w:spacing w:before="0" w:after="0"/>
              <w:jc w:val="center"/>
              <w:rPr>
                <w:b/>
                <w:spacing w:val="0"/>
              </w:rPr>
            </w:pPr>
            <w:r>
              <w:rPr>
                <w:b/>
                <w:spacing w:val="0"/>
              </w:rPr>
              <w:t>Granted and</w:t>
            </w:r>
          </w:p>
          <w:p>
            <w:pPr>
              <w:pStyle w:val="TableContents"/>
              <w:spacing w:before="0" w:after="0"/>
              <w:jc w:val="center"/>
              <w:rPr/>
            </w:pPr>
            <w:r>
              <w:rPr/>
            </w:r>
          </w:p>
          <w:p>
            <w:pPr>
              <w:pStyle w:val="TableContents"/>
              <w:spacing w:before="0" w:after="0"/>
              <w:jc w:val="center"/>
              <w:rPr>
                <w:b/>
                <w:spacing w:val="0"/>
              </w:rPr>
            </w:pPr>
            <w:r>
              <w:rPr>
                <w:b/>
                <w:spacing w:val="0"/>
              </w:rPr>
              <w:t>Vested in the</w:t>
            </w:r>
          </w:p>
          <w:p>
            <w:pPr>
              <w:pStyle w:val="TableContents"/>
              <w:spacing w:before="0" w:after="0"/>
              <w:jc w:val="center"/>
              <w:rPr/>
            </w:pPr>
            <w:r>
              <w:rPr/>
            </w:r>
          </w:p>
          <w:p>
            <w:pPr>
              <w:pStyle w:val="TableContents"/>
              <w:spacing w:before="0" w:after="0"/>
              <w:jc w:val="center"/>
              <w:rPr>
                <w:b/>
                <w:spacing w:val="0"/>
              </w:rPr>
            </w:pPr>
            <w:r>
              <w:rPr>
                <w:b/>
                <w:spacing w:val="0"/>
              </w:rPr>
              <w:t>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Average Value</w:t>
            </w:r>
          </w:p>
          <w:p>
            <w:pPr>
              <w:pStyle w:val="TableContents"/>
              <w:spacing w:before="0" w:after="0"/>
              <w:jc w:val="center"/>
              <w:rPr/>
            </w:pPr>
            <w:r>
              <w:rPr/>
            </w:r>
          </w:p>
          <w:p>
            <w:pPr>
              <w:pStyle w:val="TableContents"/>
              <w:spacing w:before="0" w:after="0"/>
              <w:jc w:val="center"/>
              <w:rPr>
                <w:b/>
                <w:spacing w:val="0"/>
              </w:rPr>
            </w:pPr>
            <w:r>
              <w:rPr>
                <w:b/>
                <w:spacing w:val="0"/>
              </w:rPr>
              <w:t>of Dividends</w:t>
            </w:r>
          </w:p>
          <w:p>
            <w:pPr>
              <w:pStyle w:val="TableContents"/>
              <w:spacing w:before="0" w:after="0"/>
              <w:jc w:val="center"/>
              <w:rPr/>
            </w:pPr>
            <w:r>
              <w:rPr/>
            </w:r>
          </w:p>
          <w:p>
            <w:pPr>
              <w:pStyle w:val="TableContents"/>
              <w:spacing w:before="0" w:after="0"/>
              <w:jc w:val="center"/>
              <w:rPr>
                <w:b/>
                <w:spacing w:val="0"/>
              </w:rPr>
            </w:pPr>
            <w:r>
              <w:rPr>
                <w:b/>
                <w:spacing w:val="0"/>
              </w:rPr>
              <w:t>Paid and not</w:t>
            </w:r>
          </w:p>
          <w:p>
            <w:pPr>
              <w:pStyle w:val="TableContents"/>
              <w:spacing w:before="0" w:after="0"/>
              <w:jc w:val="center"/>
              <w:rPr/>
            </w:pPr>
            <w:r>
              <w:rPr/>
            </w:r>
          </w:p>
          <w:p>
            <w:pPr>
              <w:pStyle w:val="TableContents"/>
              <w:spacing w:before="0" w:after="0"/>
              <w:jc w:val="center"/>
              <w:rPr>
                <w:b/>
                <w:spacing w:val="0"/>
              </w:rPr>
            </w:pPr>
            <w:r>
              <w:rPr>
                <w:b/>
                <w:spacing w:val="0"/>
              </w:rPr>
              <w:t>Otherwise</w:t>
            </w:r>
          </w:p>
          <w:p>
            <w:pPr>
              <w:pStyle w:val="TableContents"/>
              <w:spacing w:before="0" w:after="0"/>
              <w:jc w:val="center"/>
              <w:rPr/>
            </w:pPr>
            <w:r>
              <w:rPr/>
            </w:r>
          </w:p>
          <w:p>
            <w:pPr>
              <w:pStyle w:val="TableContents"/>
              <w:spacing w:before="0" w:after="0"/>
              <w:jc w:val="center"/>
              <w:rPr>
                <w:b/>
                <w:spacing w:val="0"/>
              </w:rPr>
            </w:pPr>
            <w:r>
              <w:rPr>
                <w:b/>
                <w:spacing w:val="0"/>
              </w:rPr>
              <w:t>Reflected in</w:t>
            </w:r>
          </w:p>
          <w:p>
            <w:pPr>
              <w:pStyle w:val="TableContents"/>
              <w:spacing w:before="0" w:after="0"/>
              <w:jc w:val="center"/>
              <w:rPr/>
            </w:pPr>
            <w:r>
              <w:rPr/>
            </w:r>
          </w:p>
          <w:p>
            <w:pPr>
              <w:pStyle w:val="TableContents"/>
              <w:spacing w:before="0" w:after="0"/>
              <w:jc w:val="center"/>
              <w:rPr>
                <w:b/>
                <w:spacing w:val="0"/>
              </w:rPr>
            </w:pPr>
            <w:r>
              <w:rPr>
                <w:b/>
                <w:spacing w:val="0"/>
              </w:rPr>
              <w:t>Fair Value or</w:t>
            </w:r>
          </w:p>
          <w:p>
            <w:pPr>
              <w:pStyle w:val="TableContents"/>
              <w:spacing w:before="0" w:after="0"/>
              <w:jc w:val="center"/>
              <w:rPr/>
            </w:pPr>
            <w:r>
              <w:rPr/>
            </w:r>
          </w:p>
          <w:p>
            <w:pPr>
              <w:pStyle w:val="TableContents"/>
              <w:spacing w:before="0" w:after="0"/>
              <w:jc w:val="center"/>
              <w:rPr>
                <w:b/>
                <w:spacing w:val="0"/>
              </w:rPr>
            </w:pPr>
            <w:r>
              <w:rPr>
                <w:b/>
                <w:spacing w:val="0"/>
              </w:rPr>
              <w:t>Total</w:t>
            </w:r>
          </w:p>
          <w:p>
            <w:pPr>
              <w:pStyle w:val="TableContents"/>
              <w:spacing w:before="0" w:after="0"/>
              <w:jc w:val="center"/>
              <w:rPr/>
            </w:pPr>
            <w:r>
              <w:rPr/>
            </w:r>
          </w:p>
          <w:p>
            <w:pPr>
              <w:pStyle w:val="TableContents"/>
              <w:spacing w:before="0" w:after="0"/>
              <w:jc w:val="center"/>
              <w:rPr>
                <w:b/>
                <w:spacing w:val="0"/>
              </w:rPr>
            </w:pPr>
            <w:r>
              <w:rPr>
                <w:b/>
                <w:spacing w:val="0"/>
              </w:rPr>
              <w:t>Compensation</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1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Total</w:t>
            </w:r>
          </w:p>
          <w:p>
            <w:pPr>
              <w:pStyle w:val="TableContents"/>
              <w:spacing w:before="0" w:after="0"/>
              <w:jc w:val="center"/>
              <w:rPr/>
            </w:pPr>
            <w:r>
              <w:rPr/>
            </w:r>
          </w:p>
          <w:p>
            <w:pPr>
              <w:pStyle w:val="TableContents"/>
              <w:spacing w:before="0" w:after="0"/>
              <w:jc w:val="center"/>
              <w:rPr>
                <w:b/>
                <w:spacing w:val="0"/>
              </w:rPr>
            </w:pPr>
            <w:r>
              <w:rPr>
                <w:b/>
                <w:spacing w:val="0"/>
              </w:rPr>
              <w:t>Average</w:t>
            </w:r>
          </w:p>
          <w:p>
            <w:pPr>
              <w:pStyle w:val="TableContents"/>
              <w:spacing w:before="0" w:after="0"/>
              <w:jc w:val="center"/>
              <w:rPr/>
            </w:pPr>
            <w:r>
              <w:rPr/>
            </w:r>
          </w:p>
          <w:p>
            <w:pPr>
              <w:pStyle w:val="TableContents"/>
              <w:spacing w:before="0" w:after="0"/>
              <w:jc w:val="center"/>
              <w:rPr>
                <w:b/>
                <w:spacing w:val="0"/>
              </w:rPr>
            </w:pPr>
            <w:r>
              <w:rPr>
                <w:b/>
                <w:spacing w:val="0"/>
              </w:rPr>
              <w:t>Equity</w:t>
            </w:r>
          </w:p>
          <w:p>
            <w:pPr>
              <w:pStyle w:val="TableContents"/>
              <w:spacing w:before="0" w:after="0"/>
              <w:jc w:val="center"/>
              <w:rPr/>
            </w:pPr>
            <w:r>
              <w:rPr/>
            </w:r>
          </w:p>
          <w:p>
            <w:pPr>
              <w:pStyle w:val="TableContents"/>
              <w:spacing w:before="0" w:after="0"/>
              <w:jc w:val="center"/>
              <w:rPr>
                <w:b/>
                <w:spacing w:val="0"/>
              </w:rPr>
            </w:pPr>
            <w:r>
              <w:rPr>
                <w:b/>
                <w:spacing w:val="0"/>
              </w:rPr>
              <w:t>Award</w:t>
            </w:r>
          </w:p>
          <w:p>
            <w:pPr>
              <w:pStyle w:val="TableContents"/>
              <w:spacing w:before="0" w:after="0"/>
              <w:jc w:val="center"/>
              <w:rPr/>
            </w:pPr>
            <w:r>
              <w:rPr/>
            </w:r>
          </w:p>
          <w:p>
            <w:pPr>
              <w:pStyle w:val="TableContents"/>
              <w:spacing w:before="0" w:after="0"/>
              <w:jc w:val="center"/>
              <w:rPr>
                <w:b/>
                <w:spacing w:val="0"/>
              </w:rPr>
            </w:pPr>
            <w:r>
              <w:rPr>
                <w:b/>
                <w:spacing w:val="0"/>
              </w:rPr>
              <w:t>Adjustments</w:t>
            </w:r>
          </w:p>
        </w:tc>
        <w:tc>
          <w:tcPr>
            <w:tcW w:w="75" w:type="dxa"/>
            <w:tcBorders/>
            <w:shd w:fill="auto" w:val="clear"/>
            <w:vAlign w:val="center"/>
          </w:tcPr>
          <w:p>
            <w:pPr>
              <w:pStyle w:val="TableContents"/>
              <w:spacing w:before="0" w:after="283"/>
              <w:rPr/>
            </w:pPr>
            <w:r>
              <w:rPr/>
              <w:t> </w:t>
            </w:r>
          </w:p>
        </w:tc>
      </w:tr>
      <w:tr>
        <w:trPr/>
        <w:tc>
          <w:tcPr>
            <w:tcW w:w="4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2020</w:t>
            </w:r>
          </w:p>
        </w:tc>
        <w:tc>
          <w:tcPr>
            <w:tcW w:w="12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w:t>
            </w:r>
          </w:p>
        </w:tc>
        <w:tc>
          <w:tcPr>
            <w:tcW w:w="1383" w:type="dxa"/>
            <w:tcBorders/>
            <w:shd w:fill="CCEEFF" w:val="clear"/>
            <w:vAlign w:val="center"/>
          </w:tcPr>
          <w:p>
            <w:pPr>
              <w:pStyle w:val="TableContents"/>
              <w:spacing w:before="0" w:after="283"/>
              <w:jc w:val="right"/>
              <w:rPr/>
            </w:pPr>
            <w:r>
              <w:rPr/>
              <w:t>1,830,840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w:t>
            </w:r>
          </w:p>
        </w:tc>
        <w:tc>
          <w:tcPr>
            <w:tcW w:w="1537" w:type="dxa"/>
            <w:tcBorders/>
            <w:shd w:fill="CCEEFF" w:val="clear"/>
            <w:vAlign w:val="center"/>
          </w:tcPr>
          <w:p>
            <w:pPr>
              <w:pStyle w:val="TableContents"/>
              <w:spacing w:before="0" w:after="283"/>
              <w:jc w:val="right"/>
              <w:rPr/>
            </w:pPr>
            <w:r>
              <w:rPr/>
              <w:t>548,878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rPr/>
            </w:pPr>
            <w:r>
              <w:rPr/>
              <w:t>($</w:t>
            </w:r>
          </w:p>
        </w:tc>
        <w:tc>
          <w:tcPr>
            <w:tcW w:w="1199" w:type="dxa"/>
            <w:tcBorders/>
            <w:shd w:fill="CCEEFF" w:val="clear"/>
            <w:vAlign w:val="center"/>
          </w:tcPr>
          <w:p>
            <w:pPr>
              <w:pStyle w:val="TableContents"/>
              <w:spacing w:before="0" w:after="283"/>
              <w:jc w:val="right"/>
              <w:rPr/>
            </w:pPr>
            <w:r>
              <w:rPr/>
              <w:t>16,263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w:t>
            </w:r>
          </w:p>
        </w:tc>
        <w:tc>
          <w:tcPr>
            <w:tcW w:w="1166" w:type="dxa"/>
            <w:tcBorders/>
            <w:shd w:fill="CCEEFF" w:val="clear"/>
            <w:vAlign w:val="center"/>
          </w:tcPr>
          <w:p>
            <w:pPr>
              <w:pStyle w:val="TableContents"/>
              <w:spacing w:before="0" w:after="283"/>
              <w:jc w:val="right"/>
              <w:rPr/>
            </w:pPr>
            <w:r>
              <w:rPr/>
              <w:t>300,023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rPr/>
            </w:pPr>
            <w:r>
              <w:rPr/>
              <w:t>$</w:t>
            </w:r>
          </w:p>
        </w:tc>
        <w:tc>
          <w:tcPr>
            <w:tcW w:w="1273" w:type="dxa"/>
            <w:tcBorders/>
            <w:shd w:fill="CCEEFF" w:val="clear"/>
            <w:vAlign w:val="center"/>
          </w:tcPr>
          <w:p>
            <w:pPr>
              <w:pStyle w:val="TableContents"/>
              <w:spacing w:before="0" w:after="283"/>
              <w:jc w:val="right"/>
              <w:rPr/>
            </w:pPr>
            <w:r>
              <w:rPr/>
              <w:t>12,117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w:t>
            </w:r>
          </w:p>
        </w:tc>
        <w:tc>
          <w:tcPr>
            <w:tcW w:w="1147" w:type="dxa"/>
            <w:tcBorders/>
            <w:shd w:fill="CCEEFF" w:val="clear"/>
            <w:vAlign w:val="center"/>
          </w:tcPr>
          <w:p>
            <w:pPr>
              <w:pStyle w:val="TableContents"/>
              <w:spacing w:before="0" w:after="283"/>
              <w:jc w:val="right"/>
              <w:rPr/>
            </w:pPr>
            <w:r>
              <w:rPr/>
              <w:t>1,577,840</w:t>
            </w:r>
          </w:p>
        </w:tc>
        <w:tc>
          <w:tcPr>
            <w:tcW w:w="75" w:type="dxa"/>
            <w:tcBorders/>
            <w:shd w:fill="CCEEFF" w:val="clear"/>
            <w:vAlign w:val="center"/>
          </w:tcPr>
          <w:p>
            <w:pPr>
              <w:pStyle w:val="TableContents"/>
              <w:spacing w:before="0" w:after="283"/>
              <w:rPr/>
            </w:pPr>
            <w:r>
              <w:rPr/>
              <w:t> </w:t>
            </w:r>
          </w:p>
        </w:tc>
      </w:tr>
      <w:tr>
        <w:trPr/>
        <w:tc>
          <w:tcPr>
            <w:tcW w:w="45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2021</w:t>
            </w:r>
          </w:p>
        </w:tc>
        <w:tc>
          <w:tcPr>
            <w:tcW w:w="12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w:t>
            </w:r>
          </w:p>
        </w:tc>
        <w:tc>
          <w:tcPr>
            <w:tcW w:w="1383" w:type="dxa"/>
            <w:tcBorders/>
            <w:shd w:fill="auto" w:val="clear"/>
            <w:vAlign w:val="center"/>
          </w:tcPr>
          <w:p>
            <w:pPr>
              <w:pStyle w:val="TableContents"/>
              <w:spacing w:before="0" w:after="283"/>
              <w:jc w:val="right"/>
              <w:rPr/>
            </w:pPr>
            <w:r>
              <w:rPr/>
              <w:t>2,668,600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w:t>
            </w:r>
          </w:p>
        </w:tc>
        <w:tc>
          <w:tcPr>
            <w:tcW w:w="1537" w:type="dxa"/>
            <w:tcBorders/>
            <w:shd w:fill="auto" w:val="clear"/>
            <w:vAlign w:val="center"/>
          </w:tcPr>
          <w:p>
            <w:pPr>
              <w:pStyle w:val="TableContents"/>
              <w:spacing w:before="0" w:after="283"/>
              <w:jc w:val="right"/>
              <w:rPr/>
            </w:pPr>
            <w:r>
              <w:rPr/>
              <w:t>777,104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6" w:type="dxa"/>
            <w:tcBorders/>
            <w:shd w:fill="auto" w:val="clear"/>
            <w:vAlign w:val="center"/>
          </w:tcPr>
          <w:p>
            <w:pPr>
              <w:pStyle w:val="TableContents"/>
              <w:spacing w:before="0" w:after="283"/>
              <w:rPr/>
            </w:pPr>
            <w:r>
              <w:rPr/>
              <w:t> </w:t>
            </w:r>
          </w:p>
        </w:tc>
        <w:tc>
          <w:tcPr>
            <w:tcW w:w="1199"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1166"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2" w:type="dxa"/>
            <w:tcBorders/>
            <w:shd w:fill="auto" w:val="clear"/>
            <w:vAlign w:val="center"/>
          </w:tcPr>
          <w:p>
            <w:pPr>
              <w:pStyle w:val="TableContents"/>
              <w:spacing w:before="0" w:after="283"/>
              <w:rPr/>
            </w:pPr>
            <w:r>
              <w:rPr/>
              <w:t>$</w:t>
            </w:r>
          </w:p>
        </w:tc>
        <w:tc>
          <w:tcPr>
            <w:tcW w:w="1273" w:type="dxa"/>
            <w:tcBorders/>
            <w:shd w:fill="auto" w:val="clear"/>
            <w:vAlign w:val="center"/>
          </w:tcPr>
          <w:p>
            <w:pPr>
              <w:pStyle w:val="TableContents"/>
              <w:spacing w:before="0" w:after="283"/>
              <w:jc w:val="right"/>
              <w:rPr/>
            </w:pPr>
            <w:r>
              <w:rPr/>
              <w:t>6,731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63" w:type="dxa"/>
            <w:tcBorders/>
            <w:shd w:fill="auto" w:val="clear"/>
            <w:vAlign w:val="center"/>
          </w:tcPr>
          <w:p>
            <w:pPr>
              <w:pStyle w:val="TableContents"/>
              <w:spacing w:before="0" w:after="283"/>
              <w:rPr/>
            </w:pPr>
            <w:r>
              <w:rPr/>
              <w:t>$</w:t>
            </w:r>
          </w:p>
        </w:tc>
        <w:tc>
          <w:tcPr>
            <w:tcW w:w="1147" w:type="dxa"/>
            <w:tcBorders/>
            <w:shd w:fill="auto" w:val="clear"/>
            <w:vAlign w:val="center"/>
          </w:tcPr>
          <w:p>
            <w:pPr>
              <w:pStyle w:val="TableContents"/>
              <w:spacing w:before="0" w:after="283"/>
              <w:jc w:val="right"/>
              <w:rPr/>
            </w:pPr>
            <w:r>
              <w:rPr/>
              <w:t>1,898,227</w:t>
            </w:r>
          </w:p>
        </w:tc>
        <w:tc>
          <w:tcPr>
            <w:tcW w:w="75" w:type="dxa"/>
            <w:tcBorders/>
            <w:shd w:fill="auto" w:val="clear"/>
            <w:vAlign w:val="center"/>
          </w:tcPr>
          <w:p>
            <w:pPr>
              <w:pStyle w:val="TableContents"/>
              <w:spacing w:before="0" w:after="283"/>
              <w:rPr/>
            </w:pPr>
            <w:r>
              <w:rPr/>
              <w:t> </w:t>
            </w:r>
          </w:p>
        </w:tc>
      </w:tr>
      <w:tr>
        <w:trPr/>
        <w:tc>
          <w:tcPr>
            <w:tcW w:w="45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2022</w:t>
            </w:r>
          </w:p>
        </w:tc>
        <w:tc>
          <w:tcPr>
            <w:tcW w:w="120"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w:t>
            </w:r>
          </w:p>
        </w:tc>
        <w:tc>
          <w:tcPr>
            <w:tcW w:w="1383" w:type="dxa"/>
            <w:tcBorders/>
            <w:shd w:fill="CCEEFF" w:val="clear"/>
            <w:vAlign w:val="center"/>
          </w:tcPr>
          <w:p>
            <w:pPr>
              <w:pStyle w:val="TableContents"/>
              <w:spacing w:before="0" w:after="283"/>
              <w:jc w:val="right"/>
              <w:rPr/>
            </w:pPr>
            <w:r>
              <w:rPr/>
              <w:t>2,076,800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w:t>
            </w:r>
          </w:p>
        </w:tc>
        <w:tc>
          <w:tcPr>
            <w:tcW w:w="1537" w:type="dxa"/>
            <w:tcBorders/>
            <w:shd w:fill="CCEEFF" w:val="clear"/>
            <w:vAlign w:val="center"/>
          </w:tcPr>
          <w:p>
            <w:pPr>
              <w:pStyle w:val="TableContents"/>
              <w:spacing w:before="0" w:after="283"/>
              <w:jc w:val="right"/>
              <w:rPr/>
            </w:pPr>
            <w:r>
              <w:rPr/>
              <w:t>251,900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6" w:type="dxa"/>
            <w:tcBorders/>
            <w:shd w:fill="CCEEFF" w:val="clear"/>
            <w:vAlign w:val="center"/>
          </w:tcPr>
          <w:p>
            <w:pPr>
              <w:pStyle w:val="TableContents"/>
              <w:spacing w:before="0" w:after="283"/>
              <w:rPr/>
            </w:pPr>
            <w:r>
              <w:rPr/>
              <w:t> </w:t>
            </w:r>
          </w:p>
        </w:tc>
        <w:tc>
          <w:tcPr>
            <w:tcW w:w="1199"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4" w:type="dxa"/>
            <w:tcBorders/>
            <w:shd w:fill="CCEEFF" w:val="clear"/>
            <w:vAlign w:val="center"/>
          </w:tcPr>
          <w:p>
            <w:pPr>
              <w:pStyle w:val="TableContents"/>
              <w:spacing w:before="0" w:after="283"/>
              <w:rPr/>
            </w:pPr>
            <w:r>
              <w:rPr/>
              <w:t> </w:t>
            </w:r>
          </w:p>
        </w:tc>
        <w:tc>
          <w:tcPr>
            <w:tcW w:w="116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2" w:type="dxa"/>
            <w:tcBorders/>
            <w:shd w:fill="CCEEFF" w:val="clear"/>
            <w:vAlign w:val="center"/>
          </w:tcPr>
          <w:p>
            <w:pPr>
              <w:pStyle w:val="TableContents"/>
              <w:spacing w:before="0" w:after="283"/>
              <w:rPr/>
            </w:pPr>
            <w:r>
              <w:rPr/>
              <w:t> </w:t>
            </w:r>
          </w:p>
        </w:tc>
        <w:tc>
          <w:tcPr>
            <w:tcW w:w="127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63" w:type="dxa"/>
            <w:tcBorders/>
            <w:shd w:fill="CCEEFF" w:val="clear"/>
            <w:vAlign w:val="center"/>
          </w:tcPr>
          <w:p>
            <w:pPr>
              <w:pStyle w:val="TableContents"/>
              <w:spacing w:before="0" w:after="283"/>
              <w:rPr/>
            </w:pPr>
            <w:r>
              <w:rPr/>
              <w:t>$</w:t>
            </w:r>
          </w:p>
        </w:tc>
        <w:tc>
          <w:tcPr>
            <w:tcW w:w="1147" w:type="dxa"/>
            <w:tcBorders/>
            <w:shd w:fill="CCEEFF" w:val="clear"/>
            <w:vAlign w:val="center"/>
          </w:tcPr>
          <w:p>
            <w:pPr>
              <w:pStyle w:val="TableContents"/>
              <w:spacing w:before="0" w:after="283"/>
              <w:jc w:val="right"/>
              <w:rPr/>
            </w:pPr>
            <w:r>
              <w:rPr/>
              <w:t>1,824,900</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276"/>
        <w:gridCol w:w="9929"/>
      </w:tblGrid>
      <w:tr>
        <w:trPr/>
        <w:tc>
          <w:tcPr>
            <w:tcW w:w="276" w:type="dxa"/>
            <w:tcBorders/>
            <w:shd w:fill="auto" w:val="clear"/>
            <w:vAlign w:val="center"/>
          </w:tcPr>
          <w:p>
            <w:pPr>
              <w:pStyle w:val="TableContents"/>
              <w:spacing w:before="0" w:after="283"/>
              <w:jc w:val="left"/>
              <w:rPr/>
            </w:pPr>
            <w:r>
              <w:rPr/>
              <w:t>(4)</w:t>
            </w:r>
          </w:p>
        </w:tc>
        <w:tc>
          <w:tcPr>
            <w:tcW w:w="9929"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Reflects the cumulative total stockholder return (“TSR”) of each of the Company and Clear Channel Outdoor Holdings Inc., as the Company’s peer, for the year ended December 31, 2020, the </w:t>
            </w:r>
          </w:p>
          <w:p>
            <w:pPr>
              <w:pStyle w:val="TableContents"/>
              <w:spacing w:before="0" w:after="0"/>
              <w:jc w:val="left"/>
              <w:rPr>
                <w:rFonts w:ascii="Times New Roman" w:hAnsi="Times New Roman"/>
                <w:spacing w:val="0"/>
                <w:sz w:val="20"/>
              </w:rPr>
            </w:pPr>
            <w:r>
              <w:rPr>
                <w:rFonts w:ascii="Times New Roman" w:hAnsi="Times New Roman"/>
                <w:spacing w:val="0"/>
                <w:sz w:val="20"/>
              </w:rPr>
              <w:t>two-years</w:t>
            </w:r>
          </w:p>
          <w:p>
            <w:pPr>
              <w:pStyle w:val="TableContents"/>
              <w:spacing w:before="0" w:after="0"/>
              <w:jc w:val="left"/>
              <w:rPr>
                <w:rFonts w:ascii="Times New Roman" w:hAnsi="Times New Roman"/>
                <w:sz w:val="20"/>
              </w:rPr>
            </w:pPr>
            <w:r>
              <w:rPr>
                <w:rFonts w:ascii="Times New Roman" w:hAnsi="Times New Roman"/>
                <w:sz w:val="20"/>
              </w:rPr>
              <w:t xml:space="preserve">ended December 31, 2021 and the three years ended December 31, 2022, assuming a $100 investment at the closing price on December 31, 2019 and the reinvestment of all dividends. </w:t>
            </w:r>
          </w:p>
        </w:tc>
      </w:tr>
    </w:tbl>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jc w:val="left"/>
              <w:rPr/>
            </w:pPr>
            <w:r>
              <w:rPr/>
              <w:t>(5)</w:t>
            </w:r>
          </w:p>
        </w:tc>
        <w:tc>
          <w:tcPr>
            <w:tcW w:w="995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Adjusted EBITDA is defined as net income before income tax expense (benefit), interest expense (income), equity in (earnings) loss of investee, loss (gain) on extinguishment of debt and investments, stock-based compensation, depreciation and amortization, loss (gain) on disposition of assets and investments, transaction expenses and capitalized contract fulfillment costs, net. </w:t>
            </w:r>
          </w:p>
        </w:tc>
      </w:tr>
    </w:tbl>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35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left"/>
        <w:rPr>
          <w:rFonts w:ascii="Times New Roman" w:hAnsi="Times New Roman"/>
          <w:b/>
          <w:sz w:val="20"/>
          <w:highlight w:val="white"/>
        </w:rPr>
      </w:pPr>
      <w:r>
        <w:rPr>
          <w:rFonts w:ascii="Times New Roman" w:hAnsi="Times New Roman"/>
          <w:b/>
          <w:sz w:val="20"/>
          <w:highlight w:val="white"/>
        </w:rPr>
        <w:t xml:space="preserve">Pay Versus Performance Narrative </w:t>
      </w:r>
    </w:p>
    <w:p>
      <w:pPr>
        <w:pStyle w:val="TextBody"/>
        <w:spacing w:before="120" w:after="0"/>
        <w:jc w:val="left"/>
        <w:rPr>
          <w:rFonts w:ascii="Times New Roman" w:hAnsi="Times New Roman"/>
          <w:sz w:val="20"/>
          <w:highlight w:val="white"/>
        </w:rPr>
      </w:pPr>
      <w:r>
        <w:rPr>
          <w:rFonts w:ascii="Times New Roman" w:hAnsi="Times New Roman"/>
          <w:sz w:val="20"/>
          <w:highlight w:val="white"/>
        </w:rPr>
        <w:t xml:space="preserve">The following table identifies the only two financial performance measures used by our Compensation Committee to link the CAP paid to our CEO and other NEOs in 2022. </w:t>
      </w:r>
    </w:p>
    <w:p>
      <w:pPr>
        <w:pStyle w:val="TextBody"/>
        <w:spacing w:before="240" w:after="0"/>
        <w:jc w:val="center"/>
        <w:rPr>
          <w:rFonts w:ascii="Times New Roman" w:hAnsi="Times New Roman"/>
          <w:b/>
          <w:sz w:val="20"/>
          <w:highlight w:val="white"/>
        </w:rPr>
      </w:pPr>
      <w:r>
        <w:rPr>
          <w:rFonts w:ascii="Times New Roman" w:hAnsi="Times New Roman"/>
          <w:b/>
          <w:sz w:val="20"/>
          <w:highlight w:val="white"/>
        </w:rPr>
        <w:t xml:space="preserve">Financial Performance Measures </w:t>
      </w:r>
    </w:p>
    <w:p>
      <w:pPr>
        <w:pStyle w:val="TextBody"/>
        <w:spacing w:before="240" w:after="0"/>
        <w:jc w:val="center"/>
        <w:rPr>
          <w:rFonts w:ascii="Times New Roman" w:hAnsi="Times New Roman"/>
          <w:sz w:val="20"/>
          <w:highlight w:val="white"/>
        </w:rPr>
      </w:pPr>
      <w:r>
        <w:rPr>
          <w:rFonts w:ascii="Times New Roman" w:hAnsi="Times New Roman"/>
          <w:sz w:val="20"/>
          <w:highlight w:val="white"/>
        </w:rPr>
        <w:t xml:space="preserve">Adjusted EBITDA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Net Revenue </w:t>
      </w:r>
    </w:p>
    <w:p>
      <w:pPr>
        <w:pStyle w:val="TextBody"/>
        <w:spacing w:before="240" w:after="0"/>
        <w:jc w:val="left"/>
        <w:rPr>
          <w:rFonts w:ascii="Times New Roman" w:hAnsi="Times New Roman"/>
          <w:sz w:val="20"/>
          <w:highlight w:val="white"/>
        </w:rPr>
      </w:pPr>
      <w:r>
        <w:rPr>
          <w:rFonts w:ascii="Times New Roman" w:hAnsi="Times New Roman"/>
          <w:sz w:val="20"/>
          <w:highlight w:val="white"/>
        </w:rPr>
        <w:t>The following charts reflect how the CAP over the three-year period ended December 31, 2022 aligns to trends in the Company’s TSR, net income and adjusted EBITDA results over the same period. In addition, the chart titled “CAP vs. TSR” reflects that the Company’s TSR over this three-year period tracks the same general trend as the peer group TSR over the same period.</w:t>
      </w:r>
    </w:p>
    <w:p>
      <w:pPr>
        <w:pStyle w:val="TextBody"/>
        <w:spacing w:before="0" w:after="0"/>
        <w:jc w:val="left"/>
        <w:rPr>
          <w:highlight w:val="white"/>
        </w:rPr>
      </w:pPr>
      <w:r>
        <w:rPr>
          <w:highlight w:val="white"/>
        </w:rPr>
        <w:t> </w:t>
      </w:r>
    </w:p>
    <w:p>
      <w:pPr>
        <w:pStyle w:val="TextBody"/>
        <w:spacing w:before="0" w:after="0"/>
        <w:jc w:val="center"/>
        <w:rPr>
          <w:highlight w:val="white"/>
        </w:rPr>
      </w:pPr>
      <w:r>
        <w:rPr>
          <w:highlight w:val="white"/>
        </w:rPr>
        <w:drawing>
          <wp:inline distT="0" distB="0" distL="0" distR="0">
            <wp:extent cx="5600700" cy="30480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5600700" cy="3048000"/>
                    </a:xfrm>
                    <a:prstGeom prst="rect">
                      <a:avLst/>
                    </a:prstGeom>
                  </pic:spPr>
                </pic:pic>
              </a:graphicData>
            </a:graphic>
          </wp:inline>
        </w:drawing>
      </w:r>
      <w:r>
        <w:rPr>
          <w:highlight w:val="white"/>
        </w:rPr>
        <w:t xml:space="preserve">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0" w:after="0"/>
        <w:jc w:val="center"/>
        <w:rPr>
          <w:rFonts w:ascii="Times New Roman" w:hAnsi="Times New Roman"/>
          <w:sz w:val="20"/>
          <w:highlight w:val="white"/>
        </w:rPr>
      </w:pPr>
      <w:r>
        <w:rPr>
          <w:rFonts w:ascii="Times New Roman" w:hAnsi="Times New Roman"/>
          <w:sz w:val="20"/>
          <w:highlight w:val="white"/>
        </w:rPr>
        <w:t xml:space="preserve">36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highlight w:val="white"/>
        </w:rPr>
      </w:pPr>
      <w:r>
        <w:rPr>
          <w:highlight w:val="white"/>
        </w:rPr>
        <w:drawing>
          <wp:inline distT="0" distB="0" distL="0" distR="0">
            <wp:extent cx="5600700" cy="30289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5600700" cy="3028950"/>
                    </a:xfrm>
                    <a:prstGeom prst="rect">
                      <a:avLst/>
                    </a:prstGeom>
                  </pic:spPr>
                </pic:pic>
              </a:graphicData>
            </a:graphic>
          </wp:inline>
        </w:drawing>
      </w:r>
      <w:r>
        <w:rPr>
          <w:highlight w:val="white"/>
        </w:rPr>
        <w:t xml:space="preserve">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spacing w:before="0" w:after="0"/>
        <w:jc w:val="center"/>
        <w:rPr>
          <w:highlight w:val="white"/>
        </w:rPr>
      </w:pPr>
      <w:r>
        <w:rPr>
          <w:highlight w:val="white"/>
        </w:rPr>
        <w:drawing>
          <wp:inline distT="0" distB="0" distL="0" distR="0">
            <wp:extent cx="5600700" cy="303847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5600700" cy="3038475"/>
                    </a:xfrm>
                    <a:prstGeom prst="rect">
                      <a:avLst/>
                    </a:prstGeom>
                  </pic:spPr>
                </pic:pic>
              </a:graphicData>
            </a:graphic>
          </wp:inline>
        </w:drawing>
      </w:r>
      <w:r>
        <w:rPr>
          <w:highlight w:val="white"/>
        </w:rPr>
        <w:t xml:space="preserve"> </w:t>
      </w:r>
    </w:p>
    <w:p>
      <w:pPr>
        <w:pStyle w:val="TextBody"/>
        <w:spacing w:before="0" w:after="0"/>
        <w:jc w:val="left"/>
        <w:rPr>
          <w:highlight w:val="white"/>
        </w:rPr>
      </w:pPr>
      <w:r>
        <w:rPr>
          <w:highlight w:val="white"/>
        </w:rPr>
        <w:t> </w:t>
      </w:r>
    </w:p>
    <w:p>
      <w:pPr>
        <w:pStyle w:val="TextBody"/>
        <w:spacing w:before="0" w:after="0"/>
        <w:jc w:val="left"/>
        <w:rPr>
          <w:highlight w:val="white"/>
        </w:rPr>
      </w:pPr>
      <w:r>
        <w:rPr>
          <w:highlight w:val="white"/>
        </w:rPr>
        <w:t> </w:t>
      </w:r>
    </w:p>
    <w:p>
      <w:pPr>
        <w:pStyle w:val="TextBody"/>
        <w:jc w:val="center"/>
        <w:rPr>
          <w:rFonts w:ascii="Times New Roman" w:hAnsi="Times New Roman"/>
          <w:sz w:val="20"/>
          <w:highlight w:val="white"/>
        </w:rPr>
      </w:pPr>
      <w:r>
        <w:rPr>
          <w:rFonts w:ascii="Times New Roman" w:hAnsi="Times New Roman"/>
          <w:sz w:val="20"/>
          <w:highlight w:val="white"/>
        </w:rPr>
        <w:t xml:space="preserve">37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oc440239_10"/>
      <w:bookmarkEnd w:id="11"/>
      <w:r>
        <w:rPr>
          <w:rFonts w:ascii="Times New Roman" w:hAnsi="Times New Roman"/>
          <w:b/>
          <w:sz w:val="20"/>
        </w:rPr>
        <w:t xml:space="preserve">EQUITY COMPENSATION PLAN INFORMATION </w:t>
      </w:r>
    </w:p>
    <w:p>
      <w:pPr>
        <w:pStyle w:val="TextBody"/>
        <w:spacing w:before="240" w:after="0"/>
        <w:jc w:val="left"/>
        <w:rPr>
          <w:rFonts w:ascii="Times New Roman" w:hAnsi="Times New Roman"/>
          <w:sz w:val="20"/>
        </w:rPr>
      </w:pPr>
      <w:r>
        <w:rPr>
          <w:rFonts w:ascii="Times New Roman" w:hAnsi="Times New Roman"/>
          <w:sz w:val="20"/>
        </w:rPr>
        <w:t xml:space="preserve">The following table provides information as of December 31, 2022, with respect to shares of our Class A Common Stock that may be issued under our existing compensation plans.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70"/>
        <w:gridCol w:w="120"/>
        <w:gridCol w:w="170"/>
        <w:gridCol w:w="2280"/>
        <w:gridCol w:w="236"/>
        <w:gridCol w:w="60"/>
        <w:gridCol w:w="213"/>
        <w:gridCol w:w="1997"/>
        <w:gridCol w:w="236"/>
        <w:gridCol w:w="60"/>
        <w:gridCol w:w="156"/>
        <w:gridCol w:w="2549"/>
        <w:gridCol w:w="358"/>
      </w:tblGrid>
      <w:tr>
        <w:trPr/>
        <w:tc>
          <w:tcPr>
            <w:tcW w:w="1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280"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54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r>
      <w:tr>
        <w:trPr/>
        <w:tc>
          <w:tcPr>
            <w:tcW w:w="1770" w:type="dxa"/>
            <w:tcBorders/>
            <w:shd w:fill="auto" w:val="clear"/>
            <w:vAlign w:val="center"/>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Plan Category</w:t>
            </w:r>
          </w:p>
        </w:tc>
        <w:tc>
          <w:tcPr>
            <w:tcW w:w="120" w:type="dxa"/>
            <w:tcBorders/>
            <w:shd w:fill="auto" w:val="clear"/>
            <w:vAlign w:val="center"/>
          </w:tcPr>
          <w:p>
            <w:pPr>
              <w:pStyle w:val="TableContents"/>
              <w:spacing w:before="0" w:after="283"/>
              <w:rPr/>
            </w:pPr>
            <w:r>
              <w:rPr/>
              <w:t>  </w:t>
            </w:r>
          </w:p>
        </w:tc>
        <w:tc>
          <w:tcPr>
            <w:tcW w:w="245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(a) Number of securities</w:t>
            </w:r>
            <w:r>
              <w:rPr/>
              <w:br/>
            </w:r>
            <w:r>
              <w:rPr>
                <w:b/>
              </w:rPr>
              <w:t>to be issued upon</w:t>
            </w:r>
            <w:r>
              <w:rPr/>
              <w:br/>
            </w:r>
            <w:r>
              <w:rPr>
                <w:b/>
              </w:rPr>
              <w:t>exercise of outstanding</w:t>
            </w:r>
            <w:r>
              <w:rPr/>
              <w:br/>
            </w:r>
            <w:r>
              <w:rPr>
                <w:b/>
              </w:rPr>
              <w:t>options, warrants and</w:t>
            </w:r>
            <w:r>
              <w:rPr/>
              <w:br/>
            </w:r>
            <w:r>
              <w:rPr>
                <w:b/>
              </w:rPr>
              <w:t>rights</w:t>
            </w:r>
          </w:p>
        </w:tc>
        <w:tc>
          <w:tcPr>
            <w:tcW w:w="2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10"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(b) Weighted-average</w:t>
            </w:r>
            <w:r>
              <w:rPr/>
              <w:br/>
            </w:r>
            <w:r>
              <w:rPr>
                <w:b/>
              </w:rPr>
              <w:t>exercise price of</w:t>
            </w:r>
            <w:r>
              <w:rPr/>
              <w:br/>
            </w:r>
            <w:r>
              <w:rPr>
                <w:b/>
              </w:rPr>
              <w:t>outstanding options,</w:t>
            </w:r>
            <w:r>
              <w:rPr/>
              <w:br/>
            </w:r>
            <w:r>
              <w:rPr>
                <w:b/>
              </w:rPr>
              <w:t>warrants and rights</w:t>
            </w:r>
          </w:p>
        </w:tc>
        <w:tc>
          <w:tcPr>
            <w:tcW w:w="2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05" w:type="dxa"/>
            <w:gridSpan w:val="2"/>
            <w:tcBorders>
              <w:bottom w:val="single" w:sz="8" w:space="0" w:color="000000"/>
            </w:tcBorders>
            <w:shd w:fill="auto" w:val="clear"/>
            <w:tcMar>
              <w:bottom w:w="28" w:type="dxa"/>
            </w:tcMar>
            <w:vAlign w:val="center"/>
          </w:tcPr>
          <w:p>
            <w:pPr>
              <w:pStyle w:val="TableContents"/>
              <w:spacing w:before="0" w:after="283"/>
              <w:jc w:val="center"/>
              <w:rPr/>
            </w:pPr>
            <w:r>
              <w:rPr>
                <w:b/>
              </w:rPr>
              <w:t>(c) Number of securities</w:t>
            </w:r>
            <w:r>
              <w:rPr/>
              <w:br/>
            </w:r>
            <w:r>
              <w:rPr>
                <w:b/>
              </w:rPr>
              <w:t>remaining available for</w:t>
            </w:r>
            <w:r>
              <w:rPr/>
              <w:br/>
            </w:r>
            <w:r>
              <w:rPr>
                <w:b/>
              </w:rPr>
              <w:t>future issuance under</w:t>
            </w:r>
            <w:r>
              <w:rPr/>
              <w:br/>
            </w:r>
            <w:r>
              <w:rPr>
                <w:b/>
              </w:rPr>
              <w:t>equity compensation plans</w:t>
            </w:r>
            <w:r>
              <w:rPr/>
              <w:br/>
            </w:r>
            <w:r>
              <w:rPr>
                <w:b/>
              </w:rPr>
              <w:t>(excluding securities</w:t>
            </w:r>
            <w:r>
              <w:rPr/>
              <w:br/>
            </w:r>
            <w:r>
              <w:rPr>
                <w:b/>
              </w:rPr>
              <w:t>reflected in column (a))</w:t>
            </w:r>
          </w:p>
        </w:tc>
        <w:tc>
          <w:tcPr>
            <w:tcW w:w="358" w:type="dxa"/>
            <w:tcBorders/>
            <w:shd w:fill="auto" w:val="clear"/>
            <w:vAlign w:val="center"/>
          </w:tcPr>
          <w:p>
            <w:pPr>
              <w:pStyle w:val="TableContents"/>
              <w:spacing w:before="0" w:after="283"/>
              <w:rPr/>
            </w:pPr>
            <w:r>
              <w:rPr/>
              <w:t> </w:t>
            </w:r>
          </w:p>
        </w:tc>
      </w:tr>
      <w:tr>
        <w:trPr/>
        <w:tc>
          <w:tcPr>
            <w:tcW w:w="17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Equity compensation plans approved by security holders(1) </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2280" w:type="dxa"/>
            <w:tcBorders/>
            <w:shd w:fill="CCEEFF" w:val="clear"/>
            <w:vAlign w:val="center"/>
          </w:tcPr>
          <w:p>
            <w:pPr>
              <w:pStyle w:val="TableContents"/>
              <w:spacing w:before="0" w:after="283"/>
              <w:jc w:val="right"/>
              <w:rPr/>
            </w:pPr>
            <w:r>
              <w:rPr/>
              <w:t>659,950</w:t>
            </w:r>
          </w:p>
        </w:tc>
        <w:tc>
          <w:tcPr>
            <w:tcW w:w="236" w:type="dxa"/>
            <w:tcBorders/>
            <w:shd w:fill="CCEEFF" w:val="clear"/>
            <w:vAlign w:val="center"/>
          </w:tcPr>
          <w:p>
            <w:pPr>
              <w:pStyle w:val="TableContents"/>
              <w:spacing w:before="0" w:after="283"/>
              <w:rPr/>
            </w:pPr>
            <w:r>
              <w:rPr/>
              <w:t>(2)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997" w:type="dxa"/>
            <w:tcBorders/>
            <w:shd w:fill="CCEEFF" w:val="clear"/>
            <w:vAlign w:val="center"/>
          </w:tcPr>
          <w:p>
            <w:pPr>
              <w:pStyle w:val="TableContents"/>
              <w:spacing w:before="0" w:after="283"/>
              <w:jc w:val="right"/>
              <w:rPr/>
            </w:pPr>
            <w:r>
              <w:rPr/>
              <w:t>68.68</w:t>
            </w:r>
          </w:p>
        </w:tc>
        <w:tc>
          <w:tcPr>
            <w:tcW w:w="236" w:type="dxa"/>
            <w:tcBorders/>
            <w:shd w:fill="CCEEFF" w:val="clear"/>
            <w:vAlign w:val="center"/>
          </w:tcPr>
          <w:p>
            <w:pPr>
              <w:pStyle w:val="TableContents"/>
              <w:spacing w:before="0" w:after="283"/>
              <w:rPr/>
            </w:pPr>
            <w:r>
              <w:rPr/>
              <w:t>(3) </w:t>
            </w:r>
          </w:p>
        </w:tc>
        <w:tc>
          <w:tcPr>
            <w:tcW w:w="60"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2549" w:type="dxa"/>
            <w:tcBorders/>
            <w:shd w:fill="CCEEFF" w:val="clear"/>
            <w:vAlign w:val="center"/>
          </w:tcPr>
          <w:p>
            <w:pPr>
              <w:pStyle w:val="TableContents"/>
              <w:spacing w:before="0" w:after="283"/>
              <w:jc w:val="right"/>
              <w:rPr/>
            </w:pPr>
            <w:r>
              <w:rPr/>
              <w:t>2,155,556</w:t>
            </w:r>
          </w:p>
        </w:tc>
        <w:tc>
          <w:tcPr>
            <w:tcW w:w="358" w:type="dxa"/>
            <w:tcBorders/>
            <w:shd w:fill="CCEEFF" w:val="clear"/>
            <w:vAlign w:val="center"/>
          </w:tcPr>
          <w:p>
            <w:pPr>
              <w:pStyle w:val="TableContents"/>
              <w:spacing w:before="0" w:after="283"/>
              <w:rPr/>
            </w:pPr>
            <w:r>
              <w:rPr/>
              <w:t>(4)(5) </w:t>
            </w:r>
          </w:p>
        </w:tc>
      </w:tr>
      <w:tr>
        <w:trPr/>
        <w:tc>
          <w:tcPr>
            <w:tcW w:w="177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Equity compensation plans not approved by security holders</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2280" w:type="dxa"/>
            <w:tcBorders/>
            <w:shd w:fill="auto" w:val="clear"/>
            <w:vAlign w:val="center"/>
          </w:tcPr>
          <w:p>
            <w:pPr>
              <w:pStyle w:val="TableContents"/>
              <w:spacing w:before="0" w:after="283"/>
              <w:jc w:val="right"/>
              <w:rPr/>
            </w:pPr>
            <w:r>
              <w:rPr/>
              <w:t>n/a</w:t>
            </w:r>
          </w:p>
        </w:tc>
        <w:tc>
          <w:tcPr>
            <w:tcW w:w="2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997" w:type="dxa"/>
            <w:tcBorders/>
            <w:shd w:fill="auto" w:val="clear"/>
            <w:vAlign w:val="center"/>
          </w:tcPr>
          <w:p>
            <w:pPr>
              <w:pStyle w:val="TableContents"/>
              <w:spacing w:before="0" w:after="283"/>
              <w:jc w:val="right"/>
              <w:rPr/>
            </w:pPr>
            <w:r>
              <w:rPr/>
              <w:t>n/a</w:t>
            </w:r>
          </w:p>
        </w:tc>
        <w:tc>
          <w:tcPr>
            <w:tcW w:w="2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c>
          <w:tcPr>
            <w:tcW w:w="2549" w:type="dxa"/>
            <w:tcBorders/>
            <w:shd w:fill="auto" w:val="clear"/>
            <w:vAlign w:val="center"/>
          </w:tcPr>
          <w:p>
            <w:pPr>
              <w:pStyle w:val="TableContents"/>
              <w:spacing w:before="0" w:after="283"/>
              <w:jc w:val="right"/>
              <w:rPr/>
            </w:pPr>
            <w:r>
              <w:rPr/>
              <w:t>n/a</w:t>
            </w:r>
          </w:p>
        </w:tc>
        <w:tc>
          <w:tcPr>
            <w:tcW w:w="358" w:type="dxa"/>
            <w:tcBorders/>
            <w:shd w:fill="auto" w:val="clear"/>
            <w:vAlign w:val="center"/>
          </w:tcPr>
          <w:p>
            <w:pPr>
              <w:pStyle w:val="TableContents"/>
              <w:spacing w:before="0" w:after="283"/>
              <w:rPr/>
            </w:pPr>
            <w:r>
              <w:rPr/>
              <w:t> </w:t>
            </w:r>
          </w:p>
        </w:tc>
      </w:tr>
      <w:tr>
        <w:trPr/>
        <w:tc>
          <w:tcPr>
            <w:tcW w:w="1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pBdr>
                <w:top w:val="single" w:sz="2" w:space="1" w:color="000000"/>
              </w:pBdr>
              <w:spacing w:before="0" w:after="0"/>
              <w:rPr/>
            </w:pPr>
            <w:r>
              <w:rPr/>
              <w:t> </w:t>
            </w:r>
          </w:p>
        </w:tc>
        <w:tc>
          <w:tcPr>
            <w:tcW w:w="2280" w:type="dxa"/>
            <w:tcBorders/>
            <w:shd w:fill="auto" w:val="clear"/>
            <w:vAlign w:val="center"/>
          </w:tcPr>
          <w:p>
            <w:pPr>
              <w:pStyle w:val="TableContents"/>
              <w:pBdr>
                <w:top w:val="single" w:sz="2" w:space="1" w:color="000000"/>
              </w:pBdr>
              <w:spacing w:before="0" w:after="0"/>
              <w:rPr/>
            </w:pPr>
            <w:r>
              <w:rPr/>
              <w:t> </w:t>
            </w:r>
          </w:p>
        </w:tc>
        <w:tc>
          <w:tcPr>
            <w:tcW w:w="2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pBdr>
                <w:top w:val="single" w:sz="2" w:space="1" w:color="000000"/>
              </w:pBdr>
              <w:spacing w:before="0" w:after="0"/>
              <w:rPr/>
            </w:pPr>
            <w:r>
              <w:rPr/>
              <w:t> </w:t>
            </w:r>
          </w:p>
        </w:tc>
        <w:tc>
          <w:tcPr>
            <w:tcW w:w="1997" w:type="dxa"/>
            <w:tcBorders/>
            <w:shd w:fill="auto" w:val="clear"/>
            <w:vAlign w:val="center"/>
          </w:tcPr>
          <w:p>
            <w:pPr>
              <w:pStyle w:val="TableContents"/>
              <w:pBdr>
                <w:top w:val="single" w:sz="2" w:space="1" w:color="000000"/>
              </w:pBdr>
              <w:spacing w:before="0" w:after="0"/>
              <w:rPr/>
            </w:pPr>
            <w:r>
              <w:rPr/>
              <w:t> </w:t>
            </w:r>
          </w:p>
        </w:tc>
        <w:tc>
          <w:tcPr>
            <w:tcW w:w="2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pBdr>
                <w:top w:val="single" w:sz="2" w:space="1" w:color="000000"/>
              </w:pBdr>
              <w:spacing w:before="0" w:after="0"/>
              <w:rPr/>
            </w:pPr>
            <w:r>
              <w:rPr/>
              <w:t> </w:t>
            </w:r>
          </w:p>
        </w:tc>
        <w:tc>
          <w:tcPr>
            <w:tcW w:w="2549" w:type="dxa"/>
            <w:tcBorders/>
            <w:shd w:fill="auto" w:val="clear"/>
            <w:vAlign w:val="center"/>
          </w:tcPr>
          <w:p>
            <w:pPr>
              <w:pStyle w:val="TableContents"/>
              <w:pBdr>
                <w:top w:val="single" w:sz="2" w:space="1" w:color="000000"/>
              </w:pBdr>
              <w:spacing w:before="0" w:after="0"/>
              <w:rPr/>
            </w:pPr>
            <w:r>
              <w:rPr/>
              <w:t> </w:t>
            </w:r>
          </w:p>
        </w:tc>
        <w:tc>
          <w:tcPr>
            <w:tcW w:w="358" w:type="dxa"/>
            <w:tcBorders/>
            <w:shd w:fill="auto" w:val="clear"/>
            <w:vAlign w:val="center"/>
          </w:tcPr>
          <w:p>
            <w:pPr>
              <w:pStyle w:val="TableContents"/>
              <w:spacing w:before="0" w:after="283"/>
              <w:rPr/>
            </w:pPr>
            <w:r>
              <w:rPr/>
              <w:t> </w:t>
            </w:r>
          </w:p>
        </w:tc>
      </w:tr>
      <w:tr>
        <w:trPr/>
        <w:tc>
          <w:tcPr>
            <w:tcW w:w="177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2280" w:type="dxa"/>
            <w:tcBorders/>
            <w:shd w:fill="CCEEFF" w:val="clear"/>
            <w:vAlign w:val="center"/>
          </w:tcPr>
          <w:p>
            <w:pPr>
              <w:pStyle w:val="TableContents"/>
              <w:spacing w:before="0" w:after="283"/>
              <w:jc w:val="right"/>
              <w:rPr/>
            </w:pPr>
            <w:r>
              <w:rPr/>
              <w:t>659,950</w:t>
            </w:r>
          </w:p>
        </w:tc>
        <w:tc>
          <w:tcPr>
            <w:tcW w:w="23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997" w:type="dxa"/>
            <w:tcBorders/>
            <w:shd w:fill="CCEEFF" w:val="clear"/>
            <w:vAlign w:val="center"/>
          </w:tcPr>
          <w:p>
            <w:pPr>
              <w:pStyle w:val="TableContents"/>
              <w:spacing w:before="0" w:after="283"/>
              <w:jc w:val="right"/>
              <w:rPr/>
            </w:pPr>
            <w:r>
              <w:rPr/>
              <w:t>68.68</w:t>
            </w:r>
          </w:p>
        </w:tc>
        <w:tc>
          <w:tcPr>
            <w:tcW w:w="23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rPr/>
            </w:pPr>
            <w:r>
              <w:rPr/>
              <w:t> </w:t>
            </w:r>
          </w:p>
        </w:tc>
        <w:tc>
          <w:tcPr>
            <w:tcW w:w="2549" w:type="dxa"/>
            <w:tcBorders/>
            <w:shd w:fill="CCEEFF" w:val="clear"/>
            <w:vAlign w:val="center"/>
          </w:tcPr>
          <w:p>
            <w:pPr>
              <w:pStyle w:val="TableContents"/>
              <w:spacing w:before="0" w:after="283"/>
              <w:jc w:val="right"/>
              <w:rPr/>
            </w:pPr>
            <w:r>
              <w:rPr/>
              <w:t>2,155,556</w:t>
            </w:r>
          </w:p>
        </w:tc>
        <w:tc>
          <w:tcPr>
            <w:tcW w:w="358" w:type="dxa"/>
            <w:tcBorders/>
            <w:shd w:fill="CCEEFF" w:val="clear"/>
            <w:vAlign w:val="center"/>
          </w:tcPr>
          <w:p>
            <w:pPr>
              <w:pStyle w:val="TableContents"/>
              <w:spacing w:before="0" w:after="283"/>
              <w:rPr/>
            </w:pPr>
            <w:r>
              <w:rPr/>
              <w:t> </w:t>
            </w:r>
          </w:p>
        </w:tc>
      </w:tr>
      <w:tr>
        <w:trPr/>
        <w:tc>
          <w:tcPr>
            <w:tcW w:w="17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pBdr>
                <w:top w:val="single" w:sz="2" w:space="1" w:color="000000"/>
              </w:pBdr>
              <w:spacing w:before="0" w:after="0"/>
              <w:rPr/>
            </w:pPr>
            <w:r>
              <w:rPr/>
              <w:t> </w:t>
            </w:r>
          </w:p>
        </w:tc>
        <w:tc>
          <w:tcPr>
            <w:tcW w:w="2280" w:type="dxa"/>
            <w:tcBorders/>
            <w:shd w:fill="auto" w:val="clear"/>
            <w:vAlign w:val="center"/>
          </w:tcPr>
          <w:p>
            <w:pPr>
              <w:pStyle w:val="TableContents"/>
              <w:pBdr>
                <w:top w:val="single" w:sz="2" w:space="1" w:color="000000"/>
              </w:pBdr>
              <w:spacing w:before="0" w:after="0"/>
              <w:rPr/>
            </w:pPr>
            <w:r>
              <w:rPr/>
              <w:t> </w:t>
            </w:r>
          </w:p>
        </w:tc>
        <w:tc>
          <w:tcPr>
            <w:tcW w:w="2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pBdr>
                <w:top w:val="single" w:sz="2" w:space="1" w:color="000000"/>
              </w:pBdr>
              <w:spacing w:before="0" w:after="0"/>
              <w:rPr/>
            </w:pPr>
            <w:r>
              <w:rPr/>
              <w:t> </w:t>
            </w:r>
          </w:p>
        </w:tc>
        <w:tc>
          <w:tcPr>
            <w:tcW w:w="1997" w:type="dxa"/>
            <w:tcBorders/>
            <w:shd w:fill="auto" w:val="clear"/>
            <w:vAlign w:val="center"/>
          </w:tcPr>
          <w:p>
            <w:pPr>
              <w:pStyle w:val="TableContents"/>
              <w:pBdr>
                <w:top w:val="single" w:sz="2" w:space="1" w:color="000000"/>
              </w:pBdr>
              <w:spacing w:before="0" w:after="0"/>
              <w:rPr/>
            </w:pPr>
            <w:r>
              <w:rPr/>
              <w:t> </w:t>
            </w:r>
          </w:p>
        </w:tc>
        <w:tc>
          <w:tcPr>
            <w:tcW w:w="2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pBdr>
                <w:top w:val="single" w:sz="2" w:space="1" w:color="000000"/>
              </w:pBdr>
              <w:spacing w:before="0" w:after="0"/>
              <w:rPr/>
            </w:pPr>
            <w:r>
              <w:rPr/>
              <w:t> </w:t>
            </w:r>
          </w:p>
        </w:tc>
        <w:tc>
          <w:tcPr>
            <w:tcW w:w="2549" w:type="dxa"/>
            <w:tcBorders/>
            <w:shd w:fill="auto" w:val="clear"/>
            <w:vAlign w:val="center"/>
          </w:tcPr>
          <w:p>
            <w:pPr>
              <w:pStyle w:val="TableContents"/>
              <w:pBdr>
                <w:top w:val="single" w:sz="2" w:space="1" w:color="000000"/>
              </w:pBdr>
              <w:spacing w:before="0" w:after="0"/>
              <w:rPr/>
            </w:pPr>
            <w:r>
              <w:rPr/>
              <w:t> </w:t>
            </w:r>
          </w:p>
        </w:tc>
        <w:tc>
          <w:tcPr>
            <w:tcW w:w="358"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304"/>
        <w:gridCol w:w="9901"/>
      </w:tblGrid>
      <w:tr>
        <w:trPr/>
        <w:tc>
          <w:tcPr>
            <w:tcW w:w="304" w:type="dxa"/>
            <w:tcBorders/>
            <w:shd w:fill="auto" w:val="clear"/>
            <w:vAlign w:val="center"/>
          </w:tcPr>
          <w:p>
            <w:pPr>
              <w:pStyle w:val="TableContents"/>
              <w:spacing w:before="0" w:after="283"/>
              <w:jc w:val="left"/>
              <w:rPr/>
            </w:pPr>
            <w:r>
              <w:rPr/>
              <w:t>(1)</w:t>
            </w:r>
          </w:p>
        </w:tc>
        <w:tc>
          <w:tcPr>
            <w:tcW w:w="9901"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Consists of the Company’s 1996 Equity Incentive Plan, as amended and 2019 Employee Stock Purchase Plan, as amended. </w:t>
            </w:r>
          </w:p>
        </w:tc>
      </w:tr>
    </w:tbl>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left"/>
              <w:rPr/>
            </w:pPr>
            <w:r>
              <w:rPr/>
              <w:t>(2)</w:t>
            </w:r>
          </w:p>
        </w:tc>
        <w:tc>
          <w:tcPr>
            <w:tcW w:w="995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shares issuable upon achievement of outstanding performance-based awards under the 1996 Equity Incentive Plan. Does not include purchase rights accruing under the 2019 Employee Stock Purchase Plan, because the purchase price (and therefore the number of shares to be purchased) will not be determined until the end of the purchase period. </w:t>
            </w:r>
          </w:p>
        </w:tc>
      </w:tr>
    </w:tbl>
    <w:tbl>
      <w:tblPr>
        <w:tblW w:w="10205" w:type="dxa"/>
        <w:jc w:val="left"/>
        <w:tblInd w:w="0" w:type="dxa"/>
        <w:tblCellMar>
          <w:top w:w="0" w:type="dxa"/>
          <w:left w:w="0" w:type="dxa"/>
          <w:bottom w:w="0" w:type="dxa"/>
          <w:right w:w="0" w:type="dxa"/>
        </w:tblCellMar>
      </w:tblPr>
      <w:tblGrid>
        <w:gridCol w:w="290"/>
        <w:gridCol w:w="9915"/>
      </w:tblGrid>
      <w:tr>
        <w:trPr/>
        <w:tc>
          <w:tcPr>
            <w:tcW w:w="290" w:type="dxa"/>
            <w:tcBorders/>
            <w:shd w:fill="auto" w:val="clear"/>
            <w:vAlign w:val="center"/>
          </w:tcPr>
          <w:p>
            <w:pPr>
              <w:pStyle w:val="TableContents"/>
              <w:spacing w:before="0" w:after="283"/>
              <w:jc w:val="left"/>
              <w:rPr/>
            </w:pPr>
            <w:r>
              <w:rPr/>
              <w:t>(3)</w:t>
            </w:r>
          </w:p>
        </w:tc>
        <w:tc>
          <w:tcPr>
            <w:tcW w:w="99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Does not take into account shares issuable upon achievement of outstanding performance-based awards, which will be issued for no consideration. </w:t>
            </w:r>
          </w:p>
        </w:tc>
      </w:tr>
    </w:tbl>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jc w:val="left"/>
              <w:rPr/>
            </w:pPr>
            <w:r>
              <w:rPr/>
              <w:t>(4)</w:t>
            </w:r>
          </w:p>
        </w:tc>
        <w:tc>
          <w:tcPr>
            <w:tcW w:w="9963"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Includes shares available for future issuance under the 2019 Employee Stock Purchase Plan. Under the evergreen formula of this plan, on the first day of each fiscal year beginning with 2020, the aggregate number of shares that may be purchased through the exercise of rights granted under the plan is increased by the lesser of (a) 500,000 shares, (b) one-tenth of one percent of the total number of shares of Class A Common Stock outstanding on the last day of the preceding fiscal year, and (c) a lesser amount determined by the Board of Directors. On January 1, 2023, 87,327 shares of Class A Common Stock were added to the 2019 Employee Stock Purchase Plan pursuant to the evergreen formula.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toc440239_11"/>
      <w:bookmarkEnd w:id="12"/>
      <w:r>
        <w:rPr>
          <w:rFonts w:ascii="Times New Roman" w:hAnsi="Times New Roman"/>
          <w:b/>
          <w:sz w:val="20"/>
        </w:rPr>
        <w:t xml:space="preserve">PROPOSAL NO. 2: ADVISORY VOTE ON EXECUTIVE COMPENSATION </w:t>
      </w:r>
    </w:p>
    <w:p>
      <w:pPr>
        <w:pStyle w:val="TextBody"/>
        <w:spacing w:before="240" w:after="0"/>
        <w:jc w:val="left"/>
        <w:rPr>
          <w:rFonts w:ascii="Times New Roman" w:hAnsi="Times New Roman"/>
          <w:sz w:val="20"/>
        </w:rPr>
      </w:pPr>
      <w:r>
        <w:rPr>
          <w:rFonts w:ascii="Times New Roman" w:hAnsi="Times New Roman"/>
          <w:sz w:val="20"/>
        </w:rPr>
        <w:t xml:space="preserve">The Company is seeking the approval of its stockholders of an advisory resolution regarding the compensation of our named executive officers, as disclosed in this proxy statement under the section titled “Executive Officer and Director Compensation.” While this stockholder vote on executive compensation is only an advisory vote that is not binding on the Company or the Board of Directors, the Company values the opinions of its stockholders and will consider the outcome of the vote when making future compensation decisions. </w:t>
      </w:r>
    </w:p>
    <w:p>
      <w:pPr>
        <w:pStyle w:val="TextBody"/>
        <w:spacing w:before="240" w:after="0"/>
        <w:jc w:val="left"/>
        <w:rPr>
          <w:rFonts w:ascii="Times New Roman" w:hAnsi="Times New Roman"/>
          <w:sz w:val="20"/>
        </w:rPr>
      </w:pPr>
      <w:r>
        <w:rPr>
          <w:rFonts w:ascii="Times New Roman" w:hAnsi="Times New Roman"/>
          <w:sz w:val="20"/>
        </w:rPr>
        <w:t xml:space="preserve">As described more fully in the Compensation Discussion and Analysis section, the primary objective of our executive compensation program is to attract, retain and reward executive officers who contribute to our long-term success. We believe this requires a competitive compensation structure both as compared to similarly situated companies in the media industry and other companies that are our peers in terms of annual revenues. Additionally, we seek to align a significant portion of executive officer compensation to the achievement of specified Company performance goals. Incentive cash bonuses are included to drive executive performance by having pay at risk so that a significant portion of potential cash compensation is tied to goal achievement. We also include performance-based equity grants as a significant component of prospective executive compensation so that the value of a portion of executive compensation is aligned with the performance of our Class A Common Stock. Our annual equity grants to executives are earned solely based on the achievement of performance objectives. </w:t>
      </w:r>
    </w:p>
    <w:p>
      <w:pPr>
        <w:pStyle w:val="TextBody"/>
        <w:spacing w:before="240" w:after="0"/>
        <w:jc w:val="left"/>
        <w:rPr>
          <w:rFonts w:ascii="Times New Roman" w:hAnsi="Times New Roman"/>
          <w:sz w:val="20"/>
        </w:rPr>
      </w:pPr>
      <w:r>
        <w:rPr>
          <w:rFonts w:ascii="Times New Roman" w:hAnsi="Times New Roman"/>
          <w:sz w:val="20"/>
        </w:rPr>
        <w:t xml:space="preserve">We urge stockholders to read the “Compensation Discussion and Analysis” section above, which describes in more detail how our executive compensation policies and procedures operate and are designed to achieve our compensation objectives, as well as the Summary Compensation Table and the related compensation tables and narrative above which provide detailed information on the compensation of our named executive officers. </w:t>
      </w:r>
    </w:p>
    <w:p>
      <w:pPr>
        <w:pStyle w:val="TextBody"/>
        <w:spacing w:before="240" w:after="0"/>
        <w:jc w:val="left"/>
        <w:rPr>
          <w:rFonts w:ascii="Times New Roman" w:hAnsi="Times New Roman"/>
          <w:sz w:val="20"/>
        </w:rPr>
      </w:pPr>
      <w:r>
        <w:rPr>
          <w:rFonts w:ascii="Times New Roman" w:hAnsi="Times New Roman"/>
          <w:sz w:val="20"/>
        </w:rPr>
        <w:t xml:space="preserve">In light of the above, the Compensation Committee and the Board of Directors believe that the policies and procedures articulated in the “Compensation Discussion and Analysis” are effective in achieving our goals and that the compensation of our named executive officers reported in this proxy statement has supported and contributed to the Company’s success. </w:t>
      </w:r>
    </w:p>
    <w:p>
      <w:pPr>
        <w:pStyle w:val="TextBody"/>
        <w:spacing w:before="360" w:after="0"/>
        <w:jc w:val="left"/>
        <w:rPr>
          <w:rFonts w:ascii="Times New Roman" w:hAnsi="Times New Roman"/>
          <w:b/>
          <w:sz w:val="20"/>
        </w:rPr>
      </w:pPr>
      <w:r>
        <w:rPr>
          <w:rFonts w:ascii="Times New Roman" w:hAnsi="Times New Roman"/>
          <w:b/>
          <w:sz w:val="20"/>
        </w:rPr>
        <w:t xml:space="preserve">Principal Effects of Approval or Non-Approval of the Proposal </w:t>
      </w:r>
    </w:p>
    <w:p>
      <w:pPr>
        <w:pStyle w:val="TextBody"/>
        <w:spacing w:before="120" w:after="0"/>
        <w:jc w:val="left"/>
        <w:rPr>
          <w:rFonts w:ascii="Times New Roman" w:hAnsi="Times New Roman"/>
          <w:sz w:val="20"/>
        </w:rPr>
      </w:pPr>
      <w:r>
        <w:rPr>
          <w:rFonts w:ascii="Times New Roman" w:hAnsi="Times New Roman"/>
          <w:sz w:val="20"/>
        </w:rPr>
        <w:t xml:space="preserve">The approval of the compensation of the named executive officers, commonly known as a “say-on-pay” resolution, is non-binding on the Board of Directors. As stated above, although the vote is non-binding, the Board and the Compensation Committee will review and consider the voting results when making future decisions regarding our executive compensation program. </w:t>
      </w:r>
    </w:p>
    <w:p>
      <w:pPr>
        <w:pStyle w:val="TextBody"/>
        <w:spacing w:before="360" w:after="0"/>
        <w:jc w:val="left"/>
        <w:rPr>
          <w:rFonts w:ascii="Times New Roman" w:hAnsi="Times New Roman"/>
          <w:b/>
          <w:sz w:val="20"/>
        </w:rPr>
      </w:pPr>
      <w:r>
        <w:rPr>
          <w:rFonts w:ascii="Times New Roman" w:hAnsi="Times New Roman"/>
          <w:b/>
          <w:sz w:val="20"/>
        </w:rPr>
        <w:t xml:space="preserve">Required Vote </w:t>
      </w:r>
    </w:p>
    <w:p>
      <w:pPr>
        <w:pStyle w:val="TextBody"/>
        <w:spacing w:before="120" w:after="0"/>
        <w:jc w:val="left"/>
        <w:rPr>
          <w:rFonts w:ascii="Times New Roman" w:hAnsi="Times New Roman"/>
          <w:sz w:val="20"/>
        </w:rPr>
      </w:pPr>
      <w:r>
        <w:rPr>
          <w:rFonts w:ascii="Times New Roman" w:hAnsi="Times New Roman"/>
          <w:sz w:val="20"/>
        </w:rPr>
        <w:t xml:space="preserve">The non-binding approval of the compensation of the named executive officers by the stockholders requires the approval of a majority of the votes cast by the stockholders entitled to vote on this proposal at the meeting. Abstentions, broker non-votes, and votes withheld will not be treated as votes cast for this purpose and will not affect the outcome of the election. Proxies solicited by the Board will be voted to approve the compensation of the named executive officers unless a stockholder has indicated otherwise in the proxy. </w:t>
      </w:r>
    </w:p>
    <w:p>
      <w:pPr>
        <w:pStyle w:val="TextBody"/>
        <w:spacing w:before="480" w:after="0"/>
        <w:jc w:val="center"/>
        <w:rPr>
          <w:rFonts w:ascii="Times New Roman" w:hAnsi="Times New Roman"/>
          <w:b/>
          <w:sz w:val="20"/>
        </w:rPr>
      </w:pPr>
      <w:r>
        <w:rPr>
          <w:rFonts w:ascii="Times New Roman" w:hAnsi="Times New Roman"/>
          <w:b/>
          <w:sz w:val="20"/>
        </w:rPr>
        <w:t xml:space="preserve">The Board of Directors recommends a vote FOR the non-binding, advisory proposal to approve the executive compensation of our named executive officers, as disclosed in this proxy statement.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toc440239_12"/>
      <w:bookmarkEnd w:id="13"/>
      <w:r>
        <w:rPr>
          <w:rFonts w:ascii="Times New Roman" w:hAnsi="Times New Roman"/>
          <w:b/>
          <w:sz w:val="20"/>
        </w:rPr>
        <w:t xml:space="preserve">PROPOSAL NO. 3: ADVISORY VOTE ON THE FREQUENCY OF FUTURE ADVISORY </w:t>
      </w:r>
    </w:p>
    <w:p>
      <w:pPr>
        <w:pStyle w:val="TextBody"/>
        <w:spacing w:before="0" w:after="0"/>
        <w:jc w:val="center"/>
        <w:rPr>
          <w:rFonts w:ascii="Times New Roman" w:hAnsi="Times New Roman"/>
          <w:b/>
          <w:sz w:val="20"/>
        </w:rPr>
      </w:pPr>
      <w:r>
        <w:rPr>
          <w:rFonts w:ascii="Times New Roman" w:hAnsi="Times New Roman"/>
          <w:b/>
          <w:sz w:val="20"/>
        </w:rPr>
        <w:t xml:space="preserve">VOTES ON EXECUTIVE COMPENSATION </w:t>
      </w:r>
    </w:p>
    <w:p>
      <w:pPr>
        <w:pStyle w:val="TextBody"/>
        <w:spacing w:before="240" w:after="0"/>
        <w:jc w:val="left"/>
        <w:rPr>
          <w:rFonts w:ascii="Times New Roman" w:hAnsi="Times New Roman"/>
          <w:sz w:val="20"/>
        </w:rPr>
      </w:pPr>
      <w:r>
        <w:rPr>
          <w:rFonts w:ascii="Times New Roman" w:hAnsi="Times New Roman"/>
          <w:sz w:val="20"/>
        </w:rPr>
        <w:t xml:space="preserve">The Company is seeking the vote of its stockholders on an advisory resolution regarding the frequency with which future votes on the compensation of our named executive officers (the “say-on-pay” proposal in Proposal No. 2 of this proxy statement) should occur. Stockholders may vote that the “say-on-pay” proposal be included every year, every two years or every three years. While this stockholder vote on the future frequency of the “say-on-pay” proposal is an advisory vote that is not binding on the Company or the Board of Directors, the Company values the opinions of its stockholders and will consider the outcome of the vote when making decisions regarding the inclusion of “say-on-pay” proposals in future proxy statements. </w:t>
      </w:r>
    </w:p>
    <w:p>
      <w:pPr>
        <w:pStyle w:val="TextBody"/>
        <w:spacing w:before="240" w:after="0"/>
        <w:jc w:val="left"/>
        <w:rPr>
          <w:rFonts w:ascii="Times New Roman" w:hAnsi="Times New Roman"/>
          <w:sz w:val="20"/>
        </w:rPr>
      </w:pPr>
      <w:r>
        <w:rPr>
          <w:rFonts w:ascii="Times New Roman" w:hAnsi="Times New Roman"/>
          <w:sz w:val="20"/>
        </w:rPr>
        <w:t xml:space="preserve">Our Board has determined that the non-binding advisory vote on executive compensation should occur every three years. In determining to recommend that stockholders vote for a frequency of once every three years, our Board considered that an advisory vote at this frequency will provide stockholders and advisory firms sufficient time to evaluate the effectiveness of our executive compensation philosophy, policies and practices in the context of our long-term business results. </w:t>
      </w:r>
    </w:p>
    <w:p>
      <w:pPr>
        <w:pStyle w:val="TextBody"/>
        <w:spacing w:before="240" w:after="0"/>
        <w:jc w:val="left"/>
        <w:rPr>
          <w:rFonts w:ascii="Times New Roman" w:hAnsi="Times New Roman"/>
          <w:sz w:val="20"/>
        </w:rPr>
      </w:pPr>
      <w:r>
        <w:rPr>
          <w:rFonts w:ascii="Times New Roman" w:hAnsi="Times New Roman"/>
          <w:sz w:val="20"/>
        </w:rPr>
        <w:t xml:space="preserve">In addition, our Board believes that an annual vote on executive compensation will not allow sufficient time for stockholders to meaningfully evaluate any changes to our executive compensation policies and practices, including changes made in response to the outcome of a prior advisory vote on executive compensation. For example, if our evaluation of the executive compensation vote in May 2023 caused us to make changes to our executive compensation program in February 2024 (when executive compensation decisions are customarily made by the Compensation Committee based on Company and individual performance during the previous year), those changes would only be in place for a little more than a month before the next executive compensation vote would take place in May 2024 under an annual frequency. Even if changes were made to the compensation program shortly after the executive compensation vote in May 2023, those changes would be in place only for the last half of fiscal 2023 and the first few months of fiscal 2024 before the next vote would take place in May 2014. A triennial vote also provides the Company with additional time to engage with stockholders and meaningfully and thoughtfully respond to stockholders’ views. </w:t>
      </w:r>
    </w:p>
    <w:p>
      <w:pPr>
        <w:pStyle w:val="TextBody"/>
        <w:spacing w:before="240" w:after="0"/>
        <w:jc w:val="left"/>
        <w:rPr>
          <w:rFonts w:ascii="Times New Roman" w:hAnsi="Times New Roman"/>
          <w:sz w:val="20"/>
        </w:rPr>
      </w:pPr>
      <w:r>
        <w:rPr>
          <w:rFonts w:ascii="Times New Roman" w:hAnsi="Times New Roman"/>
          <w:sz w:val="20"/>
        </w:rPr>
        <w:t xml:space="preserve">In light of the above, the Compensation Committee and the Board of Directors believe that a triennial advisory vote on the compensation of our named executive officers is in the best interests of the Company and its stockholders. Stockholders are not voting to approve or disapprove of the Board’s recommendation for an advisory vote on executive compensation to occur every three years; stockholders have the opportunity to vote in one of four ways: (i) to hold the say-on-pay vote every year; (ii) to hold the say-on-pay vote every two years; (iii) to hold the say-on-pay vote every three years; or (iv) abstain from voting on the advisory proposal. </w:t>
      </w:r>
    </w:p>
    <w:p>
      <w:pPr>
        <w:pStyle w:val="TextBody"/>
        <w:spacing w:before="360" w:after="0"/>
        <w:jc w:val="left"/>
        <w:rPr>
          <w:rFonts w:ascii="Times New Roman" w:hAnsi="Times New Roman"/>
          <w:b/>
          <w:sz w:val="20"/>
        </w:rPr>
      </w:pPr>
      <w:r>
        <w:rPr>
          <w:rFonts w:ascii="Times New Roman" w:hAnsi="Times New Roman"/>
          <w:b/>
          <w:sz w:val="20"/>
        </w:rPr>
        <w:t xml:space="preserve">Principal Effects of Approval or Non-Approval of the Proposal </w:t>
      </w:r>
    </w:p>
    <w:p>
      <w:pPr>
        <w:pStyle w:val="TextBody"/>
        <w:spacing w:before="120" w:after="0"/>
        <w:jc w:val="left"/>
        <w:rPr>
          <w:rFonts w:ascii="Times New Roman" w:hAnsi="Times New Roman"/>
          <w:sz w:val="20"/>
        </w:rPr>
      </w:pPr>
      <w:r>
        <w:rPr>
          <w:rFonts w:ascii="Times New Roman" w:hAnsi="Times New Roman"/>
          <w:sz w:val="20"/>
        </w:rPr>
        <w:t xml:space="preserve">The vote on the frequency with which “say-on-pay” proposals are included in future proxy statements is non-binding on the Board of Directors. As stated above, although the vote is non-binding, the Board and the Compensation Committee will review and consider the voting results when making future decisions regarding the inclusion of a “say-on-pay” proposal in future proxy statements. </w:t>
      </w:r>
    </w:p>
    <w:p>
      <w:pPr>
        <w:pStyle w:val="TextBody"/>
        <w:spacing w:before="360" w:after="0"/>
        <w:jc w:val="left"/>
        <w:rPr>
          <w:rFonts w:ascii="Times New Roman" w:hAnsi="Times New Roman"/>
          <w:b/>
          <w:sz w:val="20"/>
        </w:rPr>
      </w:pPr>
      <w:r>
        <w:rPr>
          <w:rFonts w:ascii="Times New Roman" w:hAnsi="Times New Roman"/>
          <w:b/>
          <w:sz w:val="20"/>
        </w:rPr>
        <w:t xml:space="preserve">Required Vote </w:t>
      </w:r>
    </w:p>
    <w:p>
      <w:pPr>
        <w:pStyle w:val="TextBody"/>
        <w:spacing w:before="120" w:after="0"/>
        <w:jc w:val="left"/>
        <w:rPr>
          <w:rFonts w:ascii="Times New Roman" w:hAnsi="Times New Roman"/>
          <w:sz w:val="20"/>
        </w:rPr>
      </w:pPr>
      <w:r>
        <w:rPr>
          <w:rFonts w:ascii="Times New Roman" w:hAnsi="Times New Roman"/>
          <w:sz w:val="20"/>
        </w:rPr>
        <w:t xml:space="preserve">The frequency with which “say-on-pay” proposals are included in future proxy statements that receives a plurality of the votes cast by the stockholders entitled to vote on this proposal at the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will be considered the selection of the stockholders. Abstentions, broker non-votes, and votes withheld will not be treated as votes cast for this purpose and will not affect the outcome of the election. Proxies solicited by the Board will be voted in favor of holding a “say-on-pay” vote every three years unless a stockholder has indicated otherwise in the proxy. </w:t>
      </w:r>
    </w:p>
    <w:p>
      <w:pPr>
        <w:pStyle w:val="TextBody"/>
        <w:spacing w:before="240" w:after="0"/>
        <w:jc w:val="center"/>
        <w:rPr>
          <w:rFonts w:ascii="Times New Roman" w:hAnsi="Times New Roman"/>
          <w:b/>
          <w:sz w:val="20"/>
        </w:rPr>
      </w:pPr>
      <w:r>
        <w:rPr>
          <w:rFonts w:ascii="Times New Roman" w:hAnsi="Times New Roman"/>
          <w:b/>
          <w:sz w:val="20"/>
        </w:rPr>
        <w:t xml:space="preserve">Our Board recommends a vote for conducting future advisory votes on executive compensation </w:t>
      </w:r>
    </w:p>
    <w:p>
      <w:pPr>
        <w:pStyle w:val="TextBody"/>
        <w:spacing w:before="0" w:after="0"/>
        <w:jc w:val="center"/>
        <w:rPr>
          <w:rFonts w:ascii="Times New Roman" w:hAnsi="Times New Roman"/>
          <w:b/>
          <w:sz w:val="20"/>
        </w:rPr>
      </w:pPr>
      <w:r>
        <w:rPr>
          <w:rFonts w:ascii="Times New Roman" w:hAnsi="Times New Roman"/>
          <w:b/>
          <w:sz w:val="20"/>
        </w:rPr>
        <w:t>every </w:t>
      </w:r>
      <w:r>
        <w:rPr>
          <w:rFonts w:ascii="Times New Roman" w:hAnsi="Times New Roman"/>
          <w:b/>
          <w:sz w:val="20"/>
          <w:u w:val="single"/>
        </w:rPr>
        <w:t>three years</w:t>
      </w:r>
      <w:r>
        <w:rPr>
          <w:rFonts w:ascii="Times New Roman" w:hAnsi="Times New Roman"/>
          <w:b/>
          <w:sz w:val="20"/>
        </w:rPr>
        <w:t xml:space="preserv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oc440239_13"/>
      <w:bookmarkEnd w:id="14"/>
      <w:r>
        <w:rPr>
          <w:rFonts w:ascii="Times New Roman" w:hAnsi="Times New Roman"/>
          <w:b/>
          <w:sz w:val="20"/>
        </w:rPr>
        <w:t xml:space="preserve">AUDIT COMMITTEE REPORT </w:t>
      </w:r>
    </w:p>
    <w:p>
      <w:pPr>
        <w:pStyle w:val="TextBody"/>
        <w:spacing w:before="240" w:after="0"/>
        <w:jc w:val="left"/>
        <w:rPr>
          <w:rFonts w:ascii="Times New Roman" w:hAnsi="Times New Roman"/>
          <w:sz w:val="20"/>
        </w:rPr>
      </w:pPr>
      <w:r>
        <w:rPr>
          <w:rFonts w:ascii="Times New Roman" w:hAnsi="Times New Roman"/>
          <w:sz w:val="20"/>
        </w:rPr>
        <w:t xml:space="preserve">The following is the report of the Audit Committee with respect to the Company’s audited financial statements for the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The purpose of the Audit Committee is to assist the Board in fulfilling its responsibility to oversee the Company’s accounting and financial reporting, internal controls, and audit functions. The Audit Committee Charter describes in greater detail the full responsibilities of the committee. The Audit Committee is comprised entirely of independent directors as defined by applicable Nasdaq Stock Market listing standards. </w:t>
      </w:r>
    </w:p>
    <w:p>
      <w:pPr>
        <w:pStyle w:val="TextBody"/>
        <w:spacing w:before="240" w:after="0"/>
        <w:jc w:val="left"/>
        <w:rPr>
          <w:rFonts w:ascii="Times New Roman" w:hAnsi="Times New Roman"/>
          <w:sz w:val="20"/>
        </w:rPr>
      </w:pPr>
      <w:r>
        <w:rPr>
          <w:rFonts w:ascii="Times New Roman" w:hAnsi="Times New Roman"/>
          <w:sz w:val="20"/>
        </w:rPr>
        <w:t xml:space="preserve">Management is responsible for our internal controls and the financial reporting process. The Company’s independent registered public accounting firm is responsible for performing an independent audit of our consolidated financial statements and internal control over financial reporting in accordance with the standards established by the Public Company Accounting Oversight Board (United States) (“PCAOB”) and issuing a report thereon. The Audit Committee’s responsibility is to monitor these processes. The Audit Committee has reviewed and discussed the consolidated financial statements with management and KPMG LLP, our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In the course of its oversight of the Company’s financial reporting process, the Audit Committee of the Board of Directors has: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reviewed and discussed with management the Company’s audited financial statements for the fiscal year ended December 31,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discussed with KPMG LLP, the Company’s independent registered public accounting firm, the matters required to be discussed by PCAOB Auditing Standards No. 1301;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reviewed and discussed with management and KPMG LLP the Company’s report on internal controls over financial reporting and the adequacy and effectiveness of the Company’s disclosure controls and procedures;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received the written disclosures and the letter from KPMG LLP required by applicable requirements of the PCAOB regarding KPMG’s communications with the Audit Committee concerning independence; </w:t>
            </w:r>
          </w:p>
        </w:tc>
      </w:tr>
    </w:tbl>
    <w:p>
      <w:pPr>
        <w:pStyle w:val="TextBody"/>
        <w:spacing w:before="0" w:after="0"/>
        <w:jc w:val="left"/>
        <w:rPr/>
      </w:pPr>
      <w:r>
        <w:rPr/>
        <w:t> </w:t>
      </w:r>
    </w:p>
    <w:tbl>
      <w:tblPr>
        <w:tblW w:w="4330" w:type="dxa"/>
        <w:jc w:val="left"/>
        <w:tblInd w:w="0" w:type="dxa"/>
        <w:tblCellMar>
          <w:top w:w="0" w:type="dxa"/>
          <w:left w:w="0" w:type="dxa"/>
          <w:bottom w:w="0" w:type="dxa"/>
          <w:right w:w="0" w:type="dxa"/>
        </w:tblCellMar>
      </w:tblPr>
      <w:tblGrid>
        <w:gridCol w:w="75"/>
        <w:gridCol w:w="110"/>
        <w:gridCol w:w="60"/>
        <w:gridCol w:w="40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0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discussed with KPMG LLP its independence; and </w:t>
            </w:r>
          </w:p>
        </w:tc>
      </w:tr>
    </w:tbl>
    <w:p>
      <w:pPr>
        <w:pStyle w:val="TextBody"/>
        <w:spacing w:before="0" w:after="0"/>
        <w:jc w:val="left"/>
        <w:rPr/>
      </w:pPr>
      <w:r>
        <w:rPr/>
        <w:t> </w:t>
      </w:r>
    </w:p>
    <w:tbl>
      <w:tblPr>
        <w:tblW w:w="10060" w:type="dxa"/>
        <w:jc w:val="left"/>
        <w:tblInd w:w="0" w:type="dxa"/>
        <w:tblCellMar>
          <w:top w:w="0" w:type="dxa"/>
          <w:left w:w="0" w:type="dxa"/>
          <w:bottom w:w="0" w:type="dxa"/>
          <w:right w:w="0" w:type="dxa"/>
        </w:tblCellMar>
      </w:tblPr>
      <w:tblGrid>
        <w:gridCol w:w="75"/>
        <w:gridCol w:w="110"/>
        <w:gridCol w:w="60"/>
        <w:gridCol w:w="98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81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considered whether the provision of non-audit services by KPMG LLP is compatible with maintaining its independence. </w:t>
            </w:r>
          </w:p>
        </w:tc>
      </w:tr>
    </w:tbl>
    <w:p>
      <w:pPr>
        <w:pStyle w:val="TextBody"/>
        <w:spacing w:before="240" w:after="0"/>
        <w:jc w:val="left"/>
        <w:rPr>
          <w:rFonts w:ascii="Times New Roman" w:hAnsi="Times New Roman"/>
          <w:sz w:val="20"/>
        </w:rPr>
      </w:pPr>
      <w:r>
        <w:rPr>
          <w:rFonts w:ascii="Times New Roman" w:hAnsi="Times New Roman"/>
          <w:sz w:val="20"/>
        </w:rPr>
        <w:t xml:space="preserve">Based on the foregoing review and discussions, the Audit Committee recommended to the Board of Directors that the audited financial statements be included in the Company’s annual report on Form 10-K for the year ended December 31, 2022, for filing with the SEC. </w:t>
      </w:r>
    </w:p>
    <w:p>
      <w:pPr>
        <w:pStyle w:val="TextBody"/>
        <w:spacing w:before="0" w:after="0"/>
        <w:jc w:val="left"/>
        <w:rPr/>
      </w:pPr>
      <w:r>
        <w:rPr/>
        <w:t> </w:t>
      </w:r>
    </w:p>
    <w:tbl>
      <w:tblPr>
        <w:tblW w:w="2435" w:type="dxa"/>
        <w:jc w:val="left"/>
        <w:tblInd w:w="0" w:type="dxa"/>
        <w:tblCellMar>
          <w:top w:w="0" w:type="dxa"/>
          <w:left w:w="0" w:type="dxa"/>
          <w:bottom w:w="0" w:type="dxa"/>
          <w:right w:w="0" w:type="dxa"/>
        </w:tblCellMar>
      </w:tblPr>
      <w:tblGrid>
        <w:gridCol w:w="2435"/>
      </w:tblGrid>
      <w:tr>
        <w:trPr/>
        <w:tc>
          <w:tcPr>
            <w:tcW w:w="2435" w:type="dxa"/>
            <w:tcBorders/>
            <w:shd w:fill="auto" w:val="clear"/>
            <w:vAlign w:val="center"/>
          </w:tcPr>
          <w:p>
            <w:pPr>
              <w:pStyle w:val="TableContents"/>
              <w:spacing w:before="0" w:after="283"/>
              <w:rPr>
                <w:sz w:val="4"/>
                <w:szCs w:val="4"/>
              </w:rPr>
            </w:pPr>
            <w:r>
              <w:rPr>
                <w:sz w:val="4"/>
                <w:szCs w:val="4"/>
              </w:rPr>
            </w:r>
          </w:p>
        </w:tc>
      </w:tr>
      <w:tr>
        <w:trPr/>
        <w:tc>
          <w:tcPr>
            <w:tcW w:w="2435" w:type="dxa"/>
            <w:tcBorders/>
            <w:shd w:fill="auto" w:val="clear"/>
            <w:vAlign w:val="center"/>
          </w:tcPr>
          <w:p>
            <w:pPr>
              <w:pStyle w:val="TableContents"/>
              <w:spacing w:before="0" w:after="283"/>
              <w:rPr/>
            </w:pPr>
            <w:r>
              <w:rPr/>
              <w:t>By the Audit Committee,</w:t>
            </w:r>
          </w:p>
        </w:tc>
      </w:tr>
      <w:tr>
        <w:trPr/>
        <w:tc>
          <w:tcPr>
            <w:tcW w:w="2435" w:type="dxa"/>
            <w:tcBorders/>
            <w:shd w:fill="auto" w:val="clear"/>
            <w:vAlign w:val="center"/>
          </w:tcPr>
          <w:p>
            <w:pPr>
              <w:pStyle w:val="TableContents"/>
              <w:spacing w:before="0" w:after="283"/>
              <w:rPr>
                <w:sz w:val="4"/>
                <w:szCs w:val="4"/>
              </w:rPr>
            </w:pPr>
            <w:r>
              <w:rPr>
                <w:sz w:val="4"/>
                <w:szCs w:val="4"/>
              </w:rPr>
            </w:r>
          </w:p>
        </w:tc>
      </w:tr>
      <w:tr>
        <w:trPr/>
        <w:tc>
          <w:tcPr>
            <w:tcW w:w="24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Stephen P. Mumblow </w:t>
            </w:r>
            <w:r>
              <w:rPr>
                <w:rFonts w:ascii="Times New Roman" w:hAnsi="Times New Roman"/>
                <w:i/>
                <w:sz w:val="20"/>
              </w:rPr>
              <w:t>(Chair)</w:t>
            </w:r>
          </w:p>
          <w:p>
            <w:pPr>
              <w:pStyle w:val="TableContents"/>
              <w:spacing w:before="0" w:after="20"/>
              <w:rPr>
                <w:rFonts w:ascii="Times New Roman" w:hAnsi="Times New Roman"/>
                <w:sz w:val="20"/>
              </w:rPr>
            </w:pPr>
            <w:r>
              <w:rPr>
                <w:rFonts w:ascii="Times New Roman" w:hAnsi="Times New Roman"/>
                <w:sz w:val="20"/>
              </w:rPr>
              <w:t>John E. Koerner, III</w:t>
            </w:r>
          </w:p>
        </w:tc>
      </w:tr>
      <w:tr>
        <w:trPr/>
        <w:tc>
          <w:tcPr>
            <w:tcW w:w="243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Marshall Loeb</w:t>
            </w:r>
          </w:p>
          <w:p>
            <w:pPr>
              <w:pStyle w:val="TableContents"/>
              <w:spacing w:before="0" w:after="20"/>
              <w:rPr>
                <w:rFonts w:ascii="Times New Roman" w:hAnsi="Times New Roman"/>
                <w:sz w:val="20"/>
              </w:rPr>
            </w:pPr>
            <w:r>
              <w:rPr>
                <w:rFonts w:ascii="Times New Roman" w:hAnsi="Times New Roman"/>
                <w:sz w:val="20"/>
              </w:rPr>
              <w:t>Thomas V. Reifenheiser</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oc440239_14"/>
      <w:bookmarkEnd w:id="15"/>
      <w:r>
        <w:rPr>
          <w:rFonts w:ascii="Times New Roman" w:hAnsi="Times New Roman"/>
          <w:b/>
          <w:sz w:val="20"/>
        </w:rPr>
        <w:t xml:space="preserve">PROPOSAL NO. 4: RATIFICATION OF INDEPENDENT </w:t>
      </w:r>
    </w:p>
    <w:p>
      <w:pPr>
        <w:pStyle w:val="TextBody"/>
        <w:spacing w:before="0" w:after="0"/>
        <w:jc w:val="center"/>
        <w:rPr>
          <w:rFonts w:ascii="Times New Roman" w:hAnsi="Times New Roman"/>
          <w:b/>
          <w:sz w:val="20"/>
        </w:rPr>
      </w:pPr>
      <w:r>
        <w:rPr>
          <w:rFonts w:ascii="Times New Roman" w:hAnsi="Times New Roman"/>
          <w:b/>
          <w:sz w:val="20"/>
        </w:rPr>
        <w:t xml:space="preserve">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The firm of KPMG LLP, an independent registered public accounting firm, has audited our financial statements for each of the years ending December 31, 2022, 2021 and 2020. Our Audit Committee has appointed them to serve as our independent registered public accounting firm for the fiscal year ending December 31, 2023. Representatives of KPMG LLP are expected to attend the virtual Annual Meeting to respond to appropriate questions. Representatives of KPMG LLP will also have the opportunity to make a statement, if they desire. </w:t>
      </w:r>
    </w:p>
    <w:p>
      <w:pPr>
        <w:pStyle w:val="TextBody"/>
        <w:spacing w:before="240" w:after="0"/>
        <w:jc w:val="left"/>
        <w:rPr>
          <w:rFonts w:ascii="Times New Roman" w:hAnsi="Times New Roman"/>
          <w:sz w:val="20"/>
        </w:rPr>
      </w:pPr>
      <w:r>
        <w:rPr>
          <w:rFonts w:ascii="Times New Roman" w:hAnsi="Times New Roman"/>
          <w:sz w:val="20"/>
        </w:rPr>
        <w:t xml:space="preserve">Detailed disclosure of the audit, audit-related and tax fees we paid to KPMG LLP in 2022 and 2021 is set forth below. Based on these disclosures and information in the Audit Committee Report on page 43 of this proxy statement, our Audit Committee is satisfied that our accountants are sufficiently independent of management to perform their duties properly. </w:t>
      </w:r>
    </w:p>
    <w:p>
      <w:pPr>
        <w:pStyle w:val="TextBody"/>
        <w:spacing w:before="240" w:after="0"/>
        <w:jc w:val="left"/>
        <w:rPr>
          <w:rFonts w:ascii="Times New Roman" w:hAnsi="Times New Roman"/>
          <w:sz w:val="20"/>
        </w:rPr>
      </w:pPr>
      <w:r>
        <w:rPr>
          <w:rFonts w:ascii="Times New Roman" w:hAnsi="Times New Roman"/>
          <w:sz w:val="20"/>
        </w:rPr>
        <w:t xml:space="preserve">Although not legally required to do so, our Board considers it desirable to seek, and recommends, stockholder ratification of our selection of KPMG LLP as our independent registered public accounting firm for fiscal 2023. If the stockholders fail to ratify our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 of the Company and its stockholders. </w:t>
      </w:r>
    </w:p>
    <w:p>
      <w:pPr>
        <w:pStyle w:val="TextBody"/>
        <w:spacing w:before="360" w:after="0"/>
        <w:jc w:val="left"/>
        <w:rPr>
          <w:rFonts w:ascii="Times New Roman" w:hAnsi="Times New Roman"/>
          <w:b/>
          <w:sz w:val="20"/>
        </w:rPr>
      </w:pPr>
      <w:r>
        <w:rPr>
          <w:rFonts w:ascii="Times New Roman" w:hAnsi="Times New Roman"/>
          <w:b/>
          <w:sz w:val="20"/>
        </w:rPr>
        <w:t xml:space="preserve">Audit Fees and Services </w:t>
      </w:r>
    </w:p>
    <w:p>
      <w:pPr>
        <w:pStyle w:val="TextBody"/>
        <w:spacing w:before="120" w:after="0"/>
        <w:jc w:val="left"/>
        <w:rPr>
          <w:rFonts w:ascii="Times New Roman" w:hAnsi="Times New Roman"/>
          <w:sz w:val="20"/>
        </w:rPr>
      </w:pPr>
      <w:r>
        <w:rPr>
          <w:rFonts w:ascii="Times New Roman" w:hAnsi="Times New Roman"/>
          <w:sz w:val="20"/>
        </w:rPr>
        <w:t xml:space="preserve">The fees for services provided by KPMG LLP to the Company in 2022 and 2021 were as follows: </w:t>
      </w:r>
    </w:p>
    <w:p>
      <w:pPr>
        <w:pStyle w:val="TextBody"/>
        <w:spacing w:before="0" w:after="0"/>
        <w:jc w:val="left"/>
        <w:rPr/>
      </w:pPr>
      <w:r>
        <w:rPr/>
        <w:t> </w:t>
      </w:r>
    </w:p>
    <w:tbl>
      <w:tblPr>
        <w:tblW w:w="4530" w:type="dxa"/>
        <w:jc w:val="left"/>
        <w:tblInd w:w="0" w:type="dxa"/>
        <w:tblCellMar>
          <w:top w:w="0" w:type="dxa"/>
          <w:left w:w="0" w:type="dxa"/>
          <w:bottom w:w="0" w:type="dxa"/>
          <w:right w:w="0" w:type="dxa"/>
        </w:tblCellMar>
      </w:tblPr>
      <w:tblGrid>
        <w:gridCol w:w="1865"/>
        <w:gridCol w:w="120"/>
        <w:gridCol w:w="143"/>
        <w:gridCol w:w="1002"/>
        <w:gridCol w:w="60"/>
        <w:gridCol w:w="120"/>
        <w:gridCol w:w="143"/>
        <w:gridCol w:w="1002"/>
        <w:gridCol w:w="75"/>
      </w:tblGrid>
      <w:tr>
        <w:trPr/>
        <w:tc>
          <w:tcPr>
            <w:tcW w:w="18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0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Fiscal 2022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center"/>
          </w:tcPr>
          <w:p>
            <w:pPr>
              <w:pStyle w:val="TableContents"/>
              <w:spacing w:before="0" w:after="283"/>
              <w:jc w:val="center"/>
              <w:rPr>
                <w:b/>
              </w:rPr>
            </w:pPr>
            <w:r>
              <w:rPr>
                <w:b/>
              </w:rPr>
              <w:t>Fiscal 2021</w:t>
            </w:r>
          </w:p>
        </w:tc>
        <w:tc>
          <w:tcPr>
            <w:tcW w:w="75" w:type="dxa"/>
            <w:tcBorders/>
            <w:shd w:fill="auto" w:val="cle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Audit Fees(1) </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1002" w:type="dxa"/>
            <w:tcBorders/>
            <w:shd w:fill="CCEEFF" w:val="clear"/>
            <w:vAlign w:val="center"/>
          </w:tcPr>
          <w:p>
            <w:pPr>
              <w:pStyle w:val="TableContents"/>
              <w:spacing w:before="0" w:after="283"/>
              <w:jc w:val="right"/>
              <w:rPr/>
            </w:pPr>
            <w:r>
              <w:rPr/>
              <w:t>1,928,471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1002" w:type="dxa"/>
            <w:tcBorders/>
            <w:shd w:fill="CCEEFF" w:val="clear"/>
            <w:vAlign w:val="center"/>
          </w:tcPr>
          <w:p>
            <w:pPr>
              <w:pStyle w:val="TableContents"/>
              <w:spacing w:before="0" w:after="283"/>
              <w:jc w:val="right"/>
              <w:rPr/>
            </w:pPr>
            <w:r>
              <w:rPr/>
              <w:t>1,995,354</w:t>
            </w:r>
          </w:p>
        </w:tc>
        <w:tc>
          <w:tcPr>
            <w:tcW w:w="75" w:type="dxa"/>
            <w:tcBorders/>
            <w:shd w:fill="CCEEFF" w:val="clear"/>
            <w:vAlign w:val="center"/>
          </w:tcPr>
          <w:p>
            <w:pPr>
              <w:pStyle w:val="TableContents"/>
              <w:spacing w:before="0" w:after="283"/>
              <w:rPr/>
            </w:pPr>
            <w:r>
              <w:rPr/>
              <w:t> </w:t>
            </w:r>
          </w:p>
        </w:tc>
      </w:tr>
      <w:tr>
        <w:trPr/>
        <w:tc>
          <w:tcPr>
            <w:tcW w:w="18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 xml:space="preserve">Audit-Related Fees(2) </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002" w:type="dxa"/>
            <w:tcBorders/>
            <w:shd w:fill="auto" w:val="clear"/>
            <w:vAlign w:val="center"/>
          </w:tcPr>
          <w:p>
            <w:pPr>
              <w:pStyle w:val="TableContents"/>
              <w:spacing w:before="0" w:after="283"/>
              <w:jc w:val="right"/>
              <w:rPr/>
            </w:pPr>
            <w:r>
              <w:rPr/>
              <w:t>35,000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002" w:type="dxa"/>
            <w:tcBorders/>
            <w:shd w:fill="auto" w:val="clear"/>
            <w:vAlign w:val="center"/>
          </w:tcPr>
          <w:p>
            <w:pPr>
              <w:pStyle w:val="TableContents"/>
              <w:spacing w:before="0" w:after="283"/>
              <w:jc w:val="right"/>
              <w:rPr/>
            </w:pPr>
            <w:r>
              <w:rPr/>
              <w:t>35,000</w:t>
            </w:r>
          </w:p>
        </w:tc>
        <w:tc>
          <w:tcPr>
            <w:tcW w:w="75" w:type="dxa"/>
            <w:tcBorders/>
            <w:shd w:fill="auto" w:val="cle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 xml:space="preserve">Tax Fees(3) </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002" w:type="dxa"/>
            <w:tcBorders/>
            <w:shd w:fill="CCEEFF" w:val="clear"/>
            <w:vAlign w:val="center"/>
          </w:tcPr>
          <w:p>
            <w:pPr>
              <w:pStyle w:val="TableContents"/>
              <w:spacing w:before="0" w:after="283"/>
              <w:jc w:val="right"/>
              <w:rPr/>
            </w:pPr>
            <w:r>
              <w:rPr/>
              <w:t>148,724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1002" w:type="dxa"/>
            <w:tcBorders/>
            <w:shd w:fill="CCEEFF" w:val="clear"/>
            <w:vAlign w:val="center"/>
          </w:tcPr>
          <w:p>
            <w:pPr>
              <w:pStyle w:val="TableContents"/>
              <w:spacing w:before="0" w:after="283"/>
              <w:jc w:val="right"/>
              <w:rPr/>
            </w:pPr>
            <w:r>
              <w:rPr/>
              <w:t>122,815</w:t>
            </w:r>
          </w:p>
        </w:tc>
        <w:tc>
          <w:tcPr>
            <w:tcW w:w="75" w:type="dxa"/>
            <w:tcBorders/>
            <w:shd w:fill="CCEEFF" w:val="clear"/>
            <w:vAlign w:val="center"/>
          </w:tcPr>
          <w:p>
            <w:pPr>
              <w:pStyle w:val="TableContents"/>
              <w:spacing w:before="0" w:after="283"/>
              <w:rPr/>
            </w:pPr>
            <w:r>
              <w:rPr/>
              <w:t> </w:t>
            </w:r>
          </w:p>
        </w:tc>
      </w:tr>
      <w:tr>
        <w:trPr/>
        <w:tc>
          <w:tcPr>
            <w:tcW w:w="18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All Other Fees</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002"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1002"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8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pBdr>
                <w:top w:val="single" w:sz="2" w:space="1" w:color="000000"/>
              </w:pBdr>
              <w:spacing w:before="0" w:after="0"/>
              <w:rPr/>
            </w:pPr>
            <w:r>
              <w:rPr/>
              <w:t> </w:t>
            </w:r>
          </w:p>
        </w:tc>
        <w:tc>
          <w:tcPr>
            <w:tcW w:w="1002"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pBdr>
                <w:top w:val="single" w:sz="2" w:space="1" w:color="000000"/>
              </w:pBdr>
              <w:spacing w:before="0" w:after="0"/>
              <w:rPr/>
            </w:pPr>
            <w:r>
              <w:rPr/>
              <w:t> </w:t>
            </w:r>
          </w:p>
        </w:tc>
        <w:tc>
          <w:tcPr>
            <w:tcW w:w="1002"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1002" w:type="dxa"/>
            <w:tcBorders/>
            <w:shd w:fill="CCEEFF" w:val="clear"/>
            <w:vAlign w:val="center"/>
          </w:tcPr>
          <w:p>
            <w:pPr>
              <w:pStyle w:val="TableContents"/>
              <w:spacing w:before="0" w:after="283"/>
              <w:jc w:val="right"/>
              <w:rPr/>
            </w:pPr>
            <w:r>
              <w:rPr/>
              <w:t>2,112,195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1002" w:type="dxa"/>
            <w:tcBorders/>
            <w:shd w:fill="CCEEFF" w:val="clear"/>
            <w:vAlign w:val="center"/>
          </w:tcPr>
          <w:p>
            <w:pPr>
              <w:pStyle w:val="TableContents"/>
              <w:spacing w:before="0" w:after="283"/>
              <w:jc w:val="right"/>
              <w:rPr/>
            </w:pPr>
            <w:r>
              <w:rPr/>
              <w:t>2,153,169</w:t>
            </w:r>
          </w:p>
        </w:tc>
        <w:tc>
          <w:tcPr>
            <w:tcW w:w="75" w:type="dxa"/>
            <w:tcBorders/>
            <w:shd w:fill="CCEEFF" w:val="clear"/>
            <w:vAlign w:val="center"/>
          </w:tcPr>
          <w:p>
            <w:pPr>
              <w:pStyle w:val="TableContents"/>
              <w:spacing w:before="0" w:after="283"/>
              <w:rPr/>
            </w:pPr>
            <w:r>
              <w:rPr/>
              <w:t> </w:t>
            </w:r>
          </w:p>
        </w:tc>
      </w:tr>
      <w:tr>
        <w:trPr/>
        <w:tc>
          <w:tcPr>
            <w:tcW w:w="18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pBdr>
                <w:top w:val="single" w:sz="2" w:space="1" w:color="000000"/>
              </w:pBdr>
              <w:spacing w:before="0" w:after="0"/>
              <w:rPr/>
            </w:pPr>
            <w:r>
              <w:rPr/>
              <w:t> </w:t>
            </w:r>
          </w:p>
        </w:tc>
        <w:tc>
          <w:tcPr>
            <w:tcW w:w="1002"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pBdr>
                <w:top w:val="single" w:sz="2" w:space="1" w:color="000000"/>
              </w:pBdr>
              <w:spacing w:before="0" w:after="0"/>
              <w:rPr/>
            </w:pPr>
            <w:r>
              <w:rPr/>
              <w:t> </w:t>
            </w:r>
          </w:p>
        </w:tc>
        <w:tc>
          <w:tcPr>
            <w:tcW w:w="1002"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pPr>
            <w:r>
              <w:rPr/>
              <w:t>(1)</w:t>
            </w:r>
          </w:p>
        </w:tc>
        <w:tc>
          <w:tcPr>
            <w:tcW w:w="9956"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Audit Fees for the years ended December 31, 2022 and 2021 were for professional services rendered for the audits of our consolidated financial statements and review of financial statements included in our quarterly and annual financial statements and subsidiary audits. Audit Fees for the years ended December 31, 2022 and 2021 also include costs associated with KPMG LLP’s audit of our internal control over financial reporting. </w:t>
            </w:r>
          </w:p>
        </w:tc>
      </w:tr>
    </w:tbl>
    <w:tbl>
      <w:tblPr>
        <w:tblW w:w="8575" w:type="dxa"/>
        <w:jc w:val="left"/>
        <w:tblInd w:w="0" w:type="dxa"/>
        <w:tblCellMar>
          <w:top w:w="0" w:type="dxa"/>
          <w:left w:w="0" w:type="dxa"/>
          <w:bottom w:w="0" w:type="dxa"/>
          <w:right w:w="0" w:type="dxa"/>
        </w:tblCellMar>
      </w:tblPr>
      <w:tblGrid>
        <w:gridCol w:w="305"/>
        <w:gridCol w:w="8270"/>
      </w:tblGrid>
      <w:tr>
        <w:trPr/>
        <w:tc>
          <w:tcPr>
            <w:tcW w:w="305" w:type="dxa"/>
            <w:tcBorders/>
            <w:shd w:fill="auto" w:val="clear"/>
            <w:vAlign w:val="center"/>
          </w:tcPr>
          <w:p>
            <w:pPr>
              <w:pStyle w:val="TableContents"/>
              <w:spacing w:before="0" w:after="283"/>
              <w:jc w:val="left"/>
              <w:rPr/>
            </w:pPr>
            <w:r>
              <w:rPr/>
              <w:t>(2)</w:t>
            </w:r>
          </w:p>
        </w:tc>
        <w:tc>
          <w:tcPr>
            <w:tcW w:w="827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Audit related fees consist of professional services rendered for the audit of our employee benefit plan. </w:t>
            </w:r>
          </w:p>
        </w:tc>
      </w:tr>
    </w:tbl>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jc w:val="left"/>
              <w:rPr/>
            </w:pPr>
            <w:r>
              <w:rPr/>
              <w:t>(3)</w:t>
            </w:r>
          </w:p>
        </w:tc>
        <w:tc>
          <w:tcPr>
            <w:tcW w:w="99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Tax Fees for the years ended December 31, 2022 and 2021, respectively, consist of tax compliance fees of $83,280 and $66,806 and tax planning fees of $65,444 and $56,009. </w:t>
            </w:r>
          </w:p>
        </w:tc>
      </w:tr>
    </w:tbl>
    <w:p>
      <w:pPr>
        <w:pStyle w:val="TextBody"/>
        <w:spacing w:before="240" w:after="0"/>
        <w:jc w:val="left"/>
        <w:rPr>
          <w:rFonts w:ascii="Times New Roman" w:hAnsi="Times New Roman"/>
          <w:sz w:val="20"/>
        </w:rPr>
      </w:pPr>
      <w:r>
        <w:rPr>
          <w:rFonts w:ascii="Times New Roman" w:hAnsi="Times New Roman"/>
          <w:sz w:val="20"/>
        </w:rPr>
        <w:t xml:space="preserve">The Audit Committee has adopted policies and procedures that require pre-approval of all audit and permitted non-audit services to be provided by KPMG. All fees in the table above were approved in accordance with the policies and procedures established by the Audit Committee.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Required Vote </w:t>
      </w:r>
    </w:p>
    <w:p>
      <w:pPr>
        <w:pStyle w:val="TextBody"/>
        <w:spacing w:before="120" w:after="0"/>
        <w:jc w:val="left"/>
        <w:rPr>
          <w:rFonts w:ascii="Times New Roman" w:hAnsi="Times New Roman"/>
          <w:sz w:val="20"/>
        </w:rPr>
      </w:pPr>
      <w:r>
        <w:rPr>
          <w:rFonts w:ascii="Times New Roman" w:hAnsi="Times New Roman"/>
          <w:sz w:val="20"/>
        </w:rPr>
        <w:t xml:space="preserve">The ratification of KPMG LLP as our independent public accounting firm will require a majority of the votes cast by the stockholders entitled to vote on this proposal at the meeting. Abstentions, broker non-votes, and votes withheld will not be treated as votes cast for this purpose and will not affect the outcome of the election. </w:t>
      </w:r>
    </w:p>
    <w:p>
      <w:pPr>
        <w:pStyle w:val="TextBody"/>
        <w:spacing w:before="240" w:after="0"/>
        <w:jc w:val="center"/>
        <w:rPr>
          <w:rFonts w:ascii="Times New Roman" w:hAnsi="Times New Roman"/>
          <w:b/>
          <w:sz w:val="20"/>
        </w:rPr>
      </w:pPr>
      <w:r>
        <w:rPr>
          <w:rFonts w:ascii="Times New Roman" w:hAnsi="Times New Roman"/>
          <w:b/>
          <w:sz w:val="20"/>
        </w:rPr>
        <w:t xml:space="preserve">The Board of Directors recommends a vote FOR the ratification of KPMG as the Company’s </w:t>
      </w:r>
    </w:p>
    <w:p>
      <w:pPr>
        <w:pStyle w:val="TextBody"/>
        <w:spacing w:before="0" w:after="0"/>
        <w:jc w:val="center"/>
        <w:rPr>
          <w:rFonts w:ascii="Times New Roman" w:hAnsi="Times New Roman"/>
          <w:b/>
          <w:sz w:val="20"/>
        </w:rPr>
      </w:pPr>
      <w:r>
        <w:rPr>
          <w:rFonts w:ascii="Times New Roman" w:hAnsi="Times New Roman"/>
          <w:b/>
          <w:sz w:val="20"/>
        </w:rPr>
        <w:t xml:space="preserve">independent public accounting firm.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toc440239_15"/>
      <w:bookmarkEnd w:id="16"/>
      <w:r>
        <w:rPr>
          <w:rFonts w:ascii="Times New Roman" w:hAnsi="Times New Roman"/>
          <w:b/>
          <w:sz w:val="20"/>
        </w:rPr>
        <w:t xml:space="preserve">ADDITIONAL INFORMATION </w:t>
      </w:r>
    </w:p>
    <w:p>
      <w:pPr>
        <w:pStyle w:val="TextBody"/>
        <w:spacing w:before="240" w:after="0"/>
        <w:jc w:val="left"/>
        <w:rPr>
          <w:rFonts w:ascii="Times New Roman" w:hAnsi="Times New Roman"/>
          <w:b/>
          <w:sz w:val="20"/>
        </w:rPr>
      </w:pPr>
      <w:r>
        <w:rPr>
          <w:rFonts w:ascii="Times New Roman" w:hAnsi="Times New Roman"/>
          <w:b/>
          <w:sz w:val="20"/>
        </w:rPr>
        <w:t xml:space="preserve">Other Matters </w:t>
      </w:r>
    </w:p>
    <w:p>
      <w:pPr>
        <w:pStyle w:val="TextBody"/>
        <w:spacing w:before="120" w:after="0"/>
        <w:jc w:val="left"/>
        <w:rPr>
          <w:rFonts w:ascii="Times New Roman" w:hAnsi="Times New Roman"/>
          <w:sz w:val="20"/>
        </w:rPr>
      </w:pPr>
      <w:r>
        <w:rPr>
          <w:rFonts w:ascii="Times New Roman" w:hAnsi="Times New Roman"/>
          <w:sz w:val="20"/>
        </w:rPr>
        <w:t xml:space="preserve">The Board of Directors is unaware of any business to be conducted at the Annual Meeting of Stockholders other than the matters described in the Notice to Stockholders. If other business is properly presented for consideration at the Annual Meeting, the enclosed proxy authorizes the persons named therein to vote the shares in their discretion on that matter. </w:t>
      </w:r>
    </w:p>
    <w:p>
      <w:pPr>
        <w:pStyle w:val="TextBody"/>
        <w:spacing w:before="360" w:after="0"/>
        <w:jc w:val="left"/>
        <w:rPr>
          <w:rFonts w:ascii="Times New Roman" w:hAnsi="Times New Roman"/>
          <w:b/>
          <w:sz w:val="20"/>
        </w:rPr>
      </w:pPr>
      <w:r>
        <w:rPr>
          <w:rFonts w:ascii="Times New Roman" w:hAnsi="Times New Roman"/>
          <w:b/>
          <w:sz w:val="20"/>
        </w:rPr>
        <w:t xml:space="preserve">Employee, Officer and Director Hedging </w:t>
      </w:r>
    </w:p>
    <w:p>
      <w:pPr>
        <w:pStyle w:val="TextBody"/>
        <w:spacing w:before="120" w:after="0"/>
        <w:jc w:val="left"/>
        <w:rPr>
          <w:rFonts w:ascii="Times New Roman" w:hAnsi="Times New Roman"/>
          <w:sz w:val="20"/>
        </w:rPr>
      </w:pPr>
      <w:r>
        <w:rPr>
          <w:rFonts w:ascii="Times New Roman" w:hAnsi="Times New Roman"/>
          <w:sz w:val="20"/>
        </w:rPr>
        <w:t xml:space="preserve">Other than its insider trading policy, which prohibits purchases and sales of its securities and related derivative securities while in possession of material non-public information, the Company does not have any policies that prevent employees (including officers) or directors from purchasing financial instruments (including prepaid variable forward contracts, equity swaps, collars, and exchange funds), or otherwise engaging in hedging transactions related to the Company’s equity securities. </w:t>
      </w:r>
    </w:p>
    <w:p>
      <w:pPr>
        <w:pStyle w:val="TextBody"/>
        <w:spacing w:before="360" w:after="0"/>
        <w:jc w:val="left"/>
        <w:rPr>
          <w:rFonts w:ascii="Times New Roman" w:hAnsi="Times New Roman"/>
          <w:b/>
          <w:sz w:val="20"/>
        </w:rPr>
      </w:pPr>
      <w:r>
        <w:rPr>
          <w:rFonts w:ascii="Times New Roman" w:hAnsi="Times New Roman"/>
          <w:b/>
          <w:sz w:val="20"/>
        </w:rPr>
        <w:t xml:space="preserve">Communications from Stockholders </w:t>
      </w:r>
    </w:p>
    <w:p>
      <w:pPr>
        <w:pStyle w:val="TextBody"/>
        <w:spacing w:before="120" w:after="0"/>
        <w:jc w:val="left"/>
        <w:rPr>
          <w:rFonts w:ascii="Times New Roman" w:hAnsi="Times New Roman"/>
          <w:sz w:val="20"/>
        </w:rPr>
      </w:pPr>
      <w:r>
        <w:rPr>
          <w:rFonts w:ascii="Times New Roman" w:hAnsi="Times New Roman"/>
          <w:sz w:val="20"/>
        </w:rPr>
        <w:t xml:space="preserve">The Board will give appropriate attention to written communications submitted by stockholders, and will respond if and as appropriate. Absent unusual circumstances or as contemplated by committee charters, the Chair of the Audit Committee will, with the assistance of our General Counsel, (i) be primarily responsible for monitoring communications from stockholders and (ii) provide copies or summaries of such communications to the other directors as he considers appropriate. Communications specifically addressed to a particular director will be forwarded to that director. </w:t>
      </w:r>
    </w:p>
    <w:p>
      <w:pPr>
        <w:pStyle w:val="TextBody"/>
        <w:spacing w:before="240" w:after="0"/>
        <w:jc w:val="left"/>
        <w:rPr>
          <w:rFonts w:ascii="Times New Roman" w:hAnsi="Times New Roman"/>
          <w:sz w:val="20"/>
        </w:rPr>
      </w:pPr>
      <w:r>
        <w:rPr>
          <w:rFonts w:ascii="Times New Roman" w:hAnsi="Times New Roman"/>
          <w:sz w:val="20"/>
        </w:rPr>
        <w:t xml:space="preserve">Communications will be forwarded to all directors if they relate to substantive matters and include suggestions or comments that the Chair of the Audit Committee considers to be important for the directors to know. In general, communications relating to corporate governance and long-term corporate strategy are more likely to be forwarded than communications relating to personal grievances and matters as to which we tend to receive repetitive or duplicative communications. </w:t>
      </w:r>
    </w:p>
    <w:p>
      <w:pPr>
        <w:pStyle w:val="TextBody"/>
        <w:spacing w:before="240" w:after="0"/>
        <w:jc w:val="left"/>
        <w:rPr>
          <w:rFonts w:ascii="Times New Roman" w:hAnsi="Times New Roman"/>
          <w:sz w:val="20"/>
        </w:rPr>
      </w:pPr>
      <w:r>
        <w:rPr>
          <w:rFonts w:ascii="Times New Roman" w:hAnsi="Times New Roman"/>
          <w:sz w:val="20"/>
        </w:rPr>
        <w:t xml:space="preserve">Stockholders who wish to send communications on any topic to the Board should address such communications to the Chair of the Audit Committee, c/o General Counsel, Lamar Advertising Company, 5321 Corporate Boulevard, Baton Rouge, Louisiana 70808. </w:t>
      </w:r>
    </w:p>
    <w:p>
      <w:pPr>
        <w:pStyle w:val="TextBody"/>
        <w:spacing w:before="360" w:after="0"/>
        <w:jc w:val="left"/>
        <w:rPr>
          <w:rFonts w:ascii="Times New Roman" w:hAnsi="Times New Roman"/>
          <w:b/>
          <w:sz w:val="20"/>
        </w:rPr>
      </w:pPr>
      <w:r>
        <w:rPr>
          <w:rFonts w:ascii="Times New Roman" w:hAnsi="Times New Roman"/>
          <w:b/>
          <w:sz w:val="20"/>
        </w:rPr>
        <w:t xml:space="preserve">Deadline for Stockholder Proposals and Director Nominations </w:t>
      </w:r>
    </w:p>
    <w:p>
      <w:pPr>
        <w:pStyle w:val="TextBody"/>
        <w:spacing w:before="120" w:after="0"/>
        <w:jc w:val="left"/>
        <w:rPr>
          <w:rFonts w:ascii="Times New Roman" w:hAnsi="Times New Roman"/>
          <w:sz w:val="20"/>
        </w:rPr>
      </w:pPr>
      <w:r>
        <w:rPr>
          <w:rFonts w:ascii="Times New Roman" w:hAnsi="Times New Roman"/>
          <w:sz w:val="20"/>
        </w:rPr>
        <w:t xml:space="preserve">In order for a stockholder proposal to be considered for inclusion in our proxy materials for the 2024 Annual Meeting of Stockholders, we must receive it no later than December 2, 2023 (120 days before the anniversary of the mailing date of this proxy statement), assuming that the 2024 Annual Meeting of the Stockholders is not more than 30 days before or after May 10, 2024. In addition, shareholders who intend to solicit proxies in support of director nominees other than the company’s nominees must comply with the additional requirements of Rule 14a-19(b). </w:t>
      </w:r>
    </w:p>
    <w:p>
      <w:pPr>
        <w:pStyle w:val="TextBody"/>
        <w:spacing w:before="240" w:after="0"/>
        <w:jc w:val="left"/>
        <w:rPr>
          <w:rFonts w:ascii="Times New Roman" w:hAnsi="Times New Roman"/>
          <w:sz w:val="20"/>
        </w:rPr>
      </w:pPr>
      <w:r>
        <w:rPr>
          <w:rFonts w:ascii="Times New Roman" w:hAnsi="Times New Roman"/>
          <w:sz w:val="20"/>
        </w:rPr>
        <w:t xml:space="preserve">In addition, our bylaws require a stockholder who wishes to bring business before an annual meeting or propose director nominations at an annual meeting to give advance written notice to the Secretary as described in the bylaws. To be timely for the 2024 Annual Meeting of Stockholders, proposals must be received no earlier than January 11, 2024 and no later than February 10, 2024 (120 days and 90 days before the anniversary date of this year’s Annual Meeting, respectively), assuming that the 2024 Annual Meeting of the Stockholders is not more than 30 days before or 70 days after May 10, 2024.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Notices should be given in writing to the Company at its principal executive offices: 5321 Corporate Boulevard, Baton Rouge, Louisiana 70808, Attention: Secretary. </w:t>
      </w:r>
    </w:p>
    <w:p>
      <w:pPr>
        <w:pStyle w:val="TextBody"/>
        <w:spacing w:before="360" w:after="0"/>
        <w:jc w:val="left"/>
        <w:rPr>
          <w:rFonts w:ascii="Times New Roman" w:hAnsi="Times New Roman"/>
          <w:b/>
          <w:sz w:val="20"/>
        </w:rPr>
      </w:pPr>
      <w:r>
        <w:rPr>
          <w:rFonts w:ascii="Times New Roman" w:hAnsi="Times New Roman"/>
          <w:b/>
          <w:sz w:val="20"/>
        </w:rPr>
        <w:t xml:space="preserve">Expenses of Solicitation </w:t>
      </w:r>
    </w:p>
    <w:p>
      <w:pPr>
        <w:pStyle w:val="TextBody"/>
        <w:spacing w:before="120" w:after="0"/>
        <w:jc w:val="left"/>
        <w:rPr>
          <w:rFonts w:ascii="Times New Roman" w:hAnsi="Times New Roman"/>
          <w:sz w:val="20"/>
        </w:rPr>
      </w:pPr>
      <w:r>
        <w:rPr>
          <w:rFonts w:ascii="Times New Roman" w:hAnsi="Times New Roman"/>
          <w:sz w:val="20"/>
        </w:rPr>
        <w:t xml:space="preserve">We will bear the cost of the solicitation of proxies, including the charges and expenses of brokerage firms and others of forwarding solicitation material to beneficial owners of common stock. In addition to the use of mails, proxies may be solicited by our officers and any regular employees in person or by telephone. We expect that the costs incurred in the solicitation of proxies will be nominal. </w:t>
      </w:r>
    </w:p>
    <w:p>
      <w:pPr>
        <w:pStyle w:val="TextBody"/>
        <w:spacing w:before="240" w:after="0"/>
        <w:jc w:val="left"/>
        <w:rPr>
          <w:rFonts w:ascii="Times New Roman" w:hAnsi="Times New Roman"/>
          <w:sz w:val="20"/>
        </w:rPr>
      </w:pPr>
      <w:r>
        <w:rPr>
          <w:rFonts w:ascii="Times New Roman" w:hAnsi="Times New Roman"/>
          <w:sz w:val="20"/>
        </w:rPr>
        <w:t xml:space="preserve">March 31, 2023 </w:t>
      </w:r>
    </w:p>
    <w:p>
      <w:pPr>
        <w:pStyle w:val="TextBody"/>
        <w:spacing w:before="240" w:after="0"/>
        <w:jc w:val="center"/>
        <w:rPr>
          <w:rFonts w:ascii="Times New Roman" w:hAnsi="Times New Roman"/>
          <w:sz w:val="20"/>
        </w:rPr>
      </w:pPr>
      <w:r>
        <w:rPr>
          <w:rFonts w:ascii="Times New Roman" w:hAnsi="Times New Roman"/>
          <w:sz w:val="20"/>
        </w:rPr>
        <w:t xml:space="preserve">*    *    *    *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rPr/>
      </w:pPr>
      <w:r>
        <w:rPr/>
      </w:r>
    </w:p>
    <w:p>
      <w:pPr>
        <w:pStyle w:val="Heading5"/>
        <w:rPr/>
      </w:pPr>
      <w:hyperlink w:anchor="toc">
        <w:r>
          <w:rPr>
            <w:rStyle w:val="InternetLink"/>
          </w:rPr>
          <w:t>Table of Contents</w:t>
        </w:r>
      </w:hyperlink>
    </w:p>
    <w:p>
      <w:pPr>
        <w:pStyle w:val="TextBody"/>
        <w:jc w:val="left"/>
        <w:rPr/>
      </w:pPr>
      <w:r>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2922270"/>
                <wp:effectExtent l="0" t="0" r="0" b="0"/>
                <wp:wrapSquare wrapText="largest"/>
                <wp:docPr id="8" name="Frame6"/>
                <a:graphic xmlns:a="http://schemas.openxmlformats.org/drawingml/2006/main">
                  <a:graphicData uri="http://schemas.microsoft.com/office/word/2010/wordprocessingShape">
                    <wps:wsp>
                      <wps:cNvSpPr txBox="1"/>
                      <wps:spPr>
                        <a:xfrm>
                          <a:off x="0" y="0"/>
                          <a:ext cx="3175000" cy="2922270"/>
                        </a:xfrm>
                        <a:prstGeom prst="rect"/>
                      </wps:spPr>
                      <wps:txbx>
                        <w:txbxContent>
                          <w:p>
                            <w:pPr>
                              <w:pStyle w:val="TextBody"/>
                              <w:spacing w:before="0" w:after="0"/>
                              <w:rPr/>
                            </w:pPr>
                            <w:r>
                              <w:rPr/>
                              <w:t xml:space="preserve">     </w:t>
                            </w:r>
                            <w:r>
                              <w:rPr/>
                              <w:drawing>
                                <wp:inline distT="0" distB="0" distL="0" distR="0">
                                  <wp:extent cx="2114550" cy="5524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2114550" cy="552450"/>
                                          </a:xfrm>
                                          <a:prstGeom prst="rect">
                                            <a:avLst/>
                                          </a:prstGeom>
                                        </pic:spPr>
                                      </pic:pic>
                                    </a:graphicData>
                                  </a:graphic>
                                </wp:inline>
                              </w:drawing>
                            </w:r>
                            <w:r>
                              <w:rPr/>
                              <w:t xml:space="preserve"> </w:t>
                            </w:r>
                          </w:p>
                          <w:p>
                            <w:pPr>
                              <w:pStyle w:val="TextBody"/>
                              <w:spacing w:before="0" w:after="0"/>
                              <w:rPr>
                                <w:rFonts w:ascii="Times New Roman" w:hAnsi="Times New Roman"/>
                                <w:sz w:val="16"/>
                              </w:rPr>
                            </w:pPr>
                            <w:r>
                              <w:rPr>
                                <w:rFonts w:ascii="Times New Roman" w:hAnsi="Times New Roman"/>
                                <w:b/>
                                <w:sz w:val="16"/>
                              </w:rPr>
                              <w:t>VOTE BY INTERNET - www.proxyvote.com or scan the QR Barcode above</w:t>
                            </w:r>
                            <w:r>
                              <w:rPr>
                                <w:rFonts w:ascii="Times New Roman" w:hAnsi="Times New Roman"/>
                                <w:sz w:val="16"/>
                              </w:rPr>
                              <w:t xml:space="preserve"> </w:t>
                            </w:r>
                          </w:p>
                          <w:p>
                            <w:pPr>
                              <w:pStyle w:val="TextBody"/>
                              <w:spacing w:before="0" w:after="0"/>
                              <w:rPr>
                                <w:rFonts w:ascii="Times New Roman" w:hAnsi="Times New Roman"/>
                                <w:sz w:val="16"/>
                              </w:rPr>
                            </w:pPr>
                            <w:r>
                              <w:rPr>
                                <w:rFonts w:ascii="Times New Roman" w:hAnsi="Times New Roman"/>
                                <w:sz w:val="16"/>
                              </w:rPr>
                              <w:t xml:space="preserve">Use the Internet to transmit your voting instructions and for electronic delivery of information. Vote by 11:59 p.m. Eastern Time on May 9, 2023. Have your proxy card in hand when you access the web site and follow the instructions to obtain your records and to create an electronic voting instruction form. </w:t>
                            </w:r>
                          </w:p>
                          <w:p>
                            <w:pPr>
                              <w:pStyle w:val="TextBody"/>
                              <w:spacing w:before="0" w:after="0"/>
                              <w:rPr>
                                <w:rFonts w:ascii="Times New Roman" w:hAnsi="Times New Roman"/>
                                <w:sz w:val="16"/>
                              </w:rPr>
                            </w:pPr>
                            <w:r>
                              <w:rPr>
                                <w:rFonts w:ascii="Times New Roman" w:hAnsi="Times New Roman"/>
                                <w:i/>
                                <w:sz w:val="16"/>
                              </w:rPr>
                              <w:t xml:space="preserve">During The Meeting </w:t>
                            </w:r>
                            <w:r>
                              <w:rPr>
                                <w:rFonts w:ascii="Times New Roman" w:hAnsi="Times New Roman"/>
                                <w:sz w:val="16"/>
                              </w:rPr>
                              <w:t xml:space="preserve">- Go to </w:t>
                            </w:r>
                            <w:r>
                              <w:rPr>
                                <w:rFonts w:ascii="Times New Roman" w:hAnsi="Times New Roman"/>
                                <w:b/>
                                <w:sz w:val="16"/>
                                <w:u w:val="single"/>
                              </w:rPr>
                              <w:t>www.virtualshareholdermeeting.com/LAMR2023</w:t>
                            </w:r>
                            <w:r>
                              <w:rPr>
                                <w:rFonts w:ascii="Times New Roman" w:hAnsi="Times New Roman"/>
                                <w:sz w:val="16"/>
                              </w:rPr>
                              <w:t xml:space="preserve"> </w:t>
                            </w:r>
                          </w:p>
                          <w:p>
                            <w:pPr>
                              <w:pStyle w:val="TextBody"/>
                              <w:spacing w:before="0" w:after="0"/>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spacing w:before="0" w:after="0"/>
                              <w:rPr>
                                <w:rFonts w:ascii="Times New Roman" w:hAnsi="Times New Roman"/>
                                <w:sz w:val="16"/>
                              </w:rPr>
                            </w:pPr>
                            <w:r>
                              <w:rPr>
                                <w:rFonts w:ascii="Times New Roman" w:hAnsi="Times New Roman"/>
                                <w:b/>
                                <w:sz w:val="16"/>
                              </w:rPr>
                              <w:t>VOTE BY PHONE - 1-800-690-6903</w:t>
                            </w:r>
                            <w:r>
                              <w:rPr>
                                <w:rFonts w:ascii="Times New Roman" w:hAnsi="Times New Roman"/>
                                <w:sz w:val="16"/>
                              </w:rPr>
                              <w:t xml:space="preserve"> </w:t>
                            </w:r>
                          </w:p>
                          <w:p>
                            <w:pPr>
                              <w:pStyle w:val="TextBody"/>
                              <w:spacing w:before="0" w:after="0"/>
                              <w:rPr>
                                <w:rFonts w:ascii="Times New Roman" w:hAnsi="Times New Roman"/>
                                <w:sz w:val="16"/>
                              </w:rPr>
                            </w:pPr>
                            <w:r>
                              <w:rPr>
                                <w:rFonts w:ascii="Times New Roman" w:hAnsi="Times New Roman"/>
                                <w:sz w:val="16"/>
                              </w:rPr>
                              <w:t xml:space="preserve">Use any touch-tone telephone to transmit your voting instructions. Vote by 11:59 p.m. Eastern Time on May 9, 2023. Have your proxy card in hand when you call and then follow the instructions. </w:t>
                            </w:r>
                          </w:p>
                          <w:p>
                            <w:pPr>
                              <w:pStyle w:val="TextBody"/>
                              <w:spacing w:before="0" w:after="0"/>
                              <w:rPr>
                                <w:rFonts w:ascii="Times New Roman" w:hAnsi="Times New Roman"/>
                                <w:sz w:val="16"/>
                              </w:rPr>
                            </w:pPr>
                            <w:r>
                              <w:rPr>
                                <w:rFonts w:ascii="Times New Roman" w:hAnsi="Times New Roman"/>
                                <w:b/>
                                <w:sz w:val="16"/>
                              </w:rPr>
                              <w:t>VOTE BY MAIL</w:t>
                            </w:r>
                            <w:r>
                              <w:rPr>
                                <w:rFonts w:ascii="Times New Roman" w:hAnsi="Times New Roman"/>
                                <w:sz w:val="16"/>
                              </w:rPr>
                              <w:t xml:space="preserve"> </w:t>
                            </w:r>
                          </w:p>
                          <w:p>
                            <w:pPr>
                              <w:pStyle w:val="TextBody"/>
                              <w:spacing w:before="0" w:after="0"/>
                              <w:rPr>
                                <w:rFonts w:ascii="Times New Roman" w:hAnsi="Times New Roman"/>
                                <w:sz w:val="16"/>
                              </w:rPr>
                            </w:pPr>
                            <w:r>
                              <w:rPr>
                                <w:rFonts w:ascii="Times New Roman" w:hAnsi="Times New Roman"/>
                                <w:sz w:val="16"/>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30.1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spacing w:before="0" w:after="0"/>
                        <w:rPr/>
                      </w:pPr>
                      <w:r>
                        <w:rPr/>
                        <w:t xml:space="preserve">     </w:t>
                      </w:r>
                      <w:r>
                        <w:rPr/>
                        <w:drawing>
                          <wp:inline distT="0" distB="0" distL="0" distR="0">
                            <wp:extent cx="2114550" cy="5524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2114550" cy="552450"/>
                                    </a:xfrm>
                                    <a:prstGeom prst="rect">
                                      <a:avLst/>
                                    </a:prstGeom>
                                  </pic:spPr>
                                </pic:pic>
                              </a:graphicData>
                            </a:graphic>
                          </wp:inline>
                        </w:drawing>
                      </w:r>
                      <w:r>
                        <w:rPr/>
                        <w:t xml:space="preserve"> </w:t>
                      </w:r>
                    </w:p>
                    <w:p>
                      <w:pPr>
                        <w:pStyle w:val="TextBody"/>
                        <w:spacing w:before="0" w:after="0"/>
                        <w:rPr>
                          <w:rFonts w:ascii="Times New Roman" w:hAnsi="Times New Roman"/>
                          <w:sz w:val="16"/>
                        </w:rPr>
                      </w:pPr>
                      <w:r>
                        <w:rPr>
                          <w:rFonts w:ascii="Times New Roman" w:hAnsi="Times New Roman"/>
                          <w:b/>
                          <w:sz w:val="16"/>
                        </w:rPr>
                        <w:t>VOTE BY INTERNET - www.proxyvote.com or scan the QR Barcode above</w:t>
                      </w:r>
                      <w:r>
                        <w:rPr>
                          <w:rFonts w:ascii="Times New Roman" w:hAnsi="Times New Roman"/>
                          <w:sz w:val="16"/>
                        </w:rPr>
                        <w:t xml:space="preserve"> </w:t>
                      </w:r>
                    </w:p>
                    <w:p>
                      <w:pPr>
                        <w:pStyle w:val="TextBody"/>
                        <w:spacing w:before="0" w:after="0"/>
                        <w:rPr>
                          <w:rFonts w:ascii="Times New Roman" w:hAnsi="Times New Roman"/>
                          <w:sz w:val="16"/>
                        </w:rPr>
                      </w:pPr>
                      <w:r>
                        <w:rPr>
                          <w:rFonts w:ascii="Times New Roman" w:hAnsi="Times New Roman"/>
                          <w:sz w:val="16"/>
                        </w:rPr>
                        <w:t xml:space="preserve">Use the Internet to transmit your voting instructions and for electronic delivery of information. Vote by 11:59 p.m. Eastern Time on May 9, 2023. Have your proxy card in hand when you access the web site and follow the instructions to obtain your records and to create an electronic voting instruction form. </w:t>
                      </w:r>
                    </w:p>
                    <w:p>
                      <w:pPr>
                        <w:pStyle w:val="TextBody"/>
                        <w:spacing w:before="0" w:after="0"/>
                        <w:rPr>
                          <w:rFonts w:ascii="Times New Roman" w:hAnsi="Times New Roman"/>
                          <w:sz w:val="16"/>
                        </w:rPr>
                      </w:pPr>
                      <w:r>
                        <w:rPr>
                          <w:rFonts w:ascii="Times New Roman" w:hAnsi="Times New Roman"/>
                          <w:i/>
                          <w:sz w:val="16"/>
                        </w:rPr>
                        <w:t xml:space="preserve">During The Meeting </w:t>
                      </w:r>
                      <w:r>
                        <w:rPr>
                          <w:rFonts w:ascii="Times New Roman" w:hAnsi="Times New Roman"/>
                          <w:sz w:val="16"/>
                        </w:rPr>
                        <w:t xml:space="preserve">- Go to </w:t>
                      </w:r>
                      <w:r>
                        <w:rPr>
                          <w:rFonts w:ascii="Times New Roman" w:hAnsi="Times New Roman"/>
                          <w:b/>
                          <w:sz w:val="16"/>
                          <w:u w:val="single"/>
                        </w:rPr>
                        <w:t>www.virtualshareholdermeeting.com/LAMR2023</w:t>
                      </w:r>
                      <w:r>
                        <w:rPr>
                          <w:rFonts w:ascii="Times New Roman" w:hAnsi="Times New Roman"/>
                          <w:sz w:val="16"/>
                        </w:rPr>
                        <w:t xml:space="preserve"> </w:t>
                      </w:r>
                    </w:p>
                    <w:p>
                      <w:pPr>
                        <w:pStyle w:val="TextBody"/>
                        <w:spacing w:before="0" w:after="0"/>
                        <w:rPr>
                          <w:rFonts w:ascii="Times New Roman" w:hAnsi="Times New Roman"/>
                          <w:sz w:val="16"/>
                        </w:rPr>
                      </w:pPr>
                      <w:r>
                        <w:rPr>
                          <w:rFonts w:ascii="Times New Roman" w:hAnsi="Times New Roman"/>
                          <w:sz w:val="16"/>
                        </w:rPr>
                        <w:t xml:space="preserve">You may attend the meeting via the Internet and vote during the meeting. Have the information that is printed in the box marked by the arrow available and follow the instructions. </w:t>
                      </w:r>
                    </w:p>
                    <w:p>
                      <w:pPr>
                        <w:pStyle w:val="TextBody"/>
                        <w:spacing w:before="0" w:after="0"/>
                        <w:rPr>
                          <w:rFonts w:ascii="Times New Roman" w:hAnsi="Times New Roman"/>
                          <w:sz w:val="16"/>
                        </w:rPr>
                      </w:pPr>
                      <w:r>
                        <w:rPr>
                          <w:rFonts w:ascii="Times New Roman" w:hAnsi="Times New Roman"/>
                          <w:b/>
                          <w:sz w:val="16"/>
                        </w:rPr>
                        <w:t>VOTE BY PHONE - 1-800-690-6903</w:t>
                      </w:r>
                      <w:r>
                        <w:rPr>
                          <w:rFonts w:ascii="Times New Roman" w:hAnsi="Times New Roman"/>
                          <w:sz w:val="16"/>
                        </w:rPr>
                        <w:t xml:space="preserve"> </w:t>
                      </w:r>
                    </w:p>
                    <w:p>
                      <w:pPr>
                        <w:pStyle w:val="TextBody"/>
                        <w:spacing w:before="0" w:after="0"/>
                        <w:rPr>
                          <w:rFonts w:ascii="Times New Roman" w:hAnsi="Times New Roman"/>
                          <w:sz w:val="16"/>
                        </w:rPr>
                      </w:pPr>
                      <w:r>
                        <w:rPr>
                          <w:rFonts w:ascii="Times New Roman" w:hAnsi="Times New Roman"/>
                          <w:sz w:val="16"/>
                        </w:rPr>
                        <w:t xml:space="preserve">Use any touch-tone telephone to transmit your voting instructions. Vote by 11:59 p.m. Eastern Time on May 9, 2023. Have your proxy card in hand when you call and then follow the instructions. </w:t>
                      </w:r>
                    </w:p>
                    <w:p>
                      <w:pPr>
                        <w:pStyle w:val="TextBody"/>
                        <w:spacing w:before="0" w:after="0"/>
                        <w:rPr>
                          <w:rFonts w:ascii="Times New Roman" w:hAnsi="Times New Roman"/>
                          <w:sz w:val="16"/>
                        </w:rPr>
                      </w:pPr>
                      <w:r>
                        <w:rPr>
                          <w:rFonts w:ascii="Times New Roman" w:hAnsi="Times New Roman"/>
                          <w:b/>
                          <w:sz w:val="16"/>
                        </w:rPr>
                        <w:t>VOTE BY MAIL</w:t>
                      </w:r>
                      <w:r>
                        <w:rPr>
                          <w:rFonts w:ascii="Times New Roman" w:hAnsi="Times New Roman"/>
                          <w:sz w:val="16"/>
                        </w:rPr>
                        <w:t xml:space="preserve"> </w:t>
                      </w:r>
                    </w:p>
                    <w:p>
                      <w:pPr>
                        <w:pStyle w:val="TextBody"/>
                        <w:spacing w:before="0" w:after="0"/>
                        <w:rPr>
                          <w:rFonts w:ascii="Times New Roman" w:hAnsi="Times New Roman"/>
                          <w:sz w:val="16"/>
                        </w:rPr>
                      </w:pPr>
                      <w:r>
                        <w:rPr>
                          <w:rFonts w:ascii="Times New Roman" w:hAnsi="Times New Roman"/>
                          <w:sz w:val="16"/>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110230" cy="807720"/>
                <wp:effectExtent l="0" t="0" r="0" b="0"/>
                <wp:wrapSquare wrapText="largest"/>
                <wp:docPr id="11" name="Frame5"/>
                <a:graphic xmlns:a="http://schemas.openxmlformats.org/drawingml/2006/main">
                  <a:graphicData uri="http://schemas.microsoft.com/office/word/2010/wordprocessingShape">
                    <wps:wsp>
                      <wps:cNvSpPr txBox="1"/>
                      <wps:spPr>
                        <a:xfrm>
                          <a:off x="0" y="0"/>
                          <a:ext cx="3110230" cy="807720"/>
                        </a:xfrm>
                        <a:prstGeom prst="rect"/>
                      </wps:spPr>
                      <wps:txbx>
                        <w:txbxContent>
                          <w:p>
                            <w:pPr>
                              <w:pStyle w:val="TextBody"/>
                              <w:spacing w:before="720" w:after="0"/>
                              <w:ind w:left="800" w:right="0" w:hanging="0"/>
                              <w:rPr>
                                <w:rFonts w:ascii="Times New Roman" w:hAnsi="Times New Roman"/>
                                <w:b/>
                                <w:i/>
                                <w:sz w:val="16"/>
                              </w:rPr>
                            </w:pPr>
                            <w:r>
                              <w:rPr>
                                <w:rFonts w:ascii="Times New Roman" w:hAnsi="Times New Roman"/>
                                <w:b/>
                                <w:i/>
                                <w:sz w:val="16"/>
                              </w:rPr>
                              <w:t xml:space="preserve">LAMAR ADVERTISING COMPANY </w:t>
                            </w:r>
                          </w:p>
                          <w:p>
                            <w:pPr>
                              <w:pStyle w:val="TextBody"/>
                              <w:spacing w:before="0" w:after="0"/>
                              <w:ind w:left="800" w:right="0" w:hanging="0"/>
                              <w:rPr>
                                <w:rFonts w:ascii="Times New Roman" w:hAnsi="Times New Roman"/>
                                <w:b/>
                                <w:i/>
                                <w:sz w:val="16"/>
                              </w:rPr>
                            </w:pPr>
                            <w:r>
                              <w:rPr>
                                <w:rFonts w:ascii="Times New Roman" w:hAnsi="Times New Roman"/>
                                <w:b/>
                                <w:i/>
                                <w:sz w:val="16"/>
                              </w:rPr>
                              <w:t xml:space="preserve">5321 CORPORATE BLVD </w:t>
                            </w:r>
                          </w:p>
                          <w:p>
                            <w:pPr>
                              <w:pStyle w:val="TextBody"/>
                              <w:spacing w:before="0" w:after="0"/>
                              <w:ind w:left="800" w:right="0" w:hanging="0"/>
                              <w:rPr>
                                <w:rFonts w:ascii="Times New Roman" w:hAnsi="Times New Roman"/>
                                <w:b/>
                                <w:i/>
                                <w:sz w:val="16"/>
                              </w:rPr>
                            </w:pPr>
                            <w:r>
                              <w:rPr>
                                <w:rFonts w:ascii="Times New Roman" w:hAnsi="Times New Roman"/>
                                <w:b/>
                                <w:i/>
                                <w:sz w:val="16"/>
                              </w:rPr>
                              <w:t xml:space="preserve">BATON ROUGE, LA 70808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3.6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spacing w:before="720" w:after="0"/>
                        <w:ind w:left="800" w:right="0" w:hanging="0"/>
                        <w:rPr>
                          <w:rFonts w:ascii="Times New Roman" w:hAnsi="Times New Roman"/>
                          <w:b/>
                          <w:i/>
                          <w:sz w:val="16"/>
                        </w:rPr>
                      </w:pPr>
                      <w:r>
                        <w:rPr>
                          <w:rFonts w:ascii="Times New Roman" w:hAnsi="Times New Roman"/>
                          <w:b/>
                          <w:i/>
                          <w:sz w:val="16"/>
                        </w:rPr>
                        <w:t xml:space="preserve">LAMAR ADVERTISING COMPANY </w:t>
                      </w:r>
                    </w:p>
                    <w:p>
                      <w:pPr>
                        <w:pStyle w:val="TextBody"/>
                        <w:spacing w:before="0" w:after="0"/>
                        <w:ind w:left="800" w:right="0" w:hanging="0"/>
                        <w:rPr>
                          <w:rFonts w:ascii="Times New Roman" w:hAnsi="Times New Roman"/>
                          <w:b/>
                          <w:i/>
                          <w:sz w:val="16"/>
                        </w:rPr>
                      </w:pPr>
                      <w:r>
                        <w:rPr>
                          <w:rFonts w:ascii="Times New Roman" w:hAnsi="Times New Roman"/>
                          <w:b/>
                          <w:i/>
                          <w:sz w:val="16"/>
                        </w:rPr>
                        <w:t xml:space="preserve">5321 CORPORATE BLVD </w:t>
                      </w:r>
                    </w:p>
                    <w:p>
                      <w:pPr>
                        <w:pStyle w:val="TextBody"/>
                        <w:spacing w:before="0" w:after="0"/>
                        <w:ind w:left="800" w:right="0" w:hanging="0"/>
                        <w:rPr>
                          <w:rFonts w:ascii="Times New Roman" w:hAnsi="Times New Roman"/>
                          <w:b/>
                          <w:i/>
                          <w:sz w:val="16"/>
                        </w:rPr>
                      </w:pPr>
                      <w:r>
                        <w:rPr>
                          <w:rFonts w:ascii="Times New Roman" w:hAnsi="Times New Roman"/>
                          <w:b/>
                          <w:i/>
                          <w:sz w:val="16"/>
                        </w:rPr>
                        <w:t xml:space="preserve">BATON ROUGE, LA 70808 </w:t>
                      </w:r>
                    </w:p>
                  </w:txbxContent>
                </v:textbox>
                <w10:wrap type="square" side="right"/>
              </v:rect>
            </w:pict>
          </mc:Fallback>
        </mc:AlternateContent>
      </w:r>
    </w:p>
    <w:p>
      <w:pPr>
        <w:pStyle w:val="TextBody"/>
        <w:spacing w:before="0" w:after="0"/>
        <w:jc w:val="left"/>
        <w:rPr/>
      </w:pPr>
      <w:r>
        <w:rPr/>
        <w:t> </w:t>
      </w:r>
    </w:p>
    <w:p>
      <w:pPr>
        <w:pStyle w:val="TextBody"/>
        <w:spacing w:before="0" w:after="0"/>
        <w:jc w:val="left"/>
        <w:rPr/>
      </w:pPr>
      <w:r>
        <w:rPr/>
        <w:t>    </w:t>
      </w:r>
      <w:r>
        <w:rPr>
          <w:rFonts w:ascii="Times New Roman" w:hAnsi="Times New Roman"/>
          <w:sz w:val="16"/>
        </w:rPr>
        <w:t xml:space="preserve">TO VOTE, MARK BLOCKS BELOW IN BLUE OR BLACK INK AS FOLLOWS: </w:t>
      </w:r>
    </w:p>
    <w:p>
      <w:pPr>
        <w:pStyle w:val="TextBody"/>
        <w:spacing w:before="0" w:after="0"/>
        <w:jc w:val="right"/>
        <w:rPr>
          <w:rFonts w:ascii="Times New Roman" w:hAnsi="Times New Roman"/>
          <w:sz w:val="16"/>
        </w:rPr>
      </w:pPr>
      <w:r>
        <w:rPr>
          <w:rFonts w:ascii="Times New Roman" w:hAnsi="Times New Roman"/>
          <w:sz w:val="16"/>
        </w:rPr>
        <w:t xml:space="preserve">KEEP THIS PORTION FOR YOUR RECORDS </w:t>
      </w:r>
    </w:p>
    <w:p>
      <w:pPr>
        <w:pStyle w:val="TextBody"/>
        <w:spacing w:before="0" w:after="0"/>
        <w:jc w:val="left"/>
        <w:rPr/>
      </w:pPr>
      <w:r>
        <w:rPr/>
        <w:t xml:space="preserve">    — — — — — — — — — — — — — — — — — — — — — — — — — — — — — — — — — — — — — — — — — — — — — — — — </w:t>
      </w:r>
    </w:p>
    <w:p>
      <w:pPr>
        <w:pStyle w:val="TextBody"/>
        <w:spacing w:before="0" w:after="0"/>
        <w:jc w:val="right"/>
        <w:rPr>
          <w:rFonts w:ascii="Times New Roman" w:hAnsi="Times New Roman"/>
          <w:sz w:val="16"/>
        </w:rPr>
      </w:pPr>
      <w:r>
        <w:rPr>
          <w:rFonts w:ascii="Times New Roman" w:hAnsi="Times New Roman"/>
          <w:sz w:val="16"/>
        </w:rPr>
        <w:t xml:space="preserve">DETACH AND RETURN THIS PORTION ONLY </w:t>
      </w:r>
    </w:p>
    <w:p>
      <w:pPr>
        <w:pStyle w:val="TextBody"/>
        <w:spacing w:before="120" w:after="0"/>
        <w:jc w:val="center"/>
        <w:rPr>
          <w:rFonts w:ascii="Times New Roman" w:hAnsi="Times New Roman"/>
          <w:b/>
          <w:sz w:val="16"/>
        </w:rPr>
      </w:pPr>
      <w:r>
        <w:rPr>
          <w:rFonts w:ascii="Times New Roman" w:hAnsi="Times New Roman"/>
          <w:b/>
          <w:sz w:val="16"/>
        </w:rPr>
        <w:t xml:space="preserve">THIS   PROXY   CARD   IS   VALID   ONLY   WHEN   SIGNED   AND   DATED. </w:t>
      </w:r>
    </w:p>
    <w:p>
      <w:pPr>
        <w:pStyle w:val="TextBody"/>
        <w:spacing w:before="0" w:after="0"/>
        <w:jc w:val="left"/>
        <w:rPr/>
      </w:pPr>
      <w:r>
        <w:rPr/>
        <w:t> </w:t>
      </w:r>
    </w:p>
    <w:tbl>
      <w:tblPr>
        <w:tblW w:w="17695" w:type="dxa"/>
        <w:jc w:val="left"/>
        <w:tblInd w:w="0" w:type="dxa"/>
        <w:tblCellMar>
          <w:top w:w="0" w:type="dxa"/>
          <w:left w:w="0" w:type="dxa"/>
          <w:bottom w:w="0" w:type="dxa"/>
          <w:right w:w="0" w:type="dxa"/>
        </w:tblCellMar>
      </w:tblPr>
      <w:tblGrid>
        <w:gridCol w:w="375"/>
        <w:gridCol w:w="60"/>
        <w:gridCol w:w="360"/>
        <w:gridCol w:w="60"/>
        <w:gridCol w:w="1910"/>
        <w:gridCol w:w="60"/>
        <w:gridCol w:w="2840"/>
        <w:gridCol w:w="60"/>
        <w:gridCol w:w="1080"/>
        <w:gridCol w:w="120"/>
        <w:gridCol w:w="1018"/>
        <w:gridCol w:w="145"/>
        <w:gridCol w:w="972"/>
        <w:gridCol w:w="120"/>
        <w:gridCol w:w="815"/>
        <w:gridCol w:w="60"/>
        <w:gridCol w:w="90"/>
        <w:gridCol w:w="180"/>
        <w:gridCol w:w="951"/>
        <w:gridCol w:w="1903"/>
        <w:gridCol w:w="956"/>
        <w:gridCol w:w="120"/>
        <w:gridCol w:w="1385"/>
        <w:gridCol w:w="120"/>
        <w:gridCol w:w="840"/>
        <w:gridCol w:w="120"/>
        <w:gridCol w:w="60"/>
        <w:gridCol w:w="120"/>
        <w:gridCol w:w="480"/>
        <w:gridCol w:w="60"/>
        <w:gridCol w:w="255"/>
      </w:tblGrid>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top w:val="single" w:sz="4" w:space="0" w:color="000000"/>
              <w:left w:val="single" w:sz="4" w:space="0" w:color="000000"/>
              <w:bottom w:val="single" w:sz="4" w:space="0" w:color="000000"/>
              <w:right w:val="single" w:sz="4" w:space="0" w:color="000000"/>
            </w:tcBorders>
            <w:shd w:fill="auto" w:val="clear"/>
            <w:tcMar>
              <w:top w:w="28" w:type="dxa"/>
              <w:left w:w="28" w:type="dxa"/>
              <w:bottom w:w="28" w:type="dxa"/>
              <w:right w:w="28" w:type="dxa"/>
            </w:tcM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r>
      <w:tr>
        <w:trPr/>
        <w:tc>
          <w:tcPr>
            <w:tcW w:w="375" w:type="dxa"/>
            <w:tcBorders/>
            <w:shd w:fill="auto" w:val="clear"/>
            <w:vAlign w:val="center"/>
          </w:tcPr>
          <w:p>
            <w:pPr>
              <w:pStyle w:val="TableContents"/>
              <w:spacing w:before="0" w:after="283"/>
              <w:rPr/>
            </w:pPr>
            <w:r>
              <w:rPr/>
              <w:t>      </w:t>
            </w:r>
          </w:p>
        </w:tc>
        <w:tc>
          <w:tcPr>
            <w:tcW w:w="60" w:type="dxa"/>
            <w:tcBorders>
              <w:top w:val="single" w:sz="20" w:space="0" w:color="CCCDCF"/>
              <w:left w:val="single" w:sz="20" w:space="0" w:color="CCCDCF"/>
            </w:tcBorders>
            <w:shd w:fill="auto" w:val="clear"/>
            <w:tcMar>
              <w:top w:w="28" w:type="dxa"/>
              <w:left w:w="28" w:type="dxa"/>
            </w:tcMar>
            <w:vAlign w:val="center"/>
          </w:tcPr>
          <w:p>
            <w:pPr>
              <w:pStyle w:val="TableContents"/>
              <w:spacing w:before="0" w:after="283"/>
              <w:rPr/>
            </w:pPr>
            <w:r>
              <w:rPr/>
              <w:t> </w:t>
            </w:r>
          </w:p>
        </w:tc>
        <w:tc>
          <w:tcPr>
            <w:tcW w:w="360" w:type="dxa"/>
            <w:tcBorders>
              <w:top w:val="single" w:sz="20" w:space="0" w:color="CCCDCF"/>
            </w:tcBorders>
            <w:shd w:fill="auto" w:val="clear"/>
            <w:tcMar>
              <w:top w:w="28" w:type="dxa"/>
            </w:tcMar>
            <w:vAlign w:val="center"/>
          </w:tcPr>
          <w:p>
            <w:pPr>
              <w:pStyle w:val="TableContents"/>
              <w:spacing w:before="0" w:after="283"/>
              <w:rPr/>
            </w:pPr>
            <w:r>
              <w:rPr/>
              <w:t> </w:t>
            </w:r>
          </w:p>
        </w:tc>
        <w:tc>
          <w:tcPr>
            <w:tcW w:w="60" w:type="dxa"/>
            <w:tcBorders>
              <w:top w:val="single" w:sz="20" w:space="0" w:color="CCCDCF"/>
            </w:tcBorders>
            <w:shd w:fill="auto" w:val="clear"/>
            <w:tcMar>
              <w:top w:w="28" w:type="dxa"/>
            </w:tcMar>
            <w:vAlign w:val="center"/>
          </w:tcPr>
          <w:p>
            <w:pPr>
              <w:pStyle w:val="TableContents"/>
              <w:spacing w:before="0" w:after="283"/>
              <w:rPr/>
            </w:pPr>
            <w:r>
              <w:rPr/>
              <w:t> </w:t>
            </w:r>
          </w:p>
        </w:tc>
        <w:tc>
          <w:tcPr>
            <w:tcW w:w="1910" w:type="dxa"/>
            <w:tcBorders>
              <w:top w:val="single" w:sz="20" w:space="0" w:color="CCCDCF"/>
            </w:tcBorders>
            <w:shd w:fill="auto" w:val="clear"/>
            <w:tcMar>
              <w:top w:w="28" w:type="dxa"/>
            </w:tcMar>
            <w:vAlign w:val="center"/>
          </w:tcPr>
          <w:p>
            <w:pPr>
              <w:pStyle w:val="TableContents"/>
              <w:spacing w:before="0" w:after="283"/>
              <w:rPr/>
            </w:pPr>
            <w:r>
              <w:rPr/>
              <w:t> </w:t>
            </w:r>
          </w:p>
        </w:tc>
        <w:tc>
          <w:tcPr>
            <w:tcW w:w="60" w:type="dxa"/>
            <w:tcBorders>
              <w:top w:val="single" w:sz="20" w:space="0" w:color="CCCDCF"/>
            </w:tcBorders>
            <w:shd w:fill="auto" w:val="clear"/>
            <w:tcMar>
              <w:top w:w="28" w:type="dxa"/>
            </w:tcMar>
            <w:vAlign w:val="center"/>
          </w:tcPr>
          <w:p>
            <w:pPr>
              <w:pStyle w:val="TableContents"/>
              <w:spacing w:before="0" w:after="283"/>
              <w:rPr/>
            </w:pPr>
            <w:r>
              <w:rPr/>
              <w:t> </w:t>
            </w:r>
          </w:p>
        </w:tc>
        <w:tc>
          <w:tcPr>
            <w:tcW w:w="2840" w:type="dxa"/>
            <w:tcBorders>
              <w:top w:val="single" w:sz="20" w:space="0" w:color="CCCDCF"/>
            </w:tcBorders>
            <w:shd w:fill="auto" w:val="clear"/>
            <w:tcMar>
              <w:top w:w="28" w:type="dxa"/>
            </w:tcMar>
            <w:vAlign w:val="center"/>
          </w:tcPr>
          <w:p>
            <w:pPr>
              <w:pStyle w:val="TableContents"/>
              <w:spacing w:before="0" w:after="283"/>
              <w:rPr/>
            </w:pPr>
            <w:r>
              <w:rPr/>
              <w:t> </w:t>
            </w:r>
          </w:p>
        </w:tc>
        <w:tc>
          <w:tcPr>
            <w:tcW w:w="60" w:type="dxa"/>
            <w:tcBorders>
              <w:top w:val="single" w:sz="20" w:space="0" w:color="CCCDCF"/>
            </w:tcBorders>
            <w:shd w:fill="auto" w:val="clear"/>
            <w:tcMar>
              <w:top w:w="28" w:type="dxa"/>
            </w:tcMar>
            <w:vAlign w:val="center"/>
          </w:tcPr>
          <w:p>
            <w:pPr>
              <w:pStyle w:val="TableContents"/>
              <w:spacing w:before="0" w:after="283"/>
              <w:rPr/>
            </w:pPr>
            <w:r>
              <w:rPr/>
              <w:t> </w:t>
            </w:r>
          </w:p>
        </w:tc>
        <w:tc>
          <w:tcPr>
            <w:tcW w:w="1080" w:type="dxa"/>
            <w:tcBorders>
              <w:top w:val="single" w:sz="20" w:space="0" w:color="CCCDCF"/>
            </w:tcBorders>
            <w:shd w:fill="auto" w:val="clear"/>
            <w:tcMar>
              <w:top w:w="28" w:type="dxa"/>
            </w:tcMar>
            <w:vAlign w:val="center"/>
          </w:tcPr>
          <w:p>
            <w:pPr>
              <w:pStyle w:val="TableContents"/>
              <w:spacing w:before="0" w:after="283"/>
              <w:rPr/>
            </w:pPr>
            <w:r>
              <w:rPr/>
              <w:t> </w:t>
            </w:r>
          </w:p>
        </w:tc>
        <w:tc>
          <w:tcPr>
            <w:tcW w:w="120" w:type="dxa"/>
            <w:tcBorders>
              <w:top w:val="single" w:sz="20" w:space="0" w:color="CCCDCF"/>
            </w:tcBorders>
            <w:shd w:fill="auto" w:val="clear"/>
            <w:tcMar>
              <w:top w:w="28" w:type="dxa"/>
            </w:tcMar>
            <w:vAlign w:val="center"/>
          </w:tcPr>
          <w:p>
            <w:pPr>
              <w:pStyle w:val="TableContents"/>
              <w:spacing w:before="0" w:after="283"/>
              <w:rPr/>
            </w:pPr>
            <w:r>
              <w:rPr/>
              <w:t>  </w:t>
            </w:r>
          </w:p>
        </w:tc>
        <w:tc>
          <w:tcPr>
            <w:tcW w:w="1018" w:type="dxa"/>
            <w:tcBorders>
              <w:top w:val="single" w:sz="20" w:space="0" w:color="CCCDCF"/>
            </w:tcBorders>
            <w:shd w:fill="auto" w:val="clear"/>
            <w:tcMar>
              <w:top w:w="28" w:type="dxa"/>
            </w:tcMar>
            <w:vAlign w:val="center"/>
          </w:tcPr>
          <w:p>
            <w:pPr>
              <w:pStyle w:val="TableContents"/>
              <w:spacing w:before="0" w:after="283"/>
              <w:rPr/>
            </w:pPr>
            <w:r>
              <w:rPr/>
              <w:t> </w:t>
            </w:r>
          </w:p>
        </w:tc>
        <w:tc>
          <w:tcPr>
            <w:tcW w:w="145" w:type="dxa"/>
            <w:tcBorders>
              <w:top w:val="single" w:sz="20" w:space="0" w:color="CCCDCF"/>
            </w:tcBorders>
            <w:shd w:fill="auto" w:val="clear"/>
            <w:tcMar>
              <w:top w:w="28" w:type="dxa"/>
            </w:tcMar>
            <w:vAlign w:val="center"/>
          </w:tcPr>
          <w:p>
            <w:pPr>
              <w:pStyle w:val="TableContents"/>
              <w:spacing w:before="0" w:after="283"/>
              <w:rPr/>
            </w:pPr>
            <w:r>
              <w:rPr/>
              <w:t>  </w:t>
            </w:r>
          </w:p>
        </w:tc>
        <w:tc>
          <w:tcPr>
            <w:tcW w:w="972" w:type="dxa"/>
            <w:tcBorders>
              <w:top w:val="single" w:sz="20" w:space="0" w:color="CCCDCF"/>
            </w:tcBorders>
            <w:shd w:fill="auto" w:val="clear"/>
            <w:tcMar>
              <w:top w:w="28" w:type="dxa"/>
            </w:tcMar>
            <w:vAlign w:val="center"/>
          </w:tcPr>
          <w:p>
            <w:pPr>
              <w:pStyle w:val="TableContents"/>
              <w:spacing w:before="0" w:after="283"/>
              <w:rPr/>
            </w:pPr>
            <w:r>
              <w:rPr/>
              <w:t> </w:t>
            </w:r>
          </w:p>
        </w:tc>
        <w:tc>
          <w:tcPr>
            <w:tcW w:w="120" w:type="dxa"/>
            <w:tcBorders>
              <w:top w:val="single" w:sz="20" w:space="0" w:color="CCCDCF"/>
            </w:tcBorders>
            <w:shd w:fill="auto" w:val="clear"/>
            <w:tcMar>
              <w:top w:w="28" w:type="dxa"/>
            </w:tcMar>
            <w:vAlign w:val="center"/>
          </w:tcPr>
          <w:p>
            <w:pPr>
              <w:pStyle w:val="TableContents"/>
              <w:spacing w:before="0" w:after="283"/>
              <w:rPr/>
            </w:pPr>
            <w:r>
              <w:rPr/>
              <w:t>  </w:t>
            </w:r>
          </w:p>
        </w:tc>
        <w:tc>
          <w:tcPr>
            <w:tcW w:w="815" w:type="dxa"/>
            <w:tcBorders>
              <w:top w:val="single" w:sz="20" w:space="0" w:color="CCCDCF"/>
            </w:tcBorders>
            <w:shd w:fill="auto" w:val="clear"/>
            <w:tcMar>
              <w:top w:w="28" w:type="dxa"/>
            </w:tcMar>
            <w:vAlign w:val="center"/>
          </w:tcPr>
          <w:p>
            <w:pPr>
              <w:pStyle w:val="TableContents"/>
              <w:spacing w:before="0" w:after="283"/>
              <w:rPr/>
            </w:pPr>
            <w:r>
              <w:rPr/>
              <w:t> </w:t>
            </w:r>
          </w:p>
        </w:tc>
        <w:tc>
          <w:tcPr>
            <w:tcW w:w="60" w:type="dxa"/>
            <w:tcBorders>
              <w:top w:val="single" w:sz="20" w:space="0" w:color="CCCDCF"/>
            </w:tcBorders>
            <w:shd w:fill="auto" w:val="clear"/>
            <w:tcMar>
              <w:top w:w="28" w:type="dxa"/>
            </w:tcMar>
            <w:vAlign w:val="center"/>
          </w:tcPr>
          <w:p>
            <w:pPr>
              <w:pStyle w:val="TableContents"/>
              <w:spacing w:before="0" w:after="283"/>
              <w:rPr/>
            </w:pPr>
            <w:r>
              <w:rPr/>
              <w:t> </w:t>
            </w:r>
          </w:p>
        </w:tc>
        <w:tc>
          <w:tcPr>
            <w:tcW w:w="7325" w:type="dxa"/>
            <w:gridSpan w:val="13"/>
            <w:tcBorders>
              <w:top w:val="single" w:sz="20" w:space="0" w:color="CCCDCF"/>
            </w:tcBorders>
            <w:shd w:fill="auto" w:val="clear"/>
            <w:tcMar>
              <w:top w:w="28" w:type="dxa"/>
            </w:tcMar>
            <w:vAlign w:val="center"/>
          </w:tcPr>
          <w:p>
            <w:pPr>
              <w:pStyle w:val="TableContents"/>
              <w:spacing w:before="0" w:after="283"/>
              <w:rPr/>
            </w:pPr>
            <w:r>
              <w:rPr/>
              <w:t> </w:t>
            </w:r>
          </w:p>
        </w:tc>
        <w:tc>
          <w:tcPr>
            <w:tcW w:w="60" w:type="dxa"/>
            <w:tcBorders>
              <w:top w:val="single" w:sz="20" w:space="0" w:color="CCCDCF"/>
            </w:tcBorders>
            <w:shd w:fill="auto" w:val="clear"/>
            <w:tcMar>
              <w:top w:w="28" w:type="dxa"/>
            </w:tcMar>
            <w:vAlign w:val="center"/>
          </w:tcPr>
          <w:p>
            <w:pPr>
              <w:pStyle w:val="TableContents"/>
              <w:spacing w:before="0" w:after="283"/>
              <w:rPr/>
            </w:pPr>
            <w:r>
              <w:rPr/>
              <w:t> </w:t>
            </w:r>
          </w:p>
        </w:tc>
        <w:tc>
          <w:tcPr>
            <w:tcW w:w="255" w:type="dxa"/>
            <w:tcBorders>
              <w:top w:val="single" w:sz="20" w:space="0" w:color="CCCDCF"/>
              <w:right w:val="single" w:sz="20" w:space="0" w:color="CCCDCF"/>
            </w:tcBorders>
            <w:shd w:fill="auto" w:val="clear"/>
            <w:tcMar>
              <w:top w:w="28" w:type="dxa"/>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8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For</w:t>
            </w:r>
          </w:p>
          <w:p>
            <w:pPr>
              <w:pStyle w:val="TableContents"/>
              <w:spacing w:before="0" w:after="20"/>
              <w:jc w:val="center"/>
              <w:rPr>
                <w:rFonts w:ascii="Times New Roman" w:hAnsi="Times New Roman"/>
                <w:b/>
                <w:sz w:val="16"/>
              </w:rPr>
            </w:pPr>
            <w:r>
              <w:rPr>
                <w:rFonts w:ascii="Times New Roman" w:hAnsi="Times New Roman"/>
                <w:b/>
                <w:sz w:val="16"/>
              </w:rPr>
              <w:t>All</w:t>
            </w:r>
          </w:p>
        </w:tc>
        <w:tc>
          <w:tcPr>
            <w:tcW w:w="145"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Withhold</w:t>
            </w:r>
          </w:p>
          <w:p>
            <w:pPr>
              <w:pStyle w:val="TableContents"/>
              <w:spacing w:before="0" w:after="20"/>
              <w:jc w:val="center"/>
              <w:rPr>
                <w:rFonts w:ascii="Times New Roman" w:hAnsi="Times New Roman"/>
                <w:b/>
                <w:sz w:val="16"/>
              </w:rPr>
            </w:pPr>
            <w:r>
              <w:rPr>
                <w:rFonts w:ascii="Times New Roman" w:hAnsi="Times New Roman"/>
                <w:b/>
                <w:sz w:val="16"/>
              </w:rPr>
              <w:t>All</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For All</w:t>
            </w:r>
          </w:p>
          <w:p>
            <w:pPr>
              <w:pStyle w:val="TableContents"/>
              <w:spacing w:before="0" w:after="20"/>
              <w:jc w:val="center"/>
              <w:rPr>
                <w:rFonts w:ascii="Times New Roman" w:hAnsi="Times New Roman"/>
                <w:b/>
                <w:sz w:val="16"/>
              </w:rPr>
            </w:pPr>
            <w:r>
              <w:rPr>
                <w:rFonts w:ascii="Times New Roman" w:hAnsi="Times New Roman"/>
                <w:b/>
                <w:sz w:val="16"/>
              </w:rPr>
              <w:t>Except</w:t>
            </w:r>
          </w:p>
        </w:tc>
        <w:tc>
          <w:tcPr>
            <w:tcW w:w="60" w:type="dxa"/>
            <w:tcBorders/>
            <w:shd w:fill="auto" w:val="clear"/>
            <w:vAlign w:val="center"/>
          </w:tcPr>
          <w:p>
            <w:pPr>
              <w:pStyle w:val="TableContents"/>
              <w:spacing w:before="0" w:after="283"/>
              <w:rPr/>
            </w:pPr>
            <w:r>
              <w:rPr/>
              <w:t> </w:t>
            </w:r>
          </w:p>
        </w:tc>
        <w:tc>
          <w:tcPr>
            <w:tcW w:w="6725" w:type="dxa"/>
            <w:gridSpan w:val="11"/>
            <w:tcBorders/>
            <w:shd w:fill="auto" w:val="clear"/>
            <w:vAlign w:val="center"/>
          </w:tcPr>
          <w:p>
            <w:pPr>
              <w:pStyle w:val="TableContents"/>
              <w:spacing w:before="0" w:after="0"/>
              <w:rPr>
                <w:rFonts w:ascii="Times New Roman" w:hAnsi="Times New Roman"/>
                <w:sz w:val="16"/>
              </w:rPr>
            </w:pPr>
            <w:r>
              <w:rPr>
                <w:rFonts w:ascii="Times New Roman" w:hAnsi="Times New Roman"/>
                <w:sz w:val="16"/>
              </w:rPr>
              <w:t>To withhold authority to vote for any individual nominee(s), mark “For All Except” and write the number(s) of the nominee(s) on the line below.</w:t>
            </w:r>
          </w:p>
        </w:tc>
        <w:tc>
          <w:tcPr>
            <w:tcW w:w="120" w:type="dxa"/>
            <w:tcBorders>
              <w:top w:val="single" w:sz="24" w:space="0" w:color="000000"/>
            </w:tcBorders>
            <w:shd w:fill="auto" w:val="clear"/>
            <w:tcMar>
              <w:top w:w="28" w:type="dxa"/>
            </w:tcMar>
            <w:vAlign w:val="center"/>
          </w:tcPr>
          <w:p>
            <w:pPr>
              <w:pStyle w:val="TableContents"/>
              <w:spacing w:before="0" w:after="283"/>
              <w:rPr/>
            </w:pPr>
            <w:r>
              <w:rPr/>
              <w:t>  </w:t>
            </w:r>
          </w:p>
        </w:tc>
        <w:tc>
          <w:tcPr>
            <w:tcW w:w="480" w:type="dxa"/>
            <w:tcBorders>
              <w:top w:val="single" w:sz="24" w:space="0" w:color="000000"/>
              <w:right w:val="single" w:sz="24" w:space="0" w:color="000000"/>
            </w:tcBorders>
            <w:shd w:fill="auto" w:val="clear"/>
            <w:tcMar>
              <w:top w:w="28" w:type="dxa"/>
              <w:right w:w="28" w:type="dxa"/>
            </w:tcMar>
            <w:vAlign w:val="center"/>
          </w:tcPr>
          <w:p>
            <w:pPr>
              <w:pStyle w:val="TableContents"/>
              <w:spacing w:before="0" w:after="0"/>
              <w:rPr/>
            </w:pPr>
            <w:r>
              <w:rPr/>
              <w:t>    </w:t>
            </w:r>
          </w:p>
          <w:p>
            <w:pPr>
              <w:pStyle w:val="TableContents"/>
              <w:spacing w:before="0" w:after="0"/>
              <w:rPr/>
            </w:pPr>
            <w:r>
              <w:rPr/>
              <w:t>        </w:t>
            </w:r>
          </w:p>
          <w:p>
            <w:pPr>
              <w:pStyle w:val="TableContents"/>
              <w:spacing w:before="0" w:after="20"/>
              <w:rPr/>
            </w:pPr>
            <w:r>
              <w:rPr/>
              <w:t>    </w:t>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950" w:type="dxa"/>
            <w:gridSpan w:val="5"/>
            <w:tcBorders/>
            <w:shd w:fill="auto" w:val="clear"/>
            <w:vAlign w:val="center"/>
          </w:tcPr>
          <w:p>
            <w:pPr>
              <w:pStyle w:val="TableContents"/>
              <w:spacing w:before="0" w:after="283"/>
              <w:rPr>
                <w:b/>
              </w:rPr>
            </w:pPr>
            <w:r>
              <w:rPr>
                <w:b/>
              </w:rPr>
              <w:t>The Board of Directors recommends you vote FOR</w:t>
              <w:br/>
              <w:t>the following nominees:</w:t>
            </w:r>
          </w:p>
        </w:tc>
        <w:tc>
          <w:tcPr>
            <w:tcW w:w="120"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pPr>
            <w:r>
              <w:rPr/>
              <w:t>  </w:t>
            </w:r>
          </w:p>
        </w:tc>
        <w:tc>
          <w:tcPr>
            <w:tcW w:w="951"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8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283"/>
              <w:jc w:val="center"/>
              <w:rPr/>
            </w:pPr>
            <w:r>
              <w:rPr/>
              <w:t>☐</w:t>
            </w:r>
          </w:p>
        </w:tc>
        <w:tc>
          <w:tcPr>
            <w:tcW w:w="145"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center"/>
              <w:rPr/>
            </w:pPr>
            <w:r>
              <w:rPr/>
              <w:t>☐</w:t>
            </w:r>
          </w:p>
        </w:tc>
        <w:tc>
          <w:tcPr>
            <w:tcW w:w="60" w:type="dxa"/>
            <w:tcBorders>
              <w:bottom w:val="single" w:sz="6" w:space="0" w:color="000000"/>
            </w:tcBorders>
            <w:shd w:fill="auto" w:val="clear"/>
            <w:tcMar>
              <w:bottom w:w="28" w:type="dxa"/>
            </w:tcMar>
            <w:vAlign w:val="center"/>
          </w:tcPr>
          <w:p>
            <w:pPr>
              <w:pStyle w:val="TableContents"/>
              <w:spacing w:before="0" w:after="283"/>
              <w:rPr/>
            </w:pPr>
            <w:r>
              <w:rPr/>
              <w:t> </w:t>
            </w:r>
          </w:p>
        </w:tc>
        <w:tc>
          <w:tcPr>
            <w:tcW w:w="90" w:type="dxa"/>
            <w:tcBorders>
              <w:bottom w:val="single" w:sz="6" w:space="0" w:color="000000"/>
            </w:tcBorders>
            <w:shd w:fill="auto" w:val="clear"/>
            <w:tcMar>
              <w:bottom w:w="28" w:type="dxa"/>
            </w:tcMar>
            <w:vAlign w:val="center"/>
          </w:tcPr>
          <w:p>
            <w:pPr>
              <w:pStyle w:val="TableContents"/>
              <w:spacing w:before="0" w:after="283"/>
              <w:rPr/>
            </w:pPr>
            <w:r>
              <w:rPr/>
              <w:t> </w:t>
            </w:r>
          </w:p>
        </w:tc>
        <w:tc>
          <w:tcPr>
            <w:tcW w:w="180" w:type="dxa"/>
            <w:tcBorders>
              <w:bottom w:val="single" w:sz="6" w:space="0" w:color="000000"/>
            </w:tcBorders>
            <w:shd w:fill="auto" w:val="clear"/>
            <w:tcMar>
              <w:bottom w:w="28" w:type="dxa"/>
            </w:tcMar>
            <w:vAlign w:val="center"/>
          </w:tcPr>
          <w:p>
            <w:pPr>
              <w:pStyle w:val="TableContents"/>
              <w:spacing w:before="0" w:after="283"/>
              <w:rPr/>
            </w:pPr>
            <w:r>
              <w:rPr/>
              <w:t>  </w:t>
            </w:r>
          </w:p>
        </w:tc>
        <w:tc>
          <w:tcPr>
            <w:tcW w:w="951" w:type="dxa"/>
            <w:tcBorders>
              <w:bottom w:val="single" w:sz="6" w:space="0" w:color="000000"/>
            </w:tcBorders>
            <w:shd w:fill="auto" w:val="clear"/>
            <w:tcMar>
              <w:bottom w:w="28" w:type="dxa"/>
            </w:tcMar>
            <w:vAlign w:val="center"/>
          </w:tcPr>
          <w:p>
            <w:pPr>
              <w:pStyle w:val="TableContents"/>
              <w:spacing w:before="0" w:after="283"/>
              <w:rPr/>
            </w:pPr>
            <w:r>
              <w:rPr/>
              <w:t> </w:t>
            </w:r>
          </w:p>
        </w:tc>
        <w:tc>
          <w:tcPr>
            <w:tcW w:w="1903" w:type="dxa"/>
            <w:tcBorders>
              <w:bottom w:val="single" w:sz="6" w:space="0" w:color="000000"/>
            </w:tcBorders>
            <w:shd w:fill="auto" w:val="clear"/>
            <w:tcMar>
              <w:bottom w:w="28" w:type="dxa"/>
            </w:tcMar>
            <w:vAlign w:val="center"/>
          </w:tcPr>
          <w:p>
            <w:pPr>
              <w:pStyle w:val="TableContents"/>
              <w:spacing w:before="0" w:after="283"/>
              <w:rPr/>
            </w:pPr>
            <w:r>
              <w:rPr/>
              <w:t>  </w:t>
            </w:r>
          </w:p>
        </w:tc>
        <w:tc>
          <w:tcPr>
            <w:tcW w:w="956"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bottom w:val="single" w:sz="6" w:space="0" w:color="000000"/>
            </w:tcBorders>
            <w:shd w:fill="auto" w:val="clear"/>
            <w:tcMar>
              <w:bottom w:w="28" w:type="dxa"/>
            </w:tcMar>
            <w:vAlign w:val="center"/>
          </w:tcPr>
          <w:p>
            <w:pPr>
              <w:pStyle w:val="TableContents"/>
              <w:spacing w:before="0" w:after="283"/>
              <w:rPr/>
            </w:pPr>
            <w:r>
              <w:rPr/>
              <w:t>  </w:t>
            </w:r>
          </w:p>
        </w:tc>
        <w:tc>
          <w:tcPr>
            <w:tcW w:w="1385" w:type="dxa"/>
            <w:tcBorders>
              <w:bottom w:val="single" w:sz="6" w:space="0" w:color="000000"/>
            </w:tcBorders>
            <w:shd w:fill="auto" w:val="clear"/>
            <w:tcMar>
              <w:bottom w:w="28" w:type="dxa"/>
            </w:tcM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420" w:type="dxa"/>
            <w:gridSpan w:val="2"/>
            <w:tcBorders>
              <w:left w:val="single" w:sz="20" w:space="0" w:color="CCCDCF"/>
            </w:tcBorders>
            <w:shd w:fill="auto" w:val="clear"/>
            <w:tcMar>
              <w:left w:w="28" w:type="dxa"/>
            </w:tcMar>
            <w:vAlign w:val="center"/>
          </w:tcPr>
          <w:p>
            <w:pPr>
              <w:pStyle w:val="TableContents"/>
              <w:spacing w:before="0" w:after="283"/>
              <w:rPr/>
            </w:pPr>
            <w:r>
              <w:rPr/>
              <w:t> </w:t>
            </w:r>
          </w:p>
        </w:tc>
        <w:tc>
          <w:tcPr>
            <w:tcW w:w="13340" w:type="dxa"/>
            <w:gridSpan w:val="18"/>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960"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315" w:type="dxa"/>
            <w:gridSpan w:val="2"/>
            <w:tcBorders>
              <w:right w:val="single" w:sz="20" w:space="0" w:color="CCCDCF"/>
            </w:tcBorders>
            <w:shd w:fill="auto" w:val="clear"/>
            <w:tcMar>
              <w:right w:w="28"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3280" w:type="dxa"/>
            <w:gridSpan w:val="17"/>
            <w:tcBorders/>
            <w:shd w:fill="auto" w:val="clear"/>
            <w:vAlign w:val="center"/>
          </w:tcPr>
          <w:p>
            <w:pPr>
              <w:pStyle w:val="TableContents"/>
              <w:spacing w:before="0" w:after="0"/>
              <w:rPr>
                <w:rFonts w:ascii="Times New Roman" w:hAnsi="Times New Roman"/>
                <w:sz w:val="16"/>
              </w:rPr>
            </w:pPr>
            <w:r>
              <w:rPr>
                <w:rFonts w:ascii="Times New Roman" w:hAnsi="Times New Roman"/>
                <w:b/>
                <w:sz w:val="16"/>
              </w:rPr>
              <w:t xml:space="preserve">1. </w:t>
            </w:r>
            <w:r>
              <w:rPr>
                <w:rFonts w:ascii="Times New Roman" w:hAnsi="Times New Roman"/>
                <w:sz w:val="16"/>
              </w:rPr>
              <w:t>   Election of Directors</w:t>
            </w:r>
          </w:p>
        </w:tc>
        <w:tc>
          <w:tcPr>
            <w:tcW w:w="12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420" w:type="dxa"/>
            <w:gridSpan w:val="2"/>
            <w:tcBorders>
              <w:left w:val="single" w:sz="20" w:space="0" w:color="CCCDCF"/>
            </w:tcBorders>
            <w:shd w:fill="auto" w:val="clear"/>
            <w:tcMar>
              <w:left w:w="28" w:type="dxa"/>
            </w:tcMar>
            <w:vAlign w:val="center"/>
          </w:tcPr>
          <w:p>
            <w:pPr>
              <w:pStyle w:val="TableContents"/>
              <w:spacing w:before="0" w:after="283"/>
              <w:rPr/>
            </w:pPr>
            <w:r>
              <w:rPr/>
              <w:t> </w:t>
            </w:r>
          </w:p>
        </w:tc>
        <w:tc>
          <w:tcPr>
            <w:tcW w:w="1970" w:type="dxa"/>
            <w:gridSpan w:val="2"/>
            <w:tcBorders/>
            <w:shd w:fill="auto" w:val="clear"/>
            <w:vAlign w:val="center"/>
          </w:tcPr>
          <w:p>
            <w:pPr>
              <w:pStyle w:val="TableContents"/>
              <w:spacing w:before="0" w:after="283"/>
              <w:rPr>
                <w:sz w:val="4"/>
                <w:szCs w:val="4"/>
              </w:rPr>
            </w:pPr>
            <w:r>
              <w:rPr>
                <w:sz w:val="4"/>
                <w:szCs w:val="4"/>
              </w:rPr>
            </w:r>
          </w:p>
        </w:tc>
        <w:tc>
          <w:tcPr>
            <w:tcW w:w="2900" w:type="dxa"/>
            <w:gridSpan w:val="2"/>
            <w:tcBorders/>
            <w:shd w:fill="auto" w:val="clear"/>
            <w:vAlign w:val="center"/>
          </w:tcPr>
          <w:p>
            <w:pPr>
              <w:pStyle w:val="TableContents"/>
              <w:spacing w:before="0" w:after="283"/>
              <w:rPr>
                <w:sz w:val="4"/>
                <w:szCs w:val="4"/>
              </w:rPr>
            </w:pPr>
            <w:r>
              <w:rPr>
                <w:sz w:val="4"/>
                <w:szCs w:val="4"/>
              </w:rPr>
            </w:r>
          </w:p>
        </w:tc>
        <w:tc>
          <w:tcPr>
            <w:tcW w:w="1140" w:type="dxa"/>
            <w:gridSpan w:val="2"/>
            <w:tcBorders/>
            <w:shd w:fill="auto" w:val="clear"/>
            <w:vAlign w:val="center"/>
          </w:tcPr>
          <w:p>
            <w:pPr>
              <w:pStyle w:val="TableContents"/>
              <w:spacing w:before="0" w:after="283"/>
              <w:rPr>
                <w:sz w:val="4"/>
                <w:szCs w:val="4"/>
              </w:rPr>
            </w:pPr>
            <w:r>
              <w:rPr>
                <w:sz w:val="4"/>
                <w:szCs w:val="4"/>
              </w:rPr>
            </w:r>
          </w:p>
        </w:tc>
        <w:tc>
          <w:tcPr>
            <w:tcW w:w="1138"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150" w:type="dxa"/>
            <w:gridSpan w:val="2"/>
            <w:tcBorders/>
            <w:shd w:fill="auto" w:val="clear"/>
            <w:vAlign w:val="center"/>
          </w:tcPr>
          <w:p>
            <w:pPr>
              <w:pStyle w:val="TableContents"/>
              <w:spacing w:before="0" w:after="283"/>
              <w:rPr>
                <w:sz w:val="4"/>
                <w:szCs w:val="4"/>
              </w:rPr>
            </w:pPr>
            <w:r>
              <w:rPr>
                <w:sz w:val="4"/>
                <w:szCs w:val="4"/>
              </w:rPr>
            </w:r>
          </w:p>
        </w:tc>
        <w:tc>
          <w:tcPr>
            <w:tcW w:w="1131" w:type="dxa"/>
            <w:gridSpan w:val="2"/>
            <w:tcBorders/>
            <w:shd w:fill="auto" w:val="clear"/>
            <w:vAlign w:val="center"/>
          </w:tcPr>
          <w:p>
            <w:pPr>
              <w:pStyle w:val="TableContents"/>
              <w:spacing w:before="0" w:after="283"/>
              <w:rPr>
                <w:sz w:val="4"/>
                <w:szCs w:val="4"/>
              </w:rPr>
            </w:pPr>
            <w:r>
              <w:rPr>
                <w:sz w:val="4"/>
                <w:szCs w:val="4"/>
              </w:rPr>
            </w:r>
          </w:p>
        </w:tc>
        <w:tc>
          <w:tcPr>
            <w:tcW w:w="2859" w:type="dxa"/>
            <w:gridSpan w:val="2"/>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960"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315" w:type="dxa"/>
            <w:gridSpan w:val="2"/>
            <w:tcBorders>
              <w:right w:val="single" w:sz="20" w:space="0" w:color="CCCDCF"/>
            </w:tcBorders>
            <w:shd w:fill="auto" w:val="clear"/>
            <w:tcMar>
              <w:right w:w="28"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pPr>
            <w:r>
              <w:rPr/>
              <w:t> </w:t>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spacing w:before="0" w:after="283"/>
              <w:rPr/>
            </w:pPr>
            <w:r>
              <w:rPr/>
              <w:t>       </w:t>
            </w:r>
            <w:r>
              <w:rPr>
                <w:b/>
              </w:rPr>
              <w:t>Nominees</w:t>
            </w:r>
          </w:p>
        </w:tc>
        <w:tc>
          <w:tcPr>
            <w:tcW w:w="60" w:type="dxa"/>
            <w:tcBorders/>
            <w:shd w:fill="auto" w:val="clear"/>
            <w:vAlign w:val="center"/>
          </w:tcPr>
          <w:p>
            <w:pPr>
              <w:pStyle w:val="TableContents"/>
              <w:spacing w:before="0" w:after="283"/>
              <w:rPr/>
            </w:pPr>
            <w:r>
              <w:rPr/>
              <w:t> </w:t>
            </w:r>
          </w:p>
        </w:tc>
        <w:tc>
          <w:tcPr>
            <w:tcW w:w="28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283"/>
              <w:rPr/>
            </w:pPr>
            <w:r>
              <w:rPr/>
              <w:t> </w:t>
            </w:r>
          </w:p>
        </w:tc>
        <w:tc>
          <w:tcPr>
            <w:tcW w:w="145"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951" w:type="dxa"/>
            <w:tcBorders/>
            <w:shd w:fill="auto" w:val="clear"/>
            <w:vAlign w:val="center"/>
          </w:tcPr>
          <w:p>
            <w:pPr>
              <w:pStyle w:val="TableContents"/>
              <w:spacing w:before="0" w:after="283"/>
              <w:rPr/>
            </w:pPr>
            <w:r>
              <w:rPr/>
              <w:t> </w:t>
            </w:r>
          </w:p>
        </w:tc>
        <w:tc>
          <w:tcPr>
            <w:tcW w:w="1903" w:type="dxa"/>
            <w:tcBorders/>
            <w:shd w:fill="auto" w:val="clear"/>
            <w:vAlign w:val="center"/>
          </w:tcPr>
          <w:p>
            <w:pPr>
              <w:pStyle w:val="TableContents"/>
              <w:spacing w:before="0" w:after="283"/>
              <w:rPr/>
            </w:pPr>
            <w:r>
              <w:rPr/>
              <w:t>  </w:t>
            </w:r>
          </w:p>
        </w:tc>
        <w:tc>
          <w:tcPr>
            <w:tcW w:w="956"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420" w:type="dxa"/>
            <w:gridSpan w:val="2"/>
            <w:tcBorders>
              <w:left w:val="single" w:sz="20" w:space="0" w:color="CCCDCF"/>
            </w:tcBorders>
            <w:shd w:fill="auto" w:val="clear"/>
            <w:tcMar>
              <w:left w:w="28" w:type="dxa"/>
            </w:tcMar>
            <w:vAlign w:val="center"/>
          </w:tcPr>
          <w:p>
            <w:pPr>
              <w:pStyle w:val="TableContents"/>
              <w:spacing w:before="0" w:after="283"/>
              <w:rPr/>
            </w:pPr>
            <w:r>
              <w:rPr/>
              <w:t> </w:t>
            </w:r>
          </w:p>
        </w:tc>
        <w:tc>
          <w:tcPr>
            <w:tcW w:w="1970" w:type="dxa"/>
            <w:gridSpan w:val="2"/>
            <w:tcBorders/>
            <w:shd w:fill="auto" w:val="clear"/>
            <w:vAlign w:val="center"/>
          </w:tcPr>
          <w:p>
            <w:pPr>
              <w:pStyle w:val="TableContents"/>
              <w:spacing w:before="0" w:after="283"/>
              <w:rPr>
                <w:sz w:val="4"/>
                <w:szCs w:val="4"/>
              </w:rPr>
            </w:pPr>
            <w:r>
              <w:rPr>
                <w:sz w:val="4"/>
                <w:szCs w:val="4"/>
              </w:rPr>
            </w:r>
          </w:p>
        </w:tc>
        <w:tc>
          <w:tcPr>
            <w:tcW w:w="2900" w:type="dxa"/>
            <w:gridSpan w:val="2"/>
            <w:tcBorders/>
            <w:shd w:fill="auto" w:val="clear"/>
            <w:vAlign w:val="center"/>
          </w:tcPr>
          <w:p>
            <w:pPr>
              <w:pStyle w:val="TableContents"/>
              <w:spacing w:before="0" w:after="283"/>
              <w:rPr>
                <w:sz w:val="4"/>
                <w:szCs w:val="4"/>
              </w:rPr>
            </w:pPr>
            <w:r>
              <w:rPr>
                <w:sz w:val="4"/>
                <w:szCs w:val="4"/>
              </w:rPr>
            </w:r>
          </w:p>
        </w:tc>
        <w:tc>
          <w:tcPr>
            <w:tcW w:w="1140" w:type="dxa"/>
            <w:gridSpan w:val="2"/>
            <w:tcBorders/>
            <w:shd w:fill="auto" w:val="clear"/>
            <w:vAlign w:val="center"/>
          </w:tcPr>
          <w:p>
            <w:pPr>
              <w:pStyle w:val="TableContents"/>
              <w:spacing w:before="0" w:after="283"/>
              <w:rPr>
                <w:sz w:val="4"/>
                <w:szCs w:val="4"/>
              </w:rPr>
            </w:pPr>
            <w:r>
              <w:rPr>
                <w:sz w:val="4"/>
                <w:szCs w:val="4"/>
              </w:rPr>
            </w:r>
          </w:p>
        </w:tc>
        <w:tc>
          <w:tcPr>
            <w:tcW w:w="2255" w:type="dxa"/>
            <w:gridSpan w:val="4"/>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150" w:type="dxa"/>
            <w:gridSpan w:val="2"/>
            <w:tcBorders/>
            <w:shd w:fill="auto" w:val="clear"/>
            <w:vAlign w:val="center"/>
          </w:tcPr>
          <w:p>
            <w:pPr>
              <w:pStyle w:val="TableContents"/>
              <w:spacing w:before="0" w:after="283"/>
              <w:rPr>
                <w:sz w:val="4"/>
                <w:szCs w:val="4"/>
              </w:rPr>
            </w:pPr>
            <w:r>
              <w:rPr>
                <w:sz w:val="4"/>
                <w:szCs w:val="4"/>
              </w:rPr>
            </w:r>
          </w:p>
        </w:tc>
        <w:tc>
          <w:tcPr>
            <w:tcW w:w="3990" w:type="dxa"/>
            <w:gridSpan w:val="4"/>
            <w:tcBorders/>
            <w:shd w:fill="auto" w:val="clear"/>
            <w:vAlign w:val="center"/>
          </w:tcPr>
          <w:p>
            <w:pPr>
              <w:pStyle w:val="TableContents"/>
              <w:spacing w:before="0" w:after="283"/>
              <w:rPr>
                <w:sz w:val="4"/>
                <w:szCs w:val="4"/>
              </w:rPr>
            </w:pPr>
            <w:r>
              <w:rPr>
                <w:sz w:val="4"/>
                <w:szCs w:val="4"/>
              </w:rPr>
            </w:r>
          </w:p>
        </w:tc>
        <w:tc>
          <w:tcPr>
            <w:tcW w:w="3245" w:type="dxa"/>
            <w:gridSpan w:val="8"/>
            <w:tcBorders/>
            <w:shd w:fill="auto" w:val="clear"/>
            <w:vAlign w:val="center"/>
          </w:tcPr>
          <w:p>
            <w:pPr>
              <w:pStyle w:val="TableContents"/>
              <w:spacing w:before="0" w:after="283"/>
              <w:rPr>
                <w:sz w:val="4"/>
                <w:szCs w:val="4"/>
              </w:rPr>
            </w:pPr>
            <w:r>
              <w:rPr>
                <w:sz w:val="4"/>
                <w:szCs w:val="4"/>
              </w:rPr>
            </w:r>
          </w:p>
        </w:tc>
        <w:tc>
          <w:tcPr>
            <w:tcW w:w="315" w:type="dxa"/>
            <w:gridSpan w:val="2"/>
            <w:tcBorders>
              <w:right w:val="single" w:sz="20" w:space="0" w:color="CCCDCF"/>
            </w:tcBorders>
            <w:shd w:fill="auto" w:val="clear"/>
            <w:tcMar>
              <w:right w:w="28"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spacing w:before="0" w:after="283"/>
              <w:rPr/>
            </w:pPr>
            <w:r>
              <w:rPr/>
              <w:t>01)  Nancy Fletcher</w:t>
            </w:r>
          </w:p>
        </w:tc>
        <w:tc>
          <w:tcPr>
            <w:tcW w:w="60" w:type="dxa"/>
            <w:tcBorders/>
            <w:shd w:fill="auto" w:val="clear"/>
            <w:vAlign w:val="center"/>
          </w:tcPr>
          <w:p>
            <w:pPr>
              <w:pStyle w:val="TableContents"/>
              <w:spacing w:before="0" w:after="283"/>
              <w:rPr/>
            </w:pPr>
            <w:r>
              <w:rPr/>
              <w:t> </w:t>
            </w:r>
          </w:p>
        </w:tc>
        <w:tc>
          <w:tcPr>
            <w:tcW w:w="2840" w:type="dxa"/>
            <w:tcBorders/>
            <w:shd w:fill="auto" w:val="clear"/>
            <w:vAlign w:val="center"/>
          </w:tcPr>
          <w:p>
            <w:pPr>
              <w:pStyle w:val="TableContents"/>
              <w:spacing w:before="0" w:after="283"/>
              <w:rPr/>
            </w:pPr>
            <w:r>
              <w:rPr/>
              <w:t>        </w:t>
            </w:r>
            <w:r>
              <w:rPr/>
              <w:t>02)  John E. Koerner, III</w:t>
            </w:r>
          </w:p>
        </w:tc>
        <w:tc>
          <w:tcPr>
            <w:tcW w:w="60" w:type="dxa"/>
            <w:tcBorders/>
            <w:shd w:fill="auto" w:val="clear"/>
            <w:vAlign w:val="center"/>
          </w:tcPr>
          <w:p>
            <w:pPr>
              <w:pStyle w:val="TableContents"/>
              <w:spacing w:before="0" w:after="283"/>
              <w:rPr/>
            </w:pPr>
            <w:r>
              <w:rPr/>
              <w:t> </w:t>
            </w:r>
          </w:p>
        </w:tc>
        <w:tc>
          <w:tcPr>
            <w:tcW w:w="10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135" w:type="dxa"/>
            <w:gridSpan w:val="3"/>
            <w:tcBorders/>
            <w:shd w:fill="auto" w:val="clear"/>
            <w:vAlign w:val="center"/>
          </w:tcPr>
          <w:p>
            <w:pPr>
              <w:pStyle w:val="TableContents"/>
              <w:spacing w:before="0" w:after="283"/>
              <w:rPr/>
            </w:pPr>
            <w:r>
              <w:rPr/>
              <w:t>03)  Marshall A. Loeb</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pPr>
            <w:r>
              <w:rPr/>
              <w:t>  </w:t>
            </w:r>
          </w:p>
        </w:tc>
        <w:tc>
          <w:tcPr>
            <w:tcW w:w="3810" w:type="dxa"/>
            <w:gridSpan w:val="3"/>
            <w:tcBorders/>
            <w:shd w:fill="auto" w:val="clear"/>
            <w:vAlign w:val="center"/>
          </w:tcPr>
          <w:p>
            <w:pPr>
              <w:pStyle w:val="TableContents"/>
              <w:spacing w:before="0" w:after="283"/>
              <w:rPr/>
            </w:pPr>
            <w:r>
              <w:rPr/>
              <w:t>04)  Stephen P. Mumblow</w:t>
            </w:r>
          </w:p>
        </w:tc>
        <w:tc>
          <w:tcPr>
            <w:tcW w:w="120" w:type="dxa"/>
            <w:tcBorders/>
            <w:shd w:fill="auto" w:val="clear"/>
            <w:vAlign w:val="center"/>
          </w:tcPr>
          <w:p>
            <w:pPr>
              <w:pStyle w:val="TableContents"/>
              <w:spacing w:before="0" w:after="283"/>
              <w:rPr/>
            </w:pPr>
            <w:r>
              <w:rPr/>
              <w:t>  </w:t>
            </w:r>
          </w:p>
        </w:tc>
        <w:tc>
          <w:tcPr>
            <w:tcW w:w="3125" w:type="dxa"/>
            <w:gridSpan w:val="7"/>
            <w:tcBorders/>
            <w:shd w:fill="auto" w:val="clear"/>
            <w:vAlign w:val="center"/>
          </w:tcPr>
          <w:p>
            <w:pPr>
              <w:pStyle w:val="TableContents"/>
              <w:spacing w:before="0" w:after="283"/>
              <w:rPr/>
            </w:pPr>
            <w:r>
              <w:rPr/>
              <w:t>      </w:t>
            </w:r>
            <w:r>
              <w:rPr/>
              <w:t>05)  Thomas V. Reifenheiser</w:t>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910" w:type="dxa"/>
            <w:tcBorders/>
            <w:shd w:fill="auto" w:val="clear"/>
            <w:vAlign w:val="center"/>
          </w:tcPr>
          <w:p>
            <w:pPr>
              <w:pStyle w:val="TableContents"/>
              <w:spacing w:before="0" w:after="283"/>
              <w:rPr/>
            </w:pPr>
            <w:r>
              <w:rPr/>
              <w:t>06)  Anna Reilly</w:t>
            </w:r>
          </w:p>
        </w:tc>
        <w:tc>
          <w:tcPr>
            <w:tcW w:w="60" w:type="dxa"/>
            <w:tcBorders/>
            <w:shd w:fill="auto" w:val="clear"/>
            <w:vAlign w:val="center"/>
          </w:tcPr>
          <w:p>
            <w:pPr>
              <w:pStyle w:val="TableContents"/>
              <w:spacing w:before="0" w:after="283"/>
              <w:rPr/>
            </w:pPr>
            <w:r>
              <w:rPr/>
              <w:t> </w:t>
            </w:r>
          </w:p>
        </w:tc>
        <w:tc>
          <w:tcPr>
            <w:tcW w:w="2840" w:type="dxa"/>
            <w:tcBorders/>
            <w:shd w:fill="auto" w:val="clear"/>
            <w:vAlign w:val="center"/>
          </w:tcPr>
          <w:p>
            <w:pPr>
              <w:pStyle w:val="TableContents"/>
              <w:spacing w:before="0" w:after="283"/>
              <w:rPr/>
            </w:pPr>
            <w:r>
              <w:rPr/>
              <w:t>        </w:t>
            </w:r>
            <w:r>
              <w:rPr/>
              <w:t>07)  Kevin P. Reilly, Jr.</w:t>
            </w:r>
          </w:p>
        </w:tc>
        <w:tc>
          <w:tcPr>
            <w:tcW w:w="60" w:type="dxa"/>
            <w:tcBorders/>
            <w:shd w:fill="auto" w:val="clear"/>
            <w:vAlign w:val="center"/>
          </w:tcPr>
          <w:p>
            <w:pPr>
              <w:pStyle w:val="TableContents"/>
              <w:spacing w:before="0" w:after="283"/>
              <w:rPr/>
            </w:pPr>
            <w:r>
              <w:rPr/>
              <w:t> </w:t>
            </w:r>
          </w:p>
        </w:tc>
        <w:tc>
          <w:tcPr>
            <w:tcW w:w="10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135" w:type="dxa"/>
            <w:gridSpan w:val="3"/>
            <w:tcBorders/>
            <w:shd w:fill="auto" w:val="clear"/>
            <w:vAlign w:val="center"/>
          </w:tcPr>
          <w:p>
            <w:pPr>
              <w:pStyle w:val="TableContents"/>
              <w:spacing w:before="0" w:after="283"/>
              <w:rPr/>
            </w:pPr>
            <w:r>
              <w:rPr/>
              <w:t>08)  Wendell Reilly</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pPr>
            <w:r>
              <w:rPr/>
              <w:t>  </w:t>
            </w:r>
          </w:p>
        </w:tc>
        <w:tc>
          <w:tcPr>
            <w:tcW w:w="3810" w:type="dxa"/>
            <w:gridSpan w:val="3"/>
            <w:tcBorders/>
            <w:shd w:fill="auto" w:val="clear"/>
            <w:vAlign w:val="center"/>
          </w:tcPr>
          <w:p>
            <w:pPr>
              <w:pStyle w:val="TableContents"/>
              <w:spacing w:before="0" w:after="283"/>
              <w:rPr/>
            </w:pPr>
            <w:r>
              <w:rPr/>
              <w:t>09)  Elizabeth Thompson</w:t>
            </w:r>
          </w:p>
        </w:tc>
        <w:tc>
          <w:tcPr>
            <w:tcW w:w="12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420" w:type="dxa"/>
            <w:gridSpan w:val="2"/>
            <w:tcBorders>
              <w:left w:val="single" w:sz="20" w:space="0" w:color="CCCDCF"/>
            </w:tcBorders>
            <w:shd w:fill="auto" w:val="clear"/>
            <w:tcMar>
              <w:left w:w="28" w:type="dxa"/>
            </w:tcMar>
            <w:vAlign w:val="center"/>
          </w:tcPr>
          <w:p>
            <w:pPr>
              <w:pStyle w:val="TableContents"/>
              <w:spacing w:before="0" w:after="283"/>
              <w:rPr/>
            </w:pPr>
            <w:r>
              <w:rPr/>
              <w:t> </w:t>
            </w:r>
          </w:p>
        </w:tc>
        <w:tc>
          <w:tcPr>
            <w:tcW w:w="9200" w:type="dxa"/>
            <w:gridSpan w:val="12"/>
            <w:tcBorders/>
            <w:shd w:fill="auto" w:val="clear"/>
            <w:vAlign w:val="center"/>
          </w:tcPr>
          <w:p>
            <w:pPr>
              <w:pStyle w:val="TableContents"/>
              <w:spacing w:before="0" w:after="283"/>
              <w:rPr>
                <w:sz w:val="4"/>
                <w:szCs w:val="4"/>
              </w:rPr>
            </w:pPr>
            <w:r>
              <w:rPr>
                <w:sz w:val="4"/>
                <w:szCs w:val="4"/>
              </w:rPr>
            </w:r>
          </w:p>
        </w:tc>
        <w:tc>
          <w:tcPr>
            <w:tcW w:w="150" w:type="dxa"/>
            <w:gridSpan w:val="2"/>
            <w:tcBorders/>
            <w:shd w:fill="auto" w:val="clear"/>
            <w:vAlign w:val="center"/>
          </w:tcPr>
          <w:p>
            <w:pPr>
              <w:pStyle w:val="TableContents"/>
              <w:spacing w:before="0" w:after="283"/>
              <w:rPr>
                <w:sz w:val="4"/>
                <w:szCs w:val="4"/>
              </w:rPr>
            </w:pPr>
            <w:r>
              <w:rPr>
                <w:sz w:val="4"/>
                <w:szCs w:val="4"/>
              </w:rPr>
            </w:r>
          </w:p>
        </w:tc>
        <w:tc>
          <w:tcPr>
            <w:tcW w:w="3990" w:type="dxa"/>
            <w:gridSpan w:val="4"/>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960"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315" w:type="dxa"/>
            <w:gridSpan w:val="2"/>
            <w:tcBorders>
              <w:right w:val="single" w:sz="20" w:space="0" w:color="CCCDCF"/>
            </w:tcBorders>
            <w:shd w:fill="auto" w:val="clear"/>
            <w:tcMar>
              <w:right w:w="28"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140" w:type="dxa"/>
            <w:gridSpan w:val="11"/>
            <w:tcBorders/>
            <w:shd w:fill="auto" w:val="clear"/>
            <w:vAlign w:val="center"/>
          </w:tcPr>
          <w:p>
            <w:pPr>
              <w:pStyle w:val="TableContents"/>
              <w:spacing w:before="0" w:after="283"/>
              <w:rPr>
                <w:b/>
              </w:rPr>
            </w:pPr>
            <w:r>
              <w:rPr>
                <w:b/>
              </w:rPr>
              <w:t>The Board of Directors recommends you vote FOR</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pPr>
            <w:r>
              <w:rPr/>
              <w:t>  </w:t>
            </w:r>
          </w:p>
        </w:tc>
        <w:tc>
          <w:tcPr>
            <w:tcW w:w="3810" w:type="dxa"/>
            <w:gridSpan w:val="3"/>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pPr>
            <w:r>
              <w:rPr/>
              <w:t> </w:t>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950" w:type="dxa"/>
            <w:gridSpan w:val="5"/>
            <w:tcBorders/>
            <w:shd w:fill="auto" w:val="clear"/>
            <w:vAlign w:val="center"/>
          </w:tcPr>
          <w:p>
            <w:pPr>
              <w:pStyle w:val="TableContents"/>
              <w:spacing w:before="0" w:after="283"/>
              <w:rPr>
                <w:b/>
              </w:rPr>
            </w:pPr>
            <w:r>
              <w:rPr>
                <w:b/>
              </w:rPr>
              <w:t>proposal 2.</w:t>
            </w:r>
          </w:p>
        </w:tc>
        <w:tc>
          <w:tcPr>
            <w:tcW w:w="120"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283"/>
              <w:jc w:val="center"/>
              <w:rPr>
                <w:b/>
              </w:rPr>
            </w:pPr>
            <w:r>
              <w:rPr>
                <w:b/>
              </w:rPr>
              <w:t>For</w:t>
            </w:r>
          </w:p>
        </w:tc>
        <w:tc>
          <w:tcPr>
            <w:tcW w:w="145"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jc w:val="center"/>
              <w:rPr>
                <w:b/>
              </w:rPr>
            </w:pPr>
            <w:r>
              <w:rPr>
                <w:b/>
              </w:rPr>
              <w:t>Against</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center"/>
              <w:rPr>
                <w:b/>
              </w:rPr>
            </w:pPr>
            <w:r>
              <w:rPr>
                <w:b/>
              </w:rPr>
              <w:t>Abstain</w:t>
            </w:r>
          </w:p>
        </w:tc>
        <w:tc>
          <w:tcPr>
            <w:tcW w:w="60" w:type="dxa"/>
            <w:tcBorders/>
            <w:shd w:fill="auto" w:val="clear"/>
            <w:vAlign w:val="center"/>
          </w:tcPr>
          <w:p>
            <w:pPr>
              <w:pStyle w:val="TableContents"/>
              <w:spacing w:before="0" w:after="283"/>
              <w:rPr/>
            </w:pPr>
            <w:r>
              <w:rPr/>
              <w:t> </w:t>
            </w:r>
          </w:p>
        </w:tc>
        <w:tc>
          <w:tcPr>
            <w:tcW w:w="6545" w:type="dxa"/>
            <w:gridSpan w:val="9"/>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420" w:type="dxa"/>
            <w:gridSpan w:val="2"/>
            <w:tcBorders>
              <w:left w:val="single" w:sz="20" w:space="0" w:color="CCCDCF"/>
            </w:tcBorders>
            <w:shd w:fill="auto" w:val="clear"/>
            <w:tcMar>
              <w:left w:w="28" w:type="dxa"/>
            </w:tcMar>
            <w:vAlign w:val="center"/>
          </w:tcPr>
          <w:p>
            <w:pPr>
              <w:pStyle w:val="TableContents"/>
              <w:spacing w:before="0" w:after="283"/>
              <w:rPr/>
            </w:pPr>
            <w:r>
              <w:rPr/>
              <w:t> </w:t>
            </w:r>
          </w:p>
        </w:tc>
        <w:tc>
          <w:tcPr>
            <w:tcW w:w="6010" w:type="dxa"/>
            <w:gridSpan w:val="6"/>
            <w:tcBorders/>
            <w:shd w:fill="auto" w:val="clear"/>
            <w:vAlign w:val="center"/>
          </w:tcPr>
          <w:p>
            <w:pPr>
              <w:pStyle w:val="TableContents"/>
              <w:spacing w:before="0" w:after="283"/>
              <w:rPr>
                <w:sz w:val="4"/>
                <w:szCs w:val="4"/>
              </w:rPr>
            </w:pPr>
            <w:r>
              <w:rPr>
                <w:sz w:val="4"/>
                <w:szCs w:val="4"/>
              </w:rPr>
            </w:r>
          </w:p>
        </w:tc>
        <w:tc>
          <w:tcPr>
            <w:tcW w:w="1138"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6605" w:type="dxa"/>
            <w:gridSpan w:val="10"/>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315" w:type="dxa"/>
            <w:gridSpan w:val="2"/>
            <w:tcBorders>
              <w:right w:val="single" w:sz="20" w:space="0" w:color="CCCDCF"/>
            </w:tcBorders>
            <w:shd w:fill="auto" w:val="clear"/>
            <w:tcMar>
              <w:right w:w="28"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5950" w:type="dxa"/>
            <w:gridSpan w:val="5"/>
            <w:tcBorders/>
            <w:shd w:fill="auto" w:val="clear"/>
            <w:vAlign w:val="center"/>
          </w:tcPr>
          <w:p>
            <w:pPr>
              <w:pStyle w:val="TableContents"/>
              <w:spacing w:before="0" w:after="0"/>
              <w:rPr>
                <w:rFonts w:ascii="Times New Roman" w:hAnsi="Times New Roman"/>
                <w:sz w:val="16"/>
              </w:rPr>
            </w:pPr>
            <w:r>
              <w:rPr>
                <w:rFonts w:ascii="Times New Roman" w:hAnsi="Times New Roman"/>
                <w:b/>
                <w:sz w:val="16"/>
              </w:rPr>
              <w:t>2.</w:t>
            </w:r>
            <w:r>
              <w:rPr>
                <w:rFonts w:ascii="Times New Roman" w:hAnsi="Times New Roman"/>
                <w:sz w:val="16"/>
              </w:rPr>
              <w:t>   Approval, on an advisory and non-binding basis, of the compensation of the Company's named executive officers.</w:t>
            </w:r>
          </w:p>
        </w:tc>
        <w:tc>
          <w:tcPr>
            <w:tcW w:w="120"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283"/>
              <w:jc w:val="center"/>
              <w:rPr/>
            </w:pPr>
            <w:r>
              <w:rPr/>
              <w:t>☐</w:t>
            </w:r>
          </w:p>
        </w:tc>
        <w:tc>
          <w:tcPr>
            <w:tcW w:w="145"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545" w:type="dxa"/>
            <w:gridSpan w:val="9"/>
            <w:tcBorders/>
            <w:shd w:fill="auto" w:val="clear"/>
            <w:vAlign w:val="center"/>
          </w:tcPr>
          <w:p>
            <w:pPr>
              <w:pStyle w:val="TableContents"/>
              <w:spacing w:before="0" w:after="20"/>
              <w:rPr>
                <w:rFonts w:ascii="Times New Roman" w:hAnsi="Times New Roman"/>
                <w:sz w:val="16"/>
              </w:rPr>
            </w:pPr>
            <w:r>
              <w:rPr>
                <w:rFonts w:ascii="Times New Roman" w:hAnsi="Times New Roman"/>
                <w:b/>
                <w:sz w:val="16"/>
              </w:rPr>
              <w:t xml:space="preserve">NOTE: </w:t>
            </w:r>
            <w:r>
              <w:rPr>
                <w:rFonts w:ascii="Times New Roman" w:hAnsi="Times New Roman"/>
                <w:sz w:val="16"/>
              </w:rPr>
              <w:t>  Such other business as may properly come before the meeting or any adjournment thereof.</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420" w:type="dxa"/>
            <w:gridSpan w:val="2"/>
            <w:tcBorders>
              <w:left w:val="single" w:sz="20" w:space="0" w:color="CCCDCF"/>
            </w:tcBorders>
            <w:shd w:fill="auto" w:val="clear"/>
            <w:tcMar>
              <w:left w:w="28" w:type="dxa"/>
            </w:tcMar>
            <w:vAlign w:val="center"/>
          </w:tcPr>
          <w:p>
            <w:pPr>
              <w:pStyle w:val="TableContents"/>
              <w:spacing w:before="0" w:after="283"/>
              <w:rPr/>
            </w:pPr>
            <w:r>
              <w:rPr/>
              <w:t> </w:t>
            </w:r>
          </w:p>
        </w:tc>
        <w:tc>
          <w:tcPr>
            <w:tcW w:w="9200" w:type="dxa"/>
            <w:gridSpan w:val="12"/>
            <w:tcBorders/>
            <w:shd w:fill="auto" w:val="clear"/>
            <w:vAlign w:val="center"/>
          </w:tcPr>
          <w:p>
            <w:pPr>
              <w:pStyle w:val="TableContents"/>
              <w:spacing w:before="0" w:after="283"/>
              <w:rPr>
                <w:sz w:val="4"/>
                <w:szCs w:val="4"/>
              </w:rPr>
            </w:pPr>
            <w:r>
              <w:rPr>
                <w:sz w:val="4"/>
                <w:szCs w:val="4"/>
              </w:rPr>
            </w:r>
          </w:p>
        </w:tc>
        <w:tc>
          <w:tcPr>
            <w:tcW w:w="150" w:type="dxa"/>
            <w:gridSpan w:val="2"/>
            <w:tcBorders/>
            <w:shd w:fill="auto" w:val="clear"/>
            <w:vAlign w:val="center"/>
          </w:tcPr>
          <w:p>
            <w:pPr>
              <w:pStyle w:val="TableContents"/>
              <w:spacing w:before="0" w:after="283"/>
              <w:rPr>
                <w:sz w:val="4"/>
                <w:szCs w:val="4"/>
              </w:rPr>
            </w:pPr>
            <w:r>
              <w:rPr>
                <w:sz w:val="4"/>
                <w:szCs w:val="4"/>
              </w:rPr>
            </w:r>
          </w:p>
        </w:tc>
        <w:tc>
          <w:tcPr>
            <w:tcW w:w="3990" w:type="dxa"/>
            <w:gridSpan w:val="4"/>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960"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315" w:type="dxa"/>
            <w:gridSpan w:val="2"/>
            <w:tcBorders>
              <w:right w:val="single" w:sz="20" w:space="0" w:color="CCCDCF"/>
            </w:tcBorders>
            <w:shd w:fill="auto" w:val="clear"/>
            <w:tcMar>
              <w:right w:w="28"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140" w:type="dxa"/>
            <w:gridSpan w:val="11"/>
            <w:tcBorders/>
            <w:shd w:fill="auto" w:val="clear"/>
            <w:vAlign w:val="center"/>
          </w:tcPr>
          <w:p>
            <w:pPr>
              <w:pStyle w:val="TableContents"/>
              <w:spacing w:before="0" w:after="283"/>
              <w:rPr>
                <w:b/>
              </w:rPr>
            </w:pPr>
            <w:r>
              <w:rPr>
                <w:b/>
              </w:rPr>
              <w:t xml:space="preserve">The Board of Directors recommends you vote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pPr>
            <w:r>
              <w:rPr/>
              <w:t>  </w:t>
            </w:r>
          </w:p>
        </w:tc>
        <w:tc>
          <w:tcPr>
            <w:tcW w:w="3810" w:type="dxa"/>
            <w:gridSpan w:val="3"/>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pPr>
            <w:r>
              <w:rPr/>
              <w:t> </w:t>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810" w:type="dxa"/>
            <w:gridSpan w:val="3"/>
            <w:tcBorders/>
            <w:shd w:fill="auto" w:val="clear"/>
            <w:vAlign w:val="center"/>
          </w:tcPr>
          <w:p>
            <w:pPr>
              <w:pStyle w:val="TableContents"/>
              <w:spacing w:before="0" w:after="283"/>
              <w:rPr>
                <w:b/>
              </w:rPr>
            </w:pPr>
            <w:r>
              <w:rPr>
                <w:b/>
              </w:rPr>
              <w:t>3 YEARS for proposal 3.</w:t>
            </w:r>
          </w:p>
        </w:tc>
        <w:tc>
          <w:tcPr>
            <w:tcW w:w="60" w:type="dxa"/>
            <w:tcBorders/>
            <w:shd w:fill="auto" w:val="clear"/>
            <w:vAlign w:val="center"/>
          </w:tcPr>
          <w:p>
            <w:pPr>
              <w:pStyle w:val="TableContents"/>
              <w:spacing w:before="0" w:after="283"/>
              <w:rPr/>
            </w:pPr>
            <w:r>
              <w:rPr/>
              <w:t> </w:t>
            </w:r>
          </w:p>
        </w:tc>
        <w:tc>
          <w:tcPr>
            <w:tcW w:w="1080" w:type="dxa"/>
            <w:tcBorders/>
            <w:shd w:fill="auto" w:val="clear"/>
            <w:vAlign w:val="center"/>
          </w:tcPr>
          <w:p>
            <w:pPr>
              <w:pStyle w:val="TableContents"/>
              <w:spacing w:before="0" w:after="283"/>
              <w:jc w:val="center"/>
              <w:rPr>
                <w:b/>
              </w:rPr>
            </w:pPr>
            <w:r>
              <w:rPr>
                <w:b/>
              </w:rPr>
              <w:t>1 year</w:t>
            </w:r>
          </w:p>
        </w:tc>
        <w:tc>
          <w:tcPr>
            <w:tcW w:w="120"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283"/>
              <w:jc w:val="center"/>
              <w:rPr>
                <w:b/>
              </w:rPr>
            </w:pPr>
            <w:r>
              <w:rPr>
                <w:b/>
              </w:rPr>
              <w:t>2 years</w:t>
            </w:r>
          </w:p>
        </w:tc>
        <w:tc>
          <w:tcPr>
            <w:tcW w:w="145"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jc w:val="center"/>
              <w:rPr>
                <w:b/>
              </w:rPr>
            </w:pPr>
            <w:r>
              <w:rPr>
                <w:b/>
              </w:rPr>
              <w:t>3 years</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center"/>
              <w:rPr>
                <w:b/>
              </w:rPr>
            </w:pPr>
            <w:r>
              <w:rPr>
                <w:b/>
              </w:rPr>
              <w:t>Abstain</w:t>
            </w:r>
          </w:p>
        </w:tc>
        <w:tc>
          <w:tcPr>
            <w:tcW w:w="60" w:type="dxa"/>
            <w:tcBorders/>
            <w:shd w:fill="auto" w:val="clear"/>
            <w:vAlign w:val="center"/>
          </w:tcPr>
          <w:p>
            <w:pPr>
              <w:pStyle w:val="TableContents"/>
              <w:spacing w:before="0" w:after="283"/>
              <w:rPr/>
            </w:pPr>
            <w:r>
              <w:rPr/>
              <w:t> </w:t>
            </w:r>
          </w:p>
        </w:tc>
        <w:tc>
          <w:tcPr>
            <w:tcW w:w="6545" w:type="dxa"/>
            <w:gridSpan w:val="9"/>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420" w:type="dxa"/>
            <w:gridSpan w:val="2"/>
            <w:tcBorders>
              <w:left w:val="single" w:sz="20" w:space="0" w:color="CCCDCF"/>
            </w:tcBorders>
            <w:shd w:fill="auto" w:val="clear"/>
            <w:tcMar>
              <w:left w:w="28" w:type="dxa"/>
            </w:tcMar>
            <w:vAlign w:val="center"/>
          </w:tcPr>
          <w:p>
            <w:pPr>
              <w:pStyle w:val="TableContents"/>
              <w:spacing w:before="0" w:after="283"/>
              <w:rPr/>
            </w:pPr>
            <w:r>
              <w:rPr/>
              <w:t> </w:t>
            </w:r>
          </w:p>
        </w:tc>
        <w:tc>
          <w:tcPr>
            <w:tcW w:w="4870" w:type="dxa"/>
            <w:gridSpan w:val="4"/>
            <w:tcBorders/>
            <w:shd w:fill="auto" w:val="clear"/>
            <w:vAlign w:val="center"/>
          </w:tcPr>
          <w:p>
            <w:pPr>
              <w:pStyle w:val="TableContents"/>
              <w:spacing w:before="0" w:after="283"/>
              <w:rPr>
                <w:sz w:val="4"/>
                <w:szCs w:val="4"/>
              </w:rPr>
            </w:pPr>
            <w:r>
              <w:rPr>
                <w:sz w:val="4"/>
                <w:szCs w:val="4"/>
              </w:rPr>
            </w:r>
          </w:p>
        </w:tc>
        <w:tc>
          <w:tcPr>
            <w:tcW w:w="1140" w:type="dxa"/>
            <w:gridSpan w:val="2"/>
            <w:tcBorders/>
            <w:shd w:fill="auto" w:val="clear"/>
            <w:vAlign w:val="center"/>
          </w:tcPr>
          <w:p>
            <w:pPr>
              <w:pStyle w:val="TableContents"/>
              <w:spacing w:before="0" w:after="283"/>
              <w:rPr>
                <w:sz w:val="4"/>
                <w:szCs w:val="4"/>
              </w:rPr>
            </w:pPr>
            <w:r>
              <w:rPr>
                <w:sz w:val="4"/>
                <w:szCs w:val="4"/>
              </w:rPr>
            </w:r>
          </w:p>
        </w:tc>
        <w:tc>
          <w:tcPr>
            <w:tcW w:w="1138"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6605" w:type="dxa"/>
            <w:gridSpan w:val="10"/>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315" w:type="dxa"/>
            <w:gridSpan w:val="2"/>
            <w:tcBorders>
              <w:right w:val="single" w:sz="20" w:space="0" w:color="CCCDCF"/>
            </w:tcBorders>
            <w:shd w:fill="auto" w:val="clear"/>
            <w:tcMar>
              <w:right w:w="28"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4810" w:type="dxa"/>
            <w:gridSpan w:val="3"/>
            <w:tcBorders/>
            <w:shd w:fill="auto" w:val="clear"/>
            <w:vAlign w:val="center"/>
          </w:tcPr>
          <w:p>
            <w:pPr>
              <w:pStyle w:val="TableContents"/>
              <w:spacing w:before="0" w:after="0"/>
              <w:rPr>
                <w:rFonts w:ascii="Times New Roman" w:hAnsi="Times New Roman"/>
                <w:sz w:val="16"/>
              </w:rPr>
            </w:pPr>
            <w:r>
              <w:rPr>
                <w:rFonts w:ascii="Times New Roman" w:hAnsi="Times New Roman"/>
                <w:b/>
                <w:sz w:val="16"/>
              </w:rPr>
              <w:t>3.</w:t>
            </w:r>
            <w:r>
              <w:rPr>
                <w:rFonts w:ascii="Times New Roman" w:hAnsi="Times New Roman"/>
                <w:sz w:val="16"/>
              </w:rPr>
              <w:t>   Non-binding, advisory vote on the frequency of future advisory votes on executive compensation.</w:t>
            </w:r>
          </w:p>
        </w:tc>
        <w:tc>
          <w:tcPr>
            <w:tcW w:w="60" w:type="dxa"/>
            <w:tcBorders/>
            <w:shd w:fill="auto" w:val="clear"/>
            <w:vAlign w:val="center"/>
          </w:tcPr>
          <w:p>
            <w:pPr>
              <w:pStyle w:val="TableContents"/>
              <w:spacing w:before="0" w:after="283"/>
              <w:rPr/>
            </w:pPr>
            <w:r>
              <w:rPr/>
              <w:t> </w:t>
            </w:r>
          </w:p>
        </w:tc>
        <w:tc>
          <w:tcPr>
            <w:tcW w:w="1080" w:type="dxa"/>
            <w:tcBorders/>
            <w:shd w:fill="auto" w:val="clear"/>
            <w:vAlign w:val="center"/>
          </w:tcPr>
          <w:p>
            <w:pPr>
              <w:pStyle w:val="TableContents"/>
              <w:spacing w:before="0" w:after="0"/>
              <w:jc w:val="center"/>
              <w:rPr/>
            </w:pPr>
            <w:r>
              <w:rPr/>
              <w:t>☐</w:t>
            </w:r>
          </w:p>
        </w:tc>
        <w:tc>
          <w:tcPr>
            <w:tcW w:w="120"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283"/>
              <w:jc w:val="center"/>
              <w:rPr/>
            </w:pPr>
            <w:r>
              <w:rPr/>
              <w:t>☐</w:t>
            </w:r>
          </w:p>
        </w:tc>
        <w:tc>
          <w:tcPr>
            <w:tcW w:w="145"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545" w:type="dxa"/>
            <w:gridSpan w:val="9"/>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420" w:type="dxa"/>
            <w:gridSpan w:val="2"/>
            <w:tcBorders>
              <w:left w:val="single" w:sz="20" w:space="0" w:color="CCCDCF"/>
            </w:tcBorders>
            <w:shd w:fill="auto" w:val="clear"/>
            <w:tcMar>
              <w:left w:w="28" w:type="dxa"/>
            </w:tcMar>
            <w:vAlign w:val="center"/>
          </w:tcPr>
          <w:p>
            <w:pPr>
              <w:pStyle w:val="TableContents"/>
              <w:spacing w:before="0" w:after="283"/>
              <w:rPr/>
            </w:pPr>
            <w:r>
              <w:rPr/>
              <w:t> </w:t>
            </w:r>
          </w:p>
        </w:tc>
        <w:tc>
          <w:tcPr>
            <w:tcW w:w="9200" w:type="dxa"/>
            <w:gridSpan w:val="12"/>
            <w:tcBorders/>
            <w:shd w:fill="auto" w:val="clear"/>
            <w:vAlign w:val="center"/>
          </w:tcPr>
          <w:p>
            <w:pPr>
              <w:pStyle w:val="TableContents"/>
              <w:spacing w:before="0" w:after="283"/>
              <w:rPr>
                <w:sz w:val="4"/>
                <w:szCs w:val="4"/>
              </w:rPr>
            </w:pPr>
            <w:r>
              <w:rPr>
                <w:sz w:val="4"/>
                <w:szCs w:val="4"/>
              </w:rPr>
            </w:r>
          </w:p>
        </w:tc>
        <w:tc>
          <w:tcPr>
            <w:tcW w:w="150" w:type="dxa"/>
            <w:gridSpan w:val="2"/>
            <w:tcBorders/>
            <w:shd w:fill="auto" w:val="clear"/>
            <w:vAlign w:val="center"/>
          </w:tcPr>
          <w:p>
            <w:pPr>
              <w:pStyle w:val="TableContents"/>
              <w:spacing w:before="0" w:after="283"/>
              <w:rPr>
                <w:sz w:val="4"/>
                <w:szCs w:val="4"/>
              </w:rPr>
            </w:pPr>
            <w:r>
              <w:rPr>
                <w:sz w:val="4"/>
                <w:szCs w:val="4"/>
              </w:rPr>
            </w:r>
          </w:p>
        </w:tc>
        <w:tc>
          <w:tcPr>
            <w:tcW w:w="3990" w:type="dxa"/>
            <w:gridSpan w:val="4"/>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960"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315" w:type="dxa"/>
            <w:gridSpan w:val="2"/>
            <w:tcBorders>
              <w:right w:val="single" w:sz="20" w:space="0" w:color="CCCDCF"/>
            </w:tcBorders>
            <w:shd w:fill="auto" w:val="clear"/>
            <w:tcMar>
              <w:right w:w="28"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9140" w:type="dxa"/>
            <w:gridSpan w:val="11"/>
            <w:tcBorders/>
            <w:shd w:fill="auto" w:val="clear"/>
            <w:vAlign w:val="center"/>
          </w:tcPr>
          <w:p>
            <w:pPr>
              <w:pStyle w:val="TableContents"/>
              <w:spacing w:before="0" w:after="283"/>
              <w:rPr>
                <w:b/>
              </w:rPr>
            </w:pPr>
            <w:r>
              <w:rPr>
                <w:b/>
              </w:rPr>
              <w:t>The Board of Directors recommends you vote FOR</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pPr>
            <w:r>
              <w:rPr/>
              <w:t>  </w:t>
            </w:r>
          </w:p>
        </w:tc>
        <w:tc>
          <w:tcPr>
            <w:tcW w:w="3810" w:type="dxa"/>
            <w:gridSpan w:val="3"/>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pPr>
            <w:r>
              <w:rPr/>
              <w:t> </w:t>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950" w:type="dxa"/>
            <w:gridSpan w:val="5"/>
            <w:tcBorders/>
            <w:shd w:fill="auto" w:val="clear"/>
            <w:vAlign w:val="center"/>
          </w:tcPr>
          <w:p>
            <w:pPr>
              <w:pStyle w:val="TableContents"/>
              <w:spacing w:before="0" w:after="283"/>
              <w:rPr>
                <w:b/>
              </w:rPr>
            </w:pPr>
            <w:r>
              <w:rPr>
                <w:b/>
              </w:rPr>
              <w:t>proposal 4.</w:t>
            </w:r>
          </w:p>
        </w:tc>
        <w:tc>
          <w:tcPr>
            <w:tcW w:w="120"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283"/>
              <w:jc w:val="center"/>
              <w:rPr>
                <w:b/>
              </w:rPr>
            </w:pPr>
            <w:r>
              <w:rPr>
                <w:b/>
              </w:rPr>
              <w:t>For</w:t>
            </w:r>
          </w:p>
        </w:tc>
        <w:tc>
          <w:tcPr>
            <w:tcW w:w="145"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jc w:val="center"/>
              <w:rPr>
                <w:b/>
              </w:rPr>
            </w:pPr>
            <w:r>
              <w:rPr>
                <w:b/>
              </w:rPr>
              <w:t>Against</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center"/>
              <w:rPr>
                <w:b/>
              </w:rPr>
            </w:pPr>
            <w:r>
              <w:rPr>
                <w:b/>
              </w:rPr>
              <w:t>Abstain</w:t>
            </w:r>
          </w:p>
        </w:tc>
        <w:tc>
          <w:tcPr>
            <w:tcW w:w="60" w:type="dxa"/>
            <w:tcBorders/>
            <w:shd w:fill="auto" w:val="clear"/>
            <w:vAlign w:val="center"/>
          </w:tcPr>
          <w:p>
            <w:pPr>
              <w:pStyle w:val="TableContents"/>
              <w:spacing w:before="0" w:after="283"/>
              <w:rPr/>
            </w:pPr>
            <w:r>
              <w:rPr/>
              <w:t> </w:t>
            </w:r>
          </w:p>
        </w:tc>
        <w:tc>
          <w:tcPr>
            <w:tcW w:w="6545" w:type="dxa"/>
            <w:gridSpan w:val="9"/>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420" w:type="dxa"/>
            <w:gridSpan w:val="2"/>
            <w:tcBorders>
              <w:left w:val="single" w:sz="20" w:space="0" w:color="CCCDCF"/>
            </w:tcBorders>
            <w:shd w:fill="auto" w:val="clear"/>
            <w:tcMar>
              <w:left w:w="28" w:type="dxa"/>
            </w:tcMar>
            <w:vAlign w:val="center"/>
          </w:tcPr>
          <w:p>
            <w:pPr>
              <w:pStyle w:val="TableContents"/>
              <w:spacing w:before="0" w:after="283"/>
              <w:rPr/>
            </w:pPr>
            <w:r>
              <w:rPr/>
              <w:t> </w:t>
            </w:r>
          </w:p>
        </w:tc>
        <w:tc>
          <w:tcPr>
            <w:tcW w:w="6010" w:type="dxa"/>
            <w:gridSpan w:val="6"/>
            <w:tcBorders/>
            <w:shd w:fill="auto" w:val="clear"/>
            <w:vAlign w:val="center"/>
          </w:tcPr>
          <w:p>
            <w:pPr>
              <w:pStyle w:val="TableContents"/>
              <w:spacing w:before="0" w:after="283"/>
              <w:rPr>
                <w:sz w:val="4"/>
                <w:szCs w:val="4"/>
              </w:rPr>
            </w:pPr>
            <w:r>
              <w:rPr>
                <w:sz w:val="4"/>
                <w:szCs w:val="4"/>
              </w:rPr>
            </w:r>
          </w:p>
        </w:tc>
        <w:tc>
          <w:tcPr>
            <w:tcW w:w="1138"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6605" w:type="dxa"/>
            <w:gridSpan w:val="10"/>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315" w:type="dxa"/>
            <w:gridSpan w:val="2"/>
            <w:tcBorders>
              <w:right w:val="single" w:sz="20" w:space="0" w:color="CCCDCF"/>
            </w:tcBorders>
            <w:shd w:fill="auto" w:val="clear"/>
            <w:tcMar>
              <w:right w:w="28"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283"/>
              <w:rPr/>
            </w:pPr>
            <w:r>
              <w:rPr/>
              <w:t> </w:t>
            </w:r>
          </w:p>
        </w:tc>
        <w:tc>
          <w:tcPr>
            <w:tcW w:w="5950" w:type="dxa"/>
            <w:gridSpan w:val="5"/>
            <w:tcBorders/>
            <w:shd w:fill="auto" w:val="clear"/>
            <w:vAlign w:val="center"/>
          </w:tcPr>
          <w:p>
            <w:pPr>
              <w:pStyle w:val="TableContents"/>
              <w:spacing w:before="0" w:after="0"/>
              <w:rPr>
                <w:rFonts w:ascii="Times New Roman" w:hAnsi="Times New Roman"/>
                <w:sz w:val="16"/>
              </w:rPr>
            </w:pPr>
            <w:r>
              <w:rPr>
                <w:rFonts w:ascii="Times New Roman" w:hAnsi="Times New Roman"/>
                <w:b/>
                <w:sz w:val="16"/>
              </w:rPr>
              <w:t>4.</w:t>
            </w:r>
            <w:r>
              <w:rPr>
                <w:rFonts w:ascii="Times New Roman" w:hAnsi="Times New Roman"/>
                <w:sz w:val="16"/>
              </w:rPr>
              <w:t>   Ratify the appointment of KPMG LLP as the Company's independent registered public accounting firm for fiscal 2023.</w:t>
            </w:r>
          </w:p>
        </w:tc>
        <w:tc>
          <w:tcPr>
            <w:tcW w:w="120"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283"/>
              <w:jc w:val="center"/>
              <w:rPr/>
            </w:pPr>
            <w:r>
              <w:rPr/>
              <w:t>☐</w:t>
            </w:r>
          </w:p>
        </w:tc>
        <w:tc>
          <w:tcPr>
            <w:tcW w:w="145"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jc w:val="center"/>
              <w:rPr/>
            </w:pPr>
            <w:r>
              <w:rPr/>
              <w:t>☐</w:t>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6545" w:type="dxa"/>
            <w:gridSpan w:val="9"/>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420" w:type="dxa"/>
            <w:gridSpan w:val="2"/>
            <w:tcBorders>
              <w:left w:val="single" w:sz="20" w:space="0" w:color="CCCDCF"/>
            </w:tcBorders>
            <w:shd w:fill="auto" w:val="clear"/>
            <w:tcMar>
              <w:left w:w="28" w:type="dxa"/>
            </w:tcMar>
            <w:vAlign w:val="center"/>
          </w:tcPr>
          <w:p>
            <w:pPr>
              <w:pStyle w:val="TableContents"/>
              <w:spacing w:before="0" w:after="283"/>
              <w:rPr/>
            </w:pPr>
            <w:r>
              <w:rPr/>
              <w:t> </w:t>
            </w:r>
          </w:p>
        </w:tc>
        <w:tc>
          <w:tcPr>
            <w:tcW w:w="16585" w:type="dxa"/>
            <w:gridSpan w:val="26"/>
            <w:tcBorders/>
            <w:shd w:fill="auto" w:val="clear"/>
            <w:vAlign w:val="center"/>
          </w:tcPr>
          <w:p>
            <w:pPr>
              <w:pStyle w:val="TableContents"/>
              <w:spacing w:before="0" w:after="283"/>
              <w:rPr>
                <w:sz w:val="4"/>
                <w:szCs w:val="4"/>
              </w:rPr>
            </w:pPr>
            <w:r>
              <w:rPr>
                <w:sz w:val="4"/>
                <w:szCs w:val="4"/>
              </w:rPr>
            </w:r>
          </w:p>
        </w:tc>
        <w:tc>
          <w:tcPr>
            <w:tcW w:w="315" w:type="dxa"/>
            <w:gridSpan w:val="2"/>
            <w:tcBorders>
              <w:right w:val="single" w:sz="20" w:space="0" w:color="CCCDCF"/>
            </w:tcBorders>
            <w:shd w:fill="auto" w:val="clear"/>
            <w:tcMar>
              <w:right w:w="28"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25" w:type="dxa"/>
            <w:gridSpan w:val="25"/>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420" w:type="dxa"/>
            <w:gridSpan w:val="2"/>
            <w:tcBorders>
              <w:left w:val="single" w:sz="20" w:space="0" w:color="CCCDCF"/>
            </w:tcBorders>
            <w:shd w:fill="auto" w:val="clear"/>
            <w:tcMar>
              <w:left w:w="28" w:type="dxa"/>
            </w:tcMar>
            <w:vAlign w:val="center"/>
          </w:tcPr>
          <w:p>
            <w:pPr>
              <w:pStyle w:val="TableContents"/>
              <w:spacing w:before="0" w:after="283"/>
              <w:rPr/>
            </w:pPr>
            <w:r>
              <w:rPr/>
              <w:t> </w:t>
            </w:r>
          </w:p>
        </w:tc>
        <w:tc>
          <w:tcPr>
            <w:tcW w:w="15805" w:type="dxa"/>
            <w:gridSpan w:val="22"/>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315" w:type="dxa"/>
            <w:gridSpan w:val="2"/>
            <w:tcBorders>
              <w:right w:val="single" w:sz="20" w:space="0" w:color="CCCDCF"/>
            </w:tcBorders>
            <w:shd w:fill="auto" w:val="clear"/>
            <w:tcMar>
              <w:right w:w="28"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pPr>
            <w:r>
              <w:rPr/>
              <w:drawing>
                <wp:inline distT="0" distB="0" distL="0" distR="0">
                  <wp:extent cx="133350" cy="12192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33350" cy="1219200"/>
                          </a:xfrm>
                          <a:prstGeom prst="rect">
                            <a:avLst/>
                          </a:prstGeom>
                        </pic:spPr>
                      </pic:pic>
                    </a:graphicData>
                  </a:graphic>
                </wp:inline>
              </w:drawing>
            </w:r>
            <w:r>
              <w:rPr/>
              <w:t xml:space="preserve"> </w:t>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5745" w:type="dxa"/>
            <w:gridSpan w:val="21"/>
            <w:tcBorders/>
            <w:shd w:fill="auto" w:val="clear"/>
            <w:vAlign w:val="center"/>
          </w:tcPr>
          <w:p>
            <w:pPr>
              <w:pStyle w:val="TableContents"/>
              <w:spacing w:before="0" w:after="0"/>
              <w:rPr>
                <w:rFonts w:ascii="Times New Roman" w:hAnsi="Times New Roman"/>
                <w:sz w:val="16"/>
              </w:rPr>
            </w:pPr>
            <w:r>
              <w:rPr>
                <w:rFonts w:ascii="Times New Roman" w:hAnsi="Times New Roman"/>
                <w:sz w:val="16"/>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pStyle w:val="TableContents"/>
              <w:spacing w:before="0" w:after="20"/>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420" w:type="dxa"/>
            <w:gridSpan w:val="2"/>
            <w:tcBorders>
              <w:left w:val="single" w:sz="20" w:space="0" w:color="CCCDCF"/>
            </w:tcBorders>
            <w:shd w:fill="auto" w:val="clear"/>
            <w:tcMar>
              <w:left w:w="28" w:type="dxa"/>
            </w:tcMar>
            <w:vAlign w:val="center"/>
          </w:tcPr>
          <w:p>
            <w:pPr>
              <w:pStyle w:val="TableContents"/>
              <w:spacing w:before="0" w:after="283"/>
              <w:rPr/>
            </w:pPr>
            <w:r>
              <w:rPr/>
              <w:t> </w:t>
            </w:r>
          </w:p>
        </w:tc>
        <w:tc>
          <w:tcPr>
            <w:tcW w:w="4870" w:type="dxa"/>
            <w:gridSpan w:val="4"/>
            <w:tcBorders>
              <w:top w:val="single" w:sz="6" w:space="0" w:color="000000"/>
              <w:left w:val="single" w:sz="6" w:space="0" w:color="000000"/>
              <w:right w:val="single" w:sz="6" w:space="0" w:color="000000"/>
            </w:tcBorders>
            <w:shd w:fill="auto" w:val="clear"/>
            <w:tcMar>
              <w:top w:w="28" w:type="dxa"/>
              <w:left w:w="28" w:type="dxa"/>
              <w:right w:w="28" w:type="dxa"/>
            </w:tcMar>
            <w:vAlign w:val="center"/>
          </w:tcPr>
          <w:p>
            <w:pPr>
              <w:pStyle w:val="TableContents"/>
              <w:spacing w:before="0" w:after="283"/>
              <w:rPr/>
            </w:pPr>
            <w:r>
              <w:rPr/>
              <w:t> </w:t>
            </w:r>
          </w:p>
        </w:tc>
        <w:tc>
          <w:tcPr>
            <w:tcW w:w="1140" w:type="dxa"/>
            <w:gridSpan w:val="2"/>
            <w:tcBorders>
              <w:top w:val="single" w:sz="6" w:space="0" w:color="000000"/>
              <w:right w:val="single" w:sz="6" w:space="0" w:color="000000"/>
            </w:tcBorders>
            <w:shd w:fill="auto" w:val="clear"/>
            <w:tcMar>
              <w:top w:w="28" w:type="dxa"/>
              <w:right w:w="28" w:type="dxa"/>
            </w:tcMar>
            <w:vAlign w:val="center"/>
          </w:tcPr>
          <w:p>
            <w:pPr>
              <w:pStyle w:val="TableContents"/>
              <w:spacing w:before="0" w:after="283"/>
              <w:rPr/>
            </w:pPr>
            <w:r>
              <w:rPr/>
              <w:t> </w:t>
            </w:r>
          </w:p>
        </w:tc>
        <w:tc>
          <w:tcPr>
            <w:tcW w:w="1138"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4140" w:type="dxa"/>
            <w:gridSpan w:val="6"/>
            <w:tcBorders>
              <w:top w:val="single" w:sz="6" w:space="0" w:color="000000"/>
              <w:left w:val="single" w:sz="6" w:space="0" w:color="000000"/>
            </w:tcBorders>
            <w:shd w:fill="auto" w:val="clear"/>
            <w:tcMar>
              <w:top w:w="28" w:type="dxa"/>
              <w:left w:w="28" w:type="dxa"/>
            </w:tcMar>
            <w:vAlign w:val="center"/>
          </w:tcPr>
          <w:p>
            <w:pPr>
              <w:pStyle w:val="TableContents"/>
              <w:spacing w:before="0" w:after="283"/>
              <w:rPr/>
            </w:pPr>
            <w:r>
              <w:rPr/>
              <w:t> </w:t>
            </w:r>
          </w:p>
        </w:tc>
        <w:tc>
          <w:tcPr>
            <w:tcW w:w="1505" w:type="dxa"/>
            <w:gridSpan w:val="2"/>
            <w:tcBorders>
              <w:top w:val="single" w:sz="6" w:space="0" w:color="000000"/>
              <w:right w:val="single" w:sz="6" w:space="0" w:color="000000"/>
            </w:tcBorders>
            <w:shd w:fill="auto" w:val="clear"/>
            <w:tcMar>
              <w:top w:w="28" w:type="dxa"/>
              <w:right w:w="28" w:type="dxa"/>
            </w:tcMar>
            <w:vAlign w:val="center"/>
          </w:tcPr>
          <w:p>
            <w:pPr>
              <w:pStyle w:val="TableContents"/>
              <w:spacing w:before="0" w:after="283"/>
              <w:rPr/>
            </w:pPr>
            <w:r>
              <w:rPr/>
              <w:t> </w:t>
            </w:r>
          </w:p>
        </w:tc>
        <w:tc>
          <w:tcPr>
            <w:tcW w:w="960" w:type="dxa"/>
            <w:gridSpan w:val="2"/>
            <w:tcBorders>
              <w:top w:val="single" w:sz="6" w:space="0" w:color="000000"/>
              <w:right w:val="single" w:sz="6" w:space="0" w:color="000000"/>
            </w:tcBorders>
            <w:shd w:fill="auto" w:val="clear"/>
            <w:tcMar>
              <w:top w:w="28" w:type="dxa"/>
              <w:right w:w="28" w:type="dxa"/>
            </w:tcMar>
            <w:vAlign w:val="center"/>
          </w:tcPr>
          <w:p>
            <w:pPr>
              <w:pStyle w:val="TableContents"/>
              <w:spacing w:before="0" w:after="283"/>
              <w:rPr/>
            </w:pPr>
            <w:r>
              <w:rPr/>
              <w:t> </w:t>
            </w:r>
          </w:p>
        </w:tc>
        <w:tc>
          <w:tcPr>
            <w:tcW w:w="180"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315" w:type="dxa"/>
            <w:gridSpan w:val="2"/>
            <w:tcBorders>
              <w:right w:val="single" w:sz="20" w:space="0" w:color="CCCDCF"/>
            </w:tcBorders>
            <w:shd w:fill="auto" w:val="clear"/>
            <w:tcMar>
              <w:right w:w="28"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left w:val="single" w:sz="6" w:space="0" w:color="000000"/>
              <w:bottom w:val="single" w:sz="12" w:space="0" w:color="000000"/>
            </w:tcBorders>
            <w:shd w:fill="auto" w:val="clear"/>
            <w:tcMar>
              <w:left w:w="28" w:type="dxa"/>
              <w:bottom w:w="28" w:type="dxa"/>
            </w:tcMar>
            <w:vAlign w:val="center"/>
          </w:tcPr>
          <w:p>
            <w:pPr>
              <w:pStyle w:val="TableContents"/>
              <w:spacing w:before="0" w:after="283"/>
              <w:rPr/>
            </w:pPr>
            <w:r>
              <w:rPr/>
              <w:t> </w:t>
            </w:r>
          </w:p>
        </w:tc>
        <w:tc>
          <w:tcPr>
            <w:tcW w:w="4810" w:type="dxa"/>
            <w:gridSpan w:val="3"/>
            <w:tcBorders>
              <w:bottom w:val="single" w:sz="12" w:space="0" w:color="000000"/>
              <w:right w:val="single" w:sz="6" w:space="0" w:color="000000"/>
            </w:tcBorders>
            <w:shd w:fill="auto" w:val="clear"/>
            <w:tcMar>
              <w:bottom w:w="28" w:type="dxa"/>
              <w:right w:w="28" w:type="dxa"/>
            </w:tcMar>
            <w:vAlign w:val="center"/>
          </w:tcPr>
          <w:p>
            <w:pPr>
              <w:pStyle w:val="TableContents"/>
              <w:spacing w:before="0" w:after="283"/>
              <w:rPr/>
            </w:pPr>
            <w:r>
              <w:rPr/>
              <w:t> </w:t>
            </w:r>
          </w:p>
        </w:tc>
        <w:tc>
          <w:tcPr>
            <w:tcW w:w="60" w:type="dxa"/>
            <w:tcBorders>
              <w:bottom w:val="single" w:sz="12" w:space="0" w:color="000000"/>
            </w:tcBorders>
            <w:shd w:fill="auto" w:val="clear"/>
            <w:tcMar>
              <w:bottom w:w="28" w:type="dxa"/>
            </w:tcMar>
            <w:vAlign w:val="center"/>
          </w:tcPr>
          <w:p>
            <w:pPr>
              <w:pStyle w:val="TableContents"/>
              <w:spacing w:before="0" w:after="283"/>
              <w:rPr/>
            </w:pPr>
            <w:r>
              <w:rPr/>
              <w:t> </w:t>
            </w:r>
          </w:p>
        </w:tc>
        <w:tc>
          <w:tcPr>
            <w:tcW w:w="1080" w:type="dxa"/>
            <w:tcBorders>
              <w:bottom w:val="single" w:sz="12" w:space="0" w:color="000000"/>
              <w:right w:val="single" w:sz="6" w:space="0" w:color="000000"/>
            </w:tcBorders>
            <w:shd w:fill="auto" w:val="clear"/>
            <w:tcMar>
              <w:bottom w:w="28" w:type="dxa"/>
              <w:right w:w="28" w:type="dxa"/>
            </w:tcMar>
            <w:vAlign w:val="center"/>
          </w:tcPr>
          <w:p>
            <w:pPr>
              <w:pStyle w:val="TableContents"/>
              <w:spacing w:before="0" w:after="0"/>
              <w:jc w:val="right"/>
              <w:rPr/>
            </w:pPr>
            <w:r>
              <w:rPr/>
              <w:t>    </w:t>
            </w:r>
          </w:p>
          <w:p>
            <w:pPr>
              <w:pStyle w:val="TableContents"/>
              <w:spacing w:before="0" w:after="0"/>
              <w:jc w:val="right"/>
              <w:rPr/>
            </w:pPr>
            <w:r>
              <w:rPr/>
              <w:t>                  </w:t>
            </w:r>
          </w:p>
        </w:tc>
        <w:tc>
          <w:tcPr>
            <w:tcW w:w="120"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0"/>
              <w:jc w:val="right"/>
              <w:rPr/>
            </w:pPr>
            <w:r>
              <w:rPr/>
              <w:t>    </w:t>
            </w:r>
          </w:p>
          <w:p>
            <w:pPr>
              <w:pStyle w:val="TableContents"/>
              <w:spacing w:before="0" w:after="20"/>
              <w:jc w:val="right"/>
              <w:rPr/>
            </w:pPr>
            <w:r>
              <w:rPr/>
              <w:t>              </w:t>
            </w:r>
          </w:p>
        </w:tc>
        <w:tc>
          <w:tcPr>
            <w:tcW w:w="145"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sz w:val="4"/>
                <w:szCs w:val="4"/>
              </w:rPr>
            </w:pPr>
            <w:r>
              <w:rPr>
                <w:sz w:val="4"/>
                <w:szCs w:val="4"/>
              </w:rPr>
            </w:r>
          </w:p>
        </w:tc>
        <w:tc>
          <w:tcPr>
            <w:tcW w:w="60" w:type="dxa"/>
            <w:tcBorders>
              <w:left w:val="single" w:sz="6" w:space="0" w:color="000000"/>
              <w:bottom w:val="single" w:sz="12" w:space="0" w:color="000000"/>
            </w:tcBorders>
            <w:shd w:fill="auto" w:val="clear"/>
            <w:tcMar>
              <w:left w:w="28" w:type="dxa"/>
              <w:bottom w:w="28" w:type="dxa"/>
            </w:tcMar>
            <w:vAlign w:val="center"/>
          </w:tcPr>
          <w:p>
            <w:pPr>
              <w:pStyle w:val="TableContents"/>
              <w:spacing w:before="0" w:after="283"/>
              <w:rPr/>
            </w:pPr>
            <w:r>
              <w:rPr/>
              <w:t> </w:t>
            </w:r>
          </w:p>
        </w:tc>
        <w:tc>
          <w:tcPr>
            <w:tcW w:w="4080" w:type="dxa"/>
            <w:gridSpan w:val="5"/>
            <w:tcBorders>
              <w:bottom w:val="single" w:sz="12" w:space="0" w:color="000000"/>
            </w:tcBorders>
            <w:shd w:fill="auto" w:val="clear"/>
            <w:tcMar>
              <w:bottom w:w="28" w:type="dxa"/>
            </w:tcMar>
            <w:vAlign w:val="center"/>
          </w:tcPr>
          <w:p>
            <w:pPr>
              <w:pStyle w:val="TableContents"/>
              <w:spacing w:before="0" w:after="20"/>
              <w:rPr/>
            </w:pPr>
            <w:r>
              <w:rPr/>
              <w:t>                                                                    </w:t>
            </w:r>
          </w:p>
        </w:tc>
        <w:tc>
          <w:tcPr>
            <w:tcW w:w="120" w:type="dxa"/>
            <w:tcBorders>
              <w:bottom w:val="single" w:sz="12" w:space="0" w:color="000000"/>
            </w:tcBorders>
            <w:shd w:fill="auto" w:val="clear"/>
            <w:tcMar>
              <w:bottom w:w="28" w:type="dxa"/>
            </w:tcMar>
            <w:vAlign w:val="center"/>
          </w:tcPr>
          <w:p>
            <w:pPr>
              <w:pStyle w:val="TableContents"/>
              <w:spacing w:before="0" w:after="283"/>
              <w:rPr/>
            </w:pPr>
            <w:r>
              <w:rPr/>
              <w:t>  </w:t>
            </w:r>
          </w:p>
        </w:tc>
        <w:tc>
          <w:tcPr>
            <w:tcW w:w="1385" w:type="dxa"/>
            <w:tcBorders>
              <w:bottom w:val="single" w:sz="12" w:space="0" w:color="000000"/>
              <w:right w:val="single" w:sz="6" w:space="0" w:color="000000"/>
            </w:tcBorders>
            <w:shd w:fill="auto" w:val="clear"/>
            <w:tcMar>
              <w:bottom w:w="28" w:type="dxa"/>
              <w:right w:w="28" w:type="dxa"/>
            </w:tcMar>
            <w:vAlign w:val="center"/>
          </w:tcPr>
          <w:p>
            <w:pPr>
              <w:pStyle w:val="TableContents"/>
              <w:spacing w:before="0" w:after="283"/>
              <w:jc w:val="right"/>
              <w:rPr/>
            </w:pPr>
            <w:r>
              <w:rPr/>
              <w:t>              </w:t>
            </w:r>
          </w:p>
        </w:tc>
        <w:tc>
          <w:tcPr>
            <w:tcW w:w="120" w:type="dxa"/>
            <w:tcBorders>
              <w:bottom w:val="single" w:sz="12" w:space="0" w:color="000000"/>
            </w:tcBorders>
            <w:shd w:fill="auto" w:val="clear"/>
            <w:tcMar>
              <w:bottom w:w="28" w:type="dxa"/>
            </w:tcMar>
            <w:vAlign w:val="center"/>
          </w:tcPr>
          <w:p>
            <w:pPr>
              <w:pStyle w:val="TableContents"/>
              <w:spacing w:before="0" w:after="283"/>
              <w:rPr/>
            </w:pPr>
            <w:r>
              <w:rPr/>
              <w:t>  </w:t>
            </w:r>
          </w:p>
        </w:tc>
        <w:tc>
          <w:tcPr>
            <w:tcW w:w="840" w:type="dxa"/>
            <w:tcBorders>
              <w:bottom w:val="single" w:sz="12" w:space="0" w:color="000000"/>
              <w:right w:val="single" w:sz="6" w:space="0" w:color="000000"/>
            </w:tcBorders>
            <w:shd w:fill="auto" w:val="clear"/>
            <w:tcMar>
              <w:bottom w:w="28" w:type="dxa"/>
              <w:right w:w="28" w:type="dxa"/>
            </w:tcMar>
            <w:vAlign w:val="center"/>
          </w:tcPr>
          <w:p>
            <w:pPr>
              <w:pStyle w:val="TableContents"/>
              <w:spacing w:before="0" w:after="283"/>
              <w:jc w:val="right"/>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420" w:type="dxa"/>
            <w:gridSpan w:val="2"/>
            <w:tcBorders>
              <w:left w:val="single" w:sz="20" w:space="0" w:color="CCCDCF"/>
            </w:tcBorders>
            <w:shd w:fill="auto" w:val="clear"/>
            <w:tcMar>
              <w:left w:w="28" w:type="dxa"/>
            </w:tcMar>
            <w:vAlign w:val="center"/>
          </w:tcPr>
          <w:p>
            <w:pPr>
              <w:pStyle w:val="TableContents"/>
              <w:spacing w:before="0" w:after="283"/>
              <w:rPr/>
            </w:pPr>
            <w:r>
              <w:rPr/>
              <w:t> </w:t>
            </w:r>
          </w:p>
        </w:tc>
        <w:tc>
          <w:tcPr>
            <w:tcW w:w="4870" w:type="dxa"/>
            <w:gridSpan w:val="4"/>
            <w:tcBorders/>
            <w:shd w:fill="auto" w:val="clear"/>
            <w:vAlign w:val="center"/>
          </w:tcPr>
          <w:p>
            <w:pPr>
              <w:pStyle w:val="TableContents"/>
              <w:spacing w:before="0" w:after="283"/>
              <w:rPr>
                <w:sz w:val="4"/>
                <w:szCs w:val="4"/>
              </w:rPr>
            </w:pPr>
            <w:r>
              <w:rPr>
                <w:sz w:val="4"/>
                <w:szCs w:val="4"/>
              </w:rPr>
            </w:r>
          </w:p>
        </w:tc>
        <w:tc>
          <w:tcPr>
            <w:tcW w:w="1140" w:type="dxa"/>
            <w:gridSpan w:val="2"/>
            <w:tcBorders/>
            <w:shd w:fill="auto" w:val="clear"/>
            <w:vAlign w:val="center"/>
          </w:tcPr>
          <w:p>
            <w:pPr>
              <w:pStyle w:val="TableContents"/>
              <w:spacing w:before="0" w:after="283"/>
              <w:rPr>
                <w:sz w:val="4"/>
                <w:szCs w:val="4"/>
              </w:rPr>
            </w:pPr>
            <w:r>
              <w:rPr>
                <w:sz w:val="4"/>
                <w:szCs w:val="4"/>
              </w:rPr>
            </w:r>
          </w:p>
        </w:tc>
        <w:tc>
          <w:tcPr>
            <w:tcW w:w="1138" w:type="dxa"/>
            <w:gridSpan w:val="2"/>
            <w:tcBorders/>
            <w:shd w:fill="auto" w:val="clear"/>
            <w:vAlign w:val="center"/>
          </w:tcPr>
          <w:p>
            <w:pPr>
              <w:pStyle w:val="TableContents"/>
              <w:spacing w:before="0" w:after="283"/>
              <w:rPr>
                <w:sz w:val="4"/>
                <w:szCs w:val="4"/>
              </w:rPr>
            </w:pPr>
            <w:r>
              <w:rPr>
                <w:sz w:val="4"/>
                <w:szCs w:val="4"/>
              </w:rPr>
            </w:r>
          </w:p>
        </w:tc>
        <w:tc>
          <w:tcPr>
            <w:tcW w:w="1117"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4140" w:type="dxa"/>
            <w:gridSpan w:val="6"/>
            <w:tcBorders/>
            <w:shd w:fill="auto" w:val="clear"/>
            <w:vAlign w:val="center"/>
          </w:tcPr>
          <w:p>
            <w:pPr>
              <w:pStyle w:val="TableContents"/>
              <w:spacing w:before="0" w:after="283"/>
              <w:rPr>
                <w:sz w:val="4"/>
                <w:szCs w:val="4"/>
              </w:rPr>
            </w:pPr>
            <w:r>
              <w:rPr>
                <w:sz w:val="4"/>
                <w:szCs w:val="4"/>
              </w:rPr>
            </w:r>
          </w:p>
        </w:tc>
        <w:tc>
          <w:tcPr>
            <w:tcW w:w="1505" w:type="dxa"/>
            <w:gridSpan w:val="2"/>
            <w:tcBorders/>
            <w:shd w:fill="auto" w:val="clear"/>
            <w:vAlign w:val="center"/>
          </w:tcPr>
          <w:p>
            <w:pPr>
              <w:pStyle w:val="TableContents"/>
              <w:spacing w:before="0" w:after="283"/>
              <w:rPr>
                <w:sz w:val="4"/>
                <w:szCs w:val="4"/>
              </w:rPr>
            </w:pPr>
            <w:r>
              <w:rPr>
                <w:sz w:val="4"/>
                <w:szCs w:val="4"/>
              </w:rPr>
            </w:r>
          </w:p>
        </w:tc>
        <w:tc>
          <w:tcPr>
            <w:tcW w:w="960" w:type="dxa"/>
            <w:gridSpan w:val="2"/>
            <w:tcBorders/>
            <w:shd w:fill="auto" w:val="clear"/>
            <w:vAlign w:val="center"/>
          </w:tcPr>
          <w:p>
            <w:pPr>
              <w:pStyle w:val="TableContents"/>
              <w:spacing w:before="0" w:after="283"/>
              <w:rPr>
                <w:sz w:val="4"/>
                <w:szCs w:val="4"/>
              </w:rPr>
            </w:pPr>
            <w:r>
              <w:rPr>
                <w:sz w:val="4"/>
                <w:szCs w:val="4"/>
              </w:rPr>
            </w:r>
          </w:p>
        </w:tc>
        <w:tc>
          <w:tcPr>
            <w:tcW w:w="180" w:type="dxa"/>
            <w:gridSpan w:val="2"/>
            <w:tcBorders/>
            <w:shd w:fill="auto" w:val="clear"/>
            <w:vAlign w:val="center"/>
          </w:tcPr>
          <w:p>
            <w:pPr>
              <w:pStyle w:val="TableContents"/>
              <w:spacing w:before="0" w:after="283"/>
              <w:rPr>
                <w:sz w:val="4"/>
                <w:szCs w:val="4"/>
              </w:rPr>
            </w:pPr>
            <w:r>
              <w:rPr>
                <w:sz w:val="4"/>
                <w:szCs w:val="4"/>
              </w:rPr>
            </w:r>
          </w:p>
        </w:tc>
        <w:tc>
          <w:tcPr>
            <w:tcW w:w="600" w:type="dxa"/>
            <w:gridSpan w:val="2"/>
            <w:tcBorders/>
            <w:shd w:fill="auto" w:val="clear"/>
            <w:vAlign w:val="center"/>
          </w:tcPr>
          <w:p>
            <w:pPr>
              <w:pStyle w:val="TableContents"/>
              <w:spacing w:before="0" w:after="283"/>
              <w:rPr>
                <w:sz w:val="4"/>
                <w:szCs w:val="4"/>
              </w:rPr>
            </w:pPr>
            <w:r>
              <w:rPr>
                <w:sz w:val="4"/>
                <w:szCs w:val="4"/>
              </w:rPr>
            </w:r>
          </w:p>
        </w:tc>
        <w:tc>
          <w:tcPr>
            <w:tcW w:w="315" w:type="dxa"/>
            <w:gridSpan w:val="2"/>
            <w:tcBorders>
              <w:right w:val="single" w:sz="20" w:space="0" w:color="CCCDCF"/>
            </w:tcBorders>
            <w:shd w:fill="auto" w:val="clear"/>
            <w:tcMar>
              <w:right w:w="28"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tcBorders>
            <w:shd w:fill="auto" w:val="clear"/>
            <w:tcMar>
              <w:left w:w="28" w:type="dxa"/>
            </w:tcMar>
            <w:vAlign w:val="center"/>
          </w:tcPr>
          <w:p>
            <w:pPr>
              <w:pStyle w:val="TableContents"/>
              <w:spacing w:before="0" w:after="283"/>
              <w:rPr/>
            </w:pPr>
            <w:r>
              <w:rPr/>
              <w:t> </w:t>
            </w:r>
          </w:p>
        </w:tc>
        <w:tc>
          <w:tcPr>
            <w:tcW w:w="3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810" w:type="dxa"/>
            <w:gridSpan w:val="3"/>
            <w:tcBorders/>
            <w:shd w:fill="auto" w:val="clear"/>
            <w:vAlign w:val="center"/>
          </w:tcPr>
          <w:p>
            <w:pPr>
              <w:pStyle w:val="TableContents"/>
              <w:spacing w:before="0" w:after="283"/>
              <w:rPr/>
            </w:pPr>
            <w:r>
              <w:rPr/>
              <w:t>Signature [PLEASE SIGN WITHIN BOX]</w:t>
            </w:r>
          </w:p>
        </w:tc>
        <w:tc>
          <w:tcPr>
            <w:tcW w:w="60" w:type="dxa"/>
            <w:tcBorders/>
            <w:shd w:fill="auto" w:val="clear"/>
            <w:vAlign w:val="center"/>
          </w:tcPr>
          <w:p>
            <w:pPr>
              <w:pStyle w:val="TableContents"/>
              <w:spacing w:before="0" w:after="283"/>
              <w:rPr/>
            </w:pPr>
            <w:r>
              <w:rPr/>
              <w:t> </w:t>
            </w:r>
          </w:p>
        </w:tc>
        <w:tc>
          <w:tcPr>
            <w:tcW w:w="1080" w:type="dxa"/>
            <w:tcBorders/>
            <w:shd w:fill="auto" w:val="clear"/>
            <w:vAlign w:val="center"/>
          </w:tcPr>
          <w:p>
            <w:pPr>
              <w:pStyle w:val="TableContents"/>
              <w:spacing w:before="0" w:after="283"/>
              <w:jc w:val="center"/>
              <w:rPr/>
            </w:pPr>
            <w:r>
              <w:rPr/>
              <w:t>Date</w:t>
            </w:r>
          </w:p>
        </w:tc>
        <w:tc>
          <w:tcPr>
            <w:tcW w:w="120" w:type="dxa"/>
            <w:tcBorders/>
            <w:shd w:fill="auto" w:val="clear"/>
            <w:vAlign w:val="center"/>
          </w:tcPr>
          <w:p>
            <w:pPr>
              <w:pStyle w:val="TableContents"/>
              <w:spacing w:before="0" w:after="283"/>
              <w:rPr/>
            </w:pPr>
            <w:r>
              <w:rPr/>
              <w:t>  </w:t>
            </w:r>
          </w:p>
        </w:tc>
        <w:tc>
          <w:tcPr>
            <w:tcW w:w="1018"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pPr>
            <w:r>
              <w:rPr/>
              <w:t>  </w:t>
            </w:r>
          </w:p>
        </w:tc>
        <w:tc>
          <w:tcPr>
            <w:tcW w:w="9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080" w:type="dxa"/>
            <w:gridSpan w:val="5"/>
            <w:tcBorders/>
            <w:shd w:fill="auto" w:val="clear"/>
            <w:vAlign w:val="center"/>
          </w:tcPr>
          <w:p>
            <w:pPr>
              <w:pStyle w:val="TableContents"/>
              <w:spacing w:before="0" w:after="283"/>
              <w:rPr/>
            </w:pPr>
            <w:r>
              <w:rPr/>
              <w:t>Signature (Joint Owners)</w:t>
            </w:r>
          </w:p>
        </w:tc>
        <w:tc>
          <w:tcPr>
            <w:tcW w:w="120" w:type="dxa"/>
            <w:tcBorders/>
            <w:shd w:fill="auto" w:val="clear"/>
            <w:vAlign w:val="center"/>
          </w:tcPr>
          <w:p>
            <w:pPr>
              <w:pStyle w:val="TableContents"/>
              <w:spacing w:before="0" w:after="283"/>
              <w:rPr/>
            </w:pPr>
            <w:r>
              <w:rPr/>
              <w:t>  </w:t>
            </w:r>
          </w:p>
        </w:tc>
        <w:tc>
          <w:tcPr>
            <w:tcW w:w="13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840" w:type="dxa"/>
            <w:tcBorders/>
            <w:shd w:fill="auto" w:val="clear"/>
            <w:vAlign w:val="center"/>
          </w:tcPr>
          <w:p>
            <w:pPr>
              <w:pStyle w:val="TableContents"/>
              <w:spacing w:before="0" w:after="283"/>
              <w:rPr/>
            </w:pPr>
            <w:r>
              <w:rPr/>
              <w:t>Date</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4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55" w:type="dxa"/>
            <w:tcBorders>
              <w:right w:val="single" w:sz="20" w:space="0" w:color="CCCDCF"/>
            </w:tcBorders>
            <w:shd w:fill="auto" w:val="clear"/>
            <w:tcMar>
              <w:right w:w="40" w:type="dxa"/>
            </w:tcMar>
            <w:vAlign w:val="center"/>
          </w:tcPr>
          <w:p>
            <w:pPr>
              <w:pStyle w:val="TableContents"/>
              <w:spacing w:before="0" w:after="283"/>
              <w:rPr/>
            </w:pPr>
            <w:r>
              <w:rPr/>
              <w:t> </w:t>
            </w:r>
          </w:p>
        </w:tc>
      </w:tr>
      <w:tr>
        <w:trPr/>
        <w:tc>
          <w:tcPr>
            <w:tcW w:w="375" w:type="dxa"/>
            <w:tcBorders/>
            <w:shd w:fill="auto" w:val="clear"/>
            <w:vAlign w:val="center"/>
          </w:tcPr>
          <w:p>
            <w:pPr>
              <w:pStyle w:val="TableContents"/>
              <w:spacing w:before="0" w:after="283"/>
              <w:rPr>
                <w:sz w:val="4"/>
                <w:szCs w:val="4"/>
              </w:rPr>
            </w:pPr>
            <w:r>
              <w:rPr>
                <w:sz w:val="4"/>
                <w:szCs w:val="4"/>
              </w:rPr>
            </w:r>
          </w:p>
        </w:tc>
        <w:tc>
          <w:tcPr>
            <w:tcW w:w="60" w:type="dxa"/>
            <w:tcBorders>
              <w:left w:val="single" w:sz="20" w:space="0" w:color="CCCDCF"/>
              <w:bottom w:val="single" w:sz="20" w:space="0" w:color="CCCDCF"/>
            </w:tcBorders>
            <w:shd w:fill="auto" w:val="clear"/>
            <w:tcMar>
              <w:left w:w="28" w:type="dxa"/>
              <w:bottom w:w="28" w:type="dxa"/>
            </w:tcMar>
            <w:vAlign w:val="center"/>
          </w:tcPr>
          <w:p>
            <w:pPr>
              <w:pStyle w:val="TableContents"/>
              <w:spacing w:before="0" w:after="283"/>
              <w:rPr/>
            </w:pPr>
            <w:r>
              <w:rPr/>
              <w:t> </w:t>
            </w:r>
          </w:p>
        </w:tc>
        <w:tc>
          <w:tcPr>
            <w:tcW w:w="360" w:type="dxa"/>
            <w:tcBorders>
              <w:bottom w:val="single" w:sz="20" w:space="0" w:color="CCCDCF"/>
            </w:tcBorders>
            <w:shd w:fill="auto" w:val="clear"/>
            <w:tcMar>
              <w:bottom w:w="28" w:type="dxa"/>
            </w:tcMar>
            <w:vAlign w:val="center"/>
          </w:tcPr>
          <w:p>
            <w:pPr>
              <w:pStyle w:val="TableContents"/>
              <w:spacing w:before="0" w:after="283"/>
              <w:rPr/>
            </w:pPr>
            <w:r>
              <w:rPr/>
              <w:t> </w:t>
            </w:r>
          </w:p>
        </w:tc>
        <w:tc>
          <w:tcPr>
            <w:tcW w:w="60" w:type="dxa"/>
            <w:tcBorders>
              <w:bottom w:val="single" w:sz="20" w:space="0" w:color="CCCDCF"/>
            </w:tcBorders>
            <w:shd w:fill="auto" w:val="clear"/>
            <w:tcMar>
              <w:bottom w:w="28" w:type="dxa"/>
            </w:tcMar>
            <w:vAlign w:val="center"/>
          </w:tcPr>
          <w:p>
            <w:pPr>
              <w:pStyle w:val="TableContents"/>
              <w:spacing w:before="0" w:after="283"/>
              <w:rPr/>
            </w:pPr>
            <w:r>
              <w:rPr/>
              <w:t> </w:t>
            </w:r>
          </w:p>
        </w:tc>
        <w:tc>
          <w:tcPr>
            <w:tcW w:w="1910" w:type="dxa"/>
            <w:tcBorders>
              <w:bottom w:val="single" w:sz="20" w:space="0" w:color="CCCDCF"/>
            </w:tcBorders>
            <w:shd w:fill="auto" w:val="clear"/>
            <w:tcMar>
              <w:bottom w:w="28" w:type="dxa"/>
            </w:tcMar>
            <w:vAlign w:val="center"/>
          </w:tcPr>
          <w:p>
            <w:pPr>
              <w:pStyle w:val="TableContents"/>
              <w:spacing w:before="0" w:after="283"/>
              <w:rPr/>
            </w:pPr>
            <w:r>
              <w:rPr/>
              <w:t> </w:t>
            </w:r>
          </w:p>
        </w:tc>
        <w:tc>
          <w:tcPr>
            <w:tcW w:w="60" w:type="dxa"/>
            <w:tcBorders>
              <w:bottom w:val="single" w:sz="20" w:space="0" w:color="CCCDCF"/>
            </w:tcBorders>
            <w:shd w:fill="auto" w:val="clear"/>
            <w:tcMar>
              <w:bottom w:w="28" w:type="dxa"/>
            </w:tcMar>
            <w:vAlign w:val="center"/>
          </w:tcPr>
          <w:p>
            <w:pPr>
              <w:pStyle w:val="TableContents"/>
              <w:spacing w:before="0" w:after="283"/>
              <w:rPr/>
            </w:pPr>
            <w:r>
              <w:rPr/>
              <w:t> </w:t>
            </w:r>
          </w:p>
        </w:tc>
        <w:tc>
          <w:tcPr>
            <w:tcW w:w="2840" w:type="dxa"/>
            <w:tcBorders>
              <w:bottom w:val="single" w:sz="20" w:space="0" w:color="CCCDCF"/>
            </w:tcBorders>
            <w:shd w:fill="auto" w:val="clear"/>
            <w:tcMar>
              <w:bottom w:w="28" w:type="dxa"/>
            </w:tcMar>
            <w:vAlign w:val="center"/>
          </w:tcPr>
          <w:p>
            <w:pPr>
              <w:pStyle w:val="TableContents"/>
              <w:spacing w:before="0" w:after="283"/>
              <w:rPr/>
            </w:pPr>
            <w:r>
              <w:rPr/>
              <w:t> </w:t>
            </w:r>
          </w:p>
        </w:tc>
        <w:tc>
          <w:tcPr>
            <w:tcW w:w="60" w:type="dxa"/>
            <w:tcBorders>
              <w:bottom w:val="single" w:sz="20" w:space="0" w:color="CCCDCF"/>
            </w:tcBorders>
            <w:shd w:fill="auto" w:val="clear"/>
            <w:tcMar>
              <w:bottom w:w="28" w:type="dxa"/>
            </w:tcMar>
            <w:vAlign w:val="center"/>
          </w:tcPr>
          <w:p>
            <w:pPr>
              <w:pStyle w:val="TableContents"/>
              <w:spacing w:before="0" w:after="283"/>
              <w:rPr/>
            </w:pPr>
            <w:r>
              <w:rPr/>
              <w:t> </w:t>
            </w:r>
          </w:p>
        </w:tc>
        <w:tc>
          <w:tcPr>
            <w:tcW w:w="1080" w:type="dxa"/>
            <w:tcBorders>
              <w:bottom w:val="single" w:sz="20" w:space="0" w:color="CCCDCF"/>
            </w:tcBorders>
            <w:shd w:fill="auto" w:val="clear"/>
            <w:tcMar>
              <w:bottom w:w="28" w:type="dxa"/>
            </w:tcMar>
            <w:vAlign w:val="center"/>
          </w:tcPr>
          <w:p>
            <w:pPr>
              <w:pStyle w:val="TableContents"/>
              <w:spacing w:before="0" w:after="283"/>
              <w:rPr/>
            </w:pPr>
            <w:r>
              <w:rPr/>
              <w:t> </w:t>
            </w:r>
          </w:p>
        </w:tc>
        <w:tc>
          <w:tcPr>
            <w:tcW w:w="120" w:type="dxa"/>
            <w:tcBorders>
              <w:bottom w:val="single" w:sz="20" w:space="0" w:color="CCCDCF"/>
            </w:tcBorders>
            <w:shd w:fill="auto" w:val="clear"/>
            <w:tcMar>
              <w:bottom w:w="28" w:type="dxa"/>
            </w:tcMar>
            <w:vAlign w:val="center"/>
          </w:tcPr>
          <w:p>
            <w:pPr>
              <w:pStyle w:val="TableContents"/>
              <w:spacing w:before="0" w:after="283"/>
              <w:rPr/>
            </w:pPr>
            <w:r>
              <w:rPr/>
              <w:t>  </w:t>
            </w:r>
          </w:p>
        </w:tc>
        <w:tc>
          <w:tcPr>
            <w:tcW w:w="1018" w:type="dxa"/>
            <w:tcBorders>
              <w:bottom w:val="single" w:sz="20" w:space="0" w:color="CCCDCF"/>
            </w:tcBorders>
            <w:shd w:fill="auto" w:val="clear"/>
            <w:tcMar>
              <w:bottom w:w="28" w:type="dxa"/>
            </w:tcMar>
            <w:vAlign w:val="center"/>
          </w:tcPr>
          <w:p>
            <w:pPr>
              <w:pStyle w:val="TableContents"/>
              <w:spacing w:before="0" w:after="283"/>
              <w:rPr/>
            </w:pPr>
            <w:r>
              <w:rPr/>
              <w:t> </w:t>
            </w:r>
          </w:p>
        </w:tc>
        <w:tc>
          <w:tcPr>
            <w:tcW w:w="145" w:type="dxa"/>
            <w:tcBorders>
              <w:bottom w:val="single" w:sz="20" w:space="0" w:color="CCCDCF"/>
            </w:tcBorders>
            <w:shd w:fill="auto" w:val="clear"/>
            <w:tcMar>
              <w:bottom w:w="28" w:type="dxa"/>
            </w:tcMar>
            <w:vAlign w:val="center"/>
          </w:tcPr>
          <w:p>
            <w:pPr>
              <w:pStyle w:val="TableContents"/>
              <w:spacing w:before="0" w:after="283"/>
              <w:rPr/>
            </w:pPr>
            <w:r>
              <w:rPr/>
              <w:t>  </w:t>
            </w:r>
          </w:p>
        </w:tc>
        <w:tc>
          <w:tcPr>
            <w:tcW w:w="972" w:type="dxa"/>
            <w:tcBorders>
              <w:bottom w:val="single" w:sz="20" w:space="0" w:color="CCCDCF"/>
            </w:tcBorders>
            <w:shd w:fill="auto" w:val="clear"/>
            <w:tcMar>
              <w:bottom w:w="28" w:type="dxa"/>
            </w:tcMar>
            <w:vAlign w:val="center"/>
          </w:tcPr>
          <w:p>
            <w:pPr>
              <w:pStyle w:val="TableContents"/>
              <w:spacing w:before="0" w:after="283"/>
              <w:rPr/>
            </w:pPr>
            <w:r>
              <w:rPr/>
              <w:t> </w:t>
            </w:r>
          </w:p>
        </w:tc>
        <w:tc>
          <w:tcPr>
            <w:tcW w:w="120" w:type="dxa"/>
            <w:tcBorders>
              <w:bottom w:val="single" w:sz="20" w:space="0" w:color="CCCDCF"/>
            </w:tcBorders>
            <w:shd w:fill="auto" w:val="clear"/>
            <w:tcMar>
              <w:bottom w:w="28" w:type="dxa"/>
            </w:tcMar>
            <w:vAlign w:val="center"/>
          </w:tcPr>
          <w:p>
            <w:pPr>
              <w:pStyle w:val="TableContents"/>
              <w:spacing w:before="0" w:after="283"/>
              <w:rPr/>
            </w:pPr>
            <w:r>
              <w:rPr/>
              <w:t>  </w:t>
            </w:r>
          </w:p>
        </w:tc>
        <w:tc>
          <w:tcPr>
            <w:tcW w:w="815" w:type="dxa"/>
            <w:tcBorders>
              <w:bottom w:val="single" w:sz="20" w:space="0" w:color="CCCDCF"/>
            </w:tcBorders>
            <w:shd w:fill="auto" w:val="clear"/>
            <w:tcMar>
              <w:bottom w:w="28" w:type="dxa"/>
            </w:tcMar>
            <w:vAlign w:val="center"/>
          </w:tcPr>
          <w:p>
            <w:pPr>
              <w:pStyle w:val="TableContents"/>
              <w:spacing w:before="0" w:after="283"/>
              <w:rPr/>
            </w:pPr>
            <w:r>
              <w:rPr/>
              <w:t> </w:t>
            </w:r>
          </w:p>
        </w:tc>
        <w:tc>
          <w:tcPr>
            <w:tcW w:w="60" w:type="dxa"/>
            <w:tcBorders>
              <w:bottom w:val="single" w:sz="20" w:space="0" w:color="CCCDCF"/>
            </w:tcBorders>
            <w:shd w:fill="auto" w:val="clear"/>
            <w:tcMar>
              <w:bottom w:w="28" w:type="dxa"/>
            </w:tcMar>
            <w:vAlign w:val="center"/>
          </w:tcPr>
          <w:p>
            <w:pPr>
              <w:pStyle w:val="TableContents"/>
              <w:spacing w:before="0" w:after="283"/>
              <w:rPr/>
            </w:pPr>
            <w:r>
              <w:rPr/>
              <w:t> </w:t>
            </w:r>
          </w:p>
        </w:tc>
        <w:tc>
          <w:tcPr>
            <w:tcW w:w="90" w:type="dxa"/>
            <w:tcBorders>
              <w:bottom w:val="single" w:sz="20" w:space="0" w:color="CCCDCF"/>
            </w:tcBorders>
            <w:shd w:fill="auto" w:val="clear"/>
            <w:tcMar>
              <w:bottom w:w="28" w:type="dxa"/>
            </w:tcMar>
            <w:vAlign w:val="center"/>
          </w:tcPr>
          <w:p>
            <w:pPr>
              <w:pStyle w:val="TableContents"/>
              <w:spacing w:before="0" w:after="283"/>
              <w:rPr/>
            </w:pPr>
            <w:r>
              <w:rPr/>
              <w:t> </w:t>
            </w:r>
          </w:p>
        </w:tc>
        <w:tc>
          <w:tcPr>
            <w:tcW w:w="180" w:type="dxa"/>
            <w:tcBorders>
              <w:bottom w:val="single" w:sz="20" w:space="0" w:color="CCCDCF"/>
            </w:tcBorders>
            <w:shd w:fill="auto" w:val="clear"/>
            <w:tcMar>
              <w:bottom w:w="28" w:type="dxa"/>
            </w:tcMar>
            <w:vAlign w:val="center"/>
          </w:tcPr>
          <w:p>
            <w:pPr>
              <w:pStyle w:val="TableContents"/>
              <w:spacing w:before="0" w:after="283"/>
              <w:rPr/>
            </w:pPr>
            <w:r>
              <w:rPr/>
              <w:t>  </w:t>
            </w:r>
          </w:p>
        </w:tc>
        <w:tc>
          <w:tcPr>
            <w:tcW w:w="951" w:type="dxa"/>
            <w:tcBorders>
              <w:bottom w:val="single" w:sz="20" w:space="0" w:color="CCCDCF"/>
            </w:tcBorders>
            <w:shd w:fill="auto" w:val="clear"/>
            <w:tcMar>
              <w:bottom w:w="28" w:type="dxa"/>
            </w:tcMar>
            <w:vAlign w:val="center"/>
          </w:tcPr>
          <w:p>
            <w:pPr>
              <w:pStyle w:val="TableContents"/>
              <w:spacing w:before="0" w:after="283"/>
              <w:rPr/>
            </w:pPr>
            <w:r>
              <w:rPr/>
              <w:t> </w:t>
            </w:r>
          </w:p>
        </w:tc>
        <w:tc>
          <w:tcPr>
            <w:tcW w:w="1903" w:type="dxa"/>
            <w:tcBorders>
              <w:bottom w:val="single" w:sz="20" w:space="0" w:color="CCCDCF"/>
            </w:tcBorders>
            <w:shd w:fill="auto" w:val="clear"/>
            <w:tcMar>
              <w:bottom w:w="28" w:type="dxa"/>
            </w:tcMar>
            <w:vAlign w:val="center"/>
          </w:tcPr>
          <w:p>
            <w:pPr>
              <w:pStyle w:val="TableContents"/>
              <w:spacing w:before="0" w:after="283"/>
              <w:rPr/>
            </w:pPr>
            <w:r>
              <w:rPr/>
              <w:t>  </w:t>
            </w:r>
          </w:p>
        </w:tc>
        <w:tc>
          <w:tcPr>
            <w:tcW w:w="956" w:type="dxa"/>
            <w:tcBorders>
              <w:bottom w:val="single" w:sz="20" w:space="0" w:color="CCCDCF"/>
            </w:tcBorders>
            <w:shd w:fill="auto" w:val="clear"/>
            <w:tcMar>
              <w:bottom w:w="28" w:type="dxa"/>
            </w:tcMar>
            <w:vAlign w:val="center"/>
          </w:tcPr>
          <w:p>
            <w:pPr>
              <w:pStyle w:val="TableContents"/>
              <w:spacing w:before="0" w:after="283"/>
              <w:rPr/>
            </w:pPr>
            <w:r>
              <w:rPr/>
              <w:t> </w:t>
            </w:r>
          </w:p>
        </w:tc>
        <w:tc>
          <w:tcPr>
            <w:tcW w:w="120" w:type="dxa"/>
            <w:tcBorders>
              <w:bottom w:val="single" w:sz="20" w:space="0" w:color="CCCDCF"/>
            </w:tcBorders>
            <w:shd w:fill="auto" w:val="clear"/>
            <w:tcMar>
              <w:bottom w:w="28" w:type="dxa"/>
            </w:tcMar>
            <w:vAlign w:val="center"/>
          </w:tcPr>
          <w:p>
            <w:pPr>
              <w:pStyle w:val="TableContents"/>
              <w:spacing w:before="0" w:after="283"/>
              <w:rPr/>
            </w:pPr>
            <w:r>
              <w:rPr/>
              <w:t>  </w:t>
            </w:r>
          </w:p>
        </w:tc>
        <w:tc>
          <w:tcPr>
            <w:tcW w:w="1385" w:type="dxa"/>
            <w:tcBorders>
              <w:bottom w:val="single" w:sz="20" w:space="0" w:color="CCCDCF"/>
            </w:tcBorders>
            <w:shd w:fill="auto" w:val="clear"/>
            <w:tcMar>
              <w:bottom w:w="28" w:type="dxa"/>
            </w:tcMar>
            <w:vAlign w:val="center"/>
          </w:tcPr>
          <w:p>
            <w:pPr>
              <w:pStyle w:val="TableContents"/>
              <w:spacing w:before="0" w:after="283"/>
              <w:rPr/>
            </w:pPr>
            <w:r>
              <w:rPr/>
              <w:t> </w:t>
            </w:r>
          </w:p>
        </w:tc>
        <w:tc>
          <w:tcPr>
            <w:tcW w:w="120" w:type="dxa"/>
            <w:tcBorders>
              <w:bottom w:val="single" w:sz="20" w:space="0" w:color="CCCDCF"/>
            </w:tcBorders>
            <w:shd w:fill="auto" w:val="clear"/>
            <w:tcMar>
              <w:bottom w:w="28" w:type="dxa"/>
            </w:tcMar>
            <w:vAlign w:val="center"/>
          </w:tcPr>
          <w:p>
            <w:pPr>
              <w:pStyle w:val="TableContents"/>
              <w:spacing w:before="0" w:after="283"/>
              <w:rPr/>
            </w:pPr>
            <w:r>
              <w:rPr/>
              <w:t>  </w:t>
            </w:r>
          </w:p>
        </w:tc>
        <w:tc>
          <w:tcPr>
            <w:tcW w:w="840" w:type="dxa"/>
            <w:tcBorders>
              <w:bottom w:val="single" w:sz="20" w:space="0" w:color="CCCDCF"/>
            </w:tcBorders>
            <w:shd w:fill="auto" w:val="clear"/>
            <w:tcMar>
              <w:bottom w:w="28" w:type="dxa"/>
            </w:tcMar>
            <w:vAlign w:val="center"/>
          </w:tcPr>
          <w:p>
            <w:pPr>
              <w:pStyle w:val="TableContents"/>
              <w:spacing w:before="0" w:after="283"/>
              <w:rPr/>
            </w:pPr>
            <w:r>
              <w:rPr/>
              <w:t> </w:t>
            </w:r>
          </w:p>
        </w:tc>
        <w:tc>
          <w:tcPr>
            <w:tcW w:w="120" w:type="dxa"/>
            <w:tcBorders>
              <w:bottom w:val="single" w:sz="20" w:space="0" w:color="CCCDCF"/>
            </w:tcBorders>
            <w:shd w:fill="auto" w:val="clear"/>
            <w:tcMar>
              <w:bottom w:w="28" w:type="dxa"/>
            </w:tcMar>
            <w:vAlign w:val="center"/>
          </w:tcPr>
          <w:p>
            <w:pPr>
              <w:pStyle w:val="TableContents"/>
              <w:spacing w:before="0" w:after="283"/>
              <w:rPr/>
            </w:pPr>
            <w:r>
              <w:rPr/>
              <w:t>  </w:t>
            </w:r>
          </w:p>
        </w:tc>
        <w:tc>
          <w:tcPr>
            <w:tcW w:w="60" w:type="dxa"/>
            <w:tcBorders>
              <w:bottom w:val="single" w:sz="20" w:space="0" w:color="CCCDCF"/>
            </w:tcBorders>
            <w:shd w:fill="auto" w:val="clear"/>
            <w:tcMar>
              <w:bottom w:w="28" w:type="dxa"/>
            </w:tcMar>
            <w:vAlign w:val="center"/>
          </w:tcPr>
          <w:p>
            <w:pPr>
              <w:pStyle w:val="TableContents"/>
              <w:spacing w:before="0" w:after="283"/>
              <w:rPr/>
            </w:pPr>
            <w:r>
              <w:rPr/>
              <w:t> </w:t>
            </w:r>
          </w:p>
        </w:tc>
        <w:tc>
          <w:tcPr>
            <w:tcW w:w="120" w:type="dxa"/>
            <w:tcBorders>
              <w:bottom w:val="single" w:sz="20" w:space="0" w:color="CCCDCF"/>
            </w:tcBorders>
            <w:shd w:fill="auto" w:val="clear"/>
            <w:tcMar>
              <w:bottom w:w="28" w:type="dxa"/>
            </w:tcMar>
            <w:vAlign w:val="center"/>
          </w:tcPr>
          <w:p>
            <w:pPr>
              <w:pStyle w:val="TableContents"/>
              <w:spacing w:before="0" w:after="283"/>
              <w:rPr/>
            </w:pPr>
            <w:r>
              <w:rPr/>
              <w:t>  </w:t>
            </w:r>
          </w:p>
        </w:tc>
        <w:tc>
          <w:tcPr>
            <w:tcW w:w="480" w:type="dxa"/>
            <w:tcBorders>
              <w:bottom w:val="single" w:sz="20" w:space="0" w:color="CCCDCF"/>
            </w:tcBorders>
            <w:shd w:fill="auto" w:val="clear"/>
            <w:tcMar>
              <w:bottom w:w="28" w:type="dxa"/>
            </w:tcMar>
            <w:vAlign w:val="center"/>
          </w:tcPr>
          <w:p>
            <w:pPr>
              <w:pStyle w:val="TableContents"/>
              <w:spacing w:before="0" w:after="283"/>
              <w:rPr/>
            </w:pPr>
            <w:r>
              <w:rPr/>
              <w:t> </w:t>
            </w:r>
          </w:p>
        </w:tc>
        <w:tc>
          <w:tcPr>
            <w:tcW w:w="60" w:type="dxa"/>
            <w:tcBorders>
              <w:bottom w:val="single" w:sz="20" w:space="0" w:color="CCCDCF"/>
            </w:tcBorders>
            <w:shd w:fill="auto" w:val="clear"/>
            <w:tcMar>
              <w:bottom w:w="28" w:type="dxa"/>
            </w:tcMar>
            <w:vAlign w:val="center"/>
          </w:tcPr>
          <w:p>
            <w:pPr>
              <w:pStyle w:val="TableContents"/>
              <w:spacing w:before="0" w:after="283"/>
              <w:rPr/>
            </w:pPr>
            <w:r>
              <w:rPr/>
              <w:t> </w:t>
            </w:r>
          </w:p>
        </w:tc>
        <w:tc>
          <w:tcPr>
            <w:tcW w:w="255" w:type="dxa"/>
            <w:tcBorders>
              <w:bottom w:val="single" w:sz="20" w:space="0" w:color="CCCDCF"/>
              <w:right w:val="single" w:sz="20" w:space="0" w:color="CCCDCF"/>
            </w:tcBorders>
            <w:shd w:fill="auto" w:val="clear"/>
            <w:tcMar>
              <w:bottom w:w="28" w:type="dxa"/>
              <w:right w:w="40" w:type="dxa"/>
            </w:tcMar>
            <w:vAlign w:val="center"/>
          </w:tcPr>
          <w:p>
            <w:pPr>
              <w:pStyle w:val="TableContents"/>
              <w:spacing w:before="0" w:after="283"/>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2600" w:after="0"/>
        <w:jc w:val="center"/>
        <w:rPr>
          <w:rFonts w:ascii="Times New Roman" w:hAnsi="Times New Roman"/>
          <w:b/>
          <w:sz w:val="18"/>
        </w:rPr>
      </w:pPr>
      <w:r>
        <w:rPr>
          <w:rFonts w:ascii="Times New Roman" w:hAnsi="Times New Roman"/>
          <w:b/>
          <w:sz w:val="18"/>
        </w:rPr>
        <w:t xml:space="preserve">Important Notice Regarding the Availability of Proxy Materials for the Annual Meeting: </w:t>
      </w:r>
    </w:p>
    <w:p>
      <w:pPr>
        <w:pStyle w:val="TextBody"/>
        <w:spacing w:before="0" w:after="0"/>
        <w:jc w:val="center"/>
        <w:rPr>
          <w:rFonts w:ascii="Times New Roman" w:hAnsi="Times New Roman"/>
          <w:sz w:val="18"/>
        </w:rPr>
      </w:pPr>
      <w:r>
        <w:rPr>
          <w:rFonts w:ascii="Times New Roman" w:hAnsi="Times New Roman"/>
          <w:sz w:val="18"/>
        </w:rPr>
        <w:t xml:space="preserve">The Notice and Proxy Statement and Annual Report are available at </w:t>
      </w:r>
      <w:r>
        <w:rPr>
          <w:rFonts w:ascii="Times New Roman" w:hAnsi="Times New Roman"/>
          <w:color w:val="0000FF"/>
          <w:sz w:val="18"/>
          <w:u w:val="single"/>
        </w:rPr>
        <w:t>www.proxyvote.com</w:t>
      </w:r>
      <w:r>
        <w:rPr>
          <w:rFonts w:ascii="Times New Roman" w:hAnsi="Times New Roman"/>
          <w:sz w:val="18"/>
        </w:rPr>
        <w:t xml:space="preserve"> </w:t>
      </w:r>
    </w:p>
    <w:p>
      <w:pPr>
        <w:pStyle w:val="TextBody"/>
        <w:spacing w:before="80" w:after="0"/>
        <w:jc w:val="left"/>
        <w:rPr/>
      </w:pPr>
      <w:r>
        <w:rPr/>
        <w:t xml:space="preserve">    — — — — — — — — — — — — — — — — — — — — — — — — — — — — — — — — — — — — — — — — — — — — — — — —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234"/>
        <w:gridCol w:w="60"/>
        <w:gridCol w:w="9911"/>
      </w:tblGrid>
      <w:tr>
        <w:trPr/>
        <w:tc>
          <w:tcPr>
            <w:tcW w:w="234" w:type="dxa"/>
            <w:tcBorders/>
            <w:shd w:fill="auto" w:val="clear"/>
            <w:vAlign w:val="center"/>
          </w:tcPr>
          <w:p>
            <w:pPr>
              <w:pStyle w:val="TableContents"/>
              <w:spacing w:before="0" w:after="283"/>
              <w:rPr>
                <w:sz w:val="4"/>
                <w:szCs w:val="4"/>
              </w:rPr>
            </w:pPr>
            <w:r>
              <w:rPr>
                <w:sz w:val="4"/>
                <w:szCs w:val="4"/>
              </w:rPr>
            </w:r>
          </w:p>
        </w:tc>
        <w:tc>
          <w:tcPr>
            <w:tcW w:w="60" w:type="dxa"/>
            <w:tcBorders>
              <w:top w:val="single" w:sz="4" w:space="0" w:color="000000"/>
              <w:left w:val="single" w:sz="4" w:space="0" w:color="000000"/>
              <w:bottom w:val="single" w:sz="4" w:space="0" w:color="000000"/>
              <w:right w:val="single" w:sz="4" w:space="0" w:color="000000"/>
            </w:tcBorders>
            <w:shd w:fill="auto" w:val="clear"/>
            <w:tcMar>
              <w:top w:w="28" w:type="dxa"/>
              <w:left w:w="28" w:type="dxa"/>
              <w:bottom w:w="28" w:type="dxa"/>
              <w:right w:w="28" w:type="dxa"/>
            </w:tcMar>
            <w:vAlign w:val="center"/>
          </w:tcPr>
          <w:p>
            <w:pPr>
              <w:pStyle w:val="TableContents"/>
              <w:spacing w:before="0" w:after="283"/>
              <w:rPr>
                <w:sz w:val="4"/>
                <w:szCs w:val="4"/>
              </w:rPr>
            </w:pPr>
            <w:r>
              <w:rPr>
                <w:sz w:val="4"/>
                <w:szCs w:val="4"/>
              </w:rPr>
            </w:r>
          </w:p>
        </w:tc>
        <w:tc>
          <w:tcPr>
            <w:tcW w:w="9911" w:type="dxa"/>
            <w:tcBorders/>
            <w:shd w:fill="auto" w:val="clear"/>
            <w:vAlign w:val="center"/>
          </w:tcPr>
          <w:p>
            <w:pPr>
              <w:pStyle w:val="TableContents"/>
              <w:spacing w:before="0" w:after="283"/>
              <w:rPr>
                <w:sz w:val="4"/>
                <w:szCs w:val="4"/>
              </w:rPr>
            </w:pPr>
            <w:r>
              <w:rPr>
                <w:sz w:val="4"/>
                <w:szCs w:val="4"/>
              </w:rPr>
            </w:r>
          </w:p>
        </w:tc>
      </w:tr>
      <w:tr>
        <w:trPr/>
        <w:tc>
          <w:tcPr>
            <w:tcW w:w="234" w:type="dxa"/>
            <w:tcBorders/>
            <w:shd w:fill="auto" w:val="clear"/>
            <w:vAlign w:val="center"/>
          </w:tcPr>
          <w:p>
            <w:pPr>
              <w:pStyle w:val="TableContents"/>
              <w:spacing w:before="0" w:after="0"/>
              <w:jc w:val="center"/>
              <w:rPr/>
            </w:pPr>
            <w:r>
              <w:rPr/>
              <w:drawing>
                <wp:inline distT="0" distB="0" distL="0" distR="0">
                  <wp:extent cx="133350" cy="1171575"/>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33350" cy="1171575"/>
                          </a:xfrm>
                          <a:prstGeom prst="rect">
                            <a:avLst/>
                          </a:prstGeom>
                        </pic:spPr>
                      </pic:pic>
                    </a:graphicData>
                  </a:graphic>
                </wp:inline>
              </w:drawing>
            </w:r>
            <w:r>
              <w:rPr/>
              <w:t xml:space="preserve"> </w:t>
            </w:r>
          </w:p>
          <w:p>
            <w:pPr>
              <w:pStyle w:val="TableContents"/>
              <w:spacing w:before="0" w:after="0"/>
              <w:jc w:val="left"/>
              <w:rPr/>
            </w:pPr>
            <w:r>
              <w:rPr/>
              <w:t> </w:t>
            </w:r>
          </w:p>
          <w:p>
            <w:pPr>
              <w:pStyle w:val="TableContents"/>
              <w:spacing w:before="0" w:after="20"/>
              <w:rPr/>
            </w:pPr>
            <w:r>
              <w:rPr/>
              <w:t> </w:t>
            </w:r>
          </w:p>
        </w:tc>
        <w:tc>
          <w:tcPr>
            <w:tcW w:w="60" w:type="dxa"/>
            <w:tcBorders>
              <w:top w:val="single" w:sz="20" w:space="0" w:color="000000"/>
              <w:left w:val="single" w:sz="20" w:space="0" w:color="000000"/>
              <w:bottom w:val="single" w:sz="20" w:space="0" w:color="000000"/>
            </w:tcBorders>
            <w:shd w:fill="auto" w:val="clear"/>
            <w:tcMar>
              <w:top w:w="28" w:type="dxa"/>
              <w:left w:w="28" w:type="dxa"/>
              <w:bottom w:w="28" w:type="dxa"/>
            </w:tcMar>
            <w:vAlign w:val="center"/>
          </w:tcPr>
          <w:p>
            <w:pPr>
              <w:pStyle w:val="TableContents"/>
              <w:spacing w:before="0" w:after="283"/>
              <w:rPr/>
            </w:pPr>
            <w:r>
              <w:rPr/>
              <w:t> </w:t>
            </w:r>
          </w:p>
        </w:tc>
        <w:tc>
          <w:tcPr>
            <w:tcW w:w="9911" w:type="dxa"/>
            <w:tcBorders>
              <w:top w:val="single" w:sz="20" w:space="0" w:color="000000"/>
              <w:bottom w:val="single" w:sz="20" w:space="0" w:color="000000"/>
              <w:right w:val="single" w:sz="20" w:space="0" w:color="000000"/>
            </w:tcBorders>
            <w:shd w:fill="auto" w:val="clear"/>
            <w:tcMar>
              <w:top w:w="28" w:type="dxa"/>
              <w:bottom w:w="28" w:type="dxa"/>
              <w:right w:w="40" w:type="dxa"/>
            </w:tcMar>
            <w:vAlign w:val="center"/>
          </w:tcPr>
          <w:p>
            <w:pPr>
              <w:pStyle w:val="TableContents"/>
              <w:spacing w:before="0" w:after="0"/>
              <w:rPr/>
            </w:pPr>
            <w:r>
              <w:rPr/>
              <w:t> </w:t>
            </w:r>
          </w:p>
          <w:p>
            <w:pPr>
              <w:pStyle w:val="TableContents"/>
              <w:spacing w:before="0" w:after="0"/>
              <w:jc w:val="center"/>
              <w:rPr>
                <w:rFonts w:ascii="Times New Roman" w:hAnsi="Times New Roman"/>
                <w:b/>
                <w:sz w:val="18"/>
              </w:rPr>
            </w:pPr>
            <w:r>
              <w:rPr>
                <w:rFonts w:ascii="Times New Roman" w:hAnsi="Times New Roman"/>
                <w:b/>
                <w:sz w:val="18"/>
              </w:rPr>
              <w:t>PROXY</w:t>
            </w:r>
          </w:p>
          <w:p>
            <w:pPr>
              <w:pStyle w:val="TableContents"/>
              <w:spacing w:before="0" w:after="0"/>
              <w:jc w:val="center"/>
              <w:rPr>
                <w:rFonts w:ascii="Times New Roman" w:hAnsi="Times New Roman"/>
                <w:b/>
                <w:sz w:val="18"/>
              </w:rPr>
            </w:pPr>
            <w:r>
              <w:rPr>
                <w:rFonts w:ascii="Times New Roman" w:hAnsi="Times New Roman"/>
                <w:b/>
                <w:sz w:val="18"/>
              </w:rPr>
              <w:t>THIS PROXY IS SOLICITED ON BEHALF OF</w:t>
            </w:r>
          </w:p>
          <w:p>
            <w:pPr>
              <w:pStyle w:val="TableContents"/>
              <w:spacing w:before="0" w:after="0"/>
              <w:jc w:val="center"/>
              <w:rPr>
                <w:rFonts w:ascii="Times New Roman" w:hAnsi="Times New Roman"/>
                <w:b/>
                <w:sz w:val="18"/>
              </w:rPr>
            </w:pPr>
            <w:r>
              <w:rPr>
                <w:rFonts w:ascii="Times New Roman" w:hAnsi="Times New Roman"/>
                <w:b/>
                <w:sz w:val="18"/>
              </w:rPr>
              <w:t>THE BOARD OF DIRECTORS OF LAMAR ADVERTISING COMPANY</w:t>
            </w:r>
          </w:p>
          <w:p>
            <w:pPr>
              <w:pStyle w:val="TableContents"/>
              <w:spacing w:before="0" w:after="0"/>
              <w:jc w:val="left"/>
              <w:rPr/>
            </w:pPr>
            <w:r>
              <w:rPr/>
              <w:t> </w:t>
            </w:r>
          </w:p>
          <w:p>
            <w:pPr>
              <w:pStyle w:val="TableContents"/>
              <w:spacing w:before="0" w:after="0"/>
              <w:rPr>
                <w:rFonts w:ascii="Times New Roman" w:hAnsi="Times New Roman"/>
                <w:sz w:val="16"/>
              </w:rPr>
            </w:pPr>
            <w:r>
              <w:rPr>
                <w:rFonts w:ascii="Times New Roman" w:hAnsi="Times New Roman"/>
                <w:sz w:val="16"/>
              </w:rPr>
              <w:t>The undersigned hereby appoints Kevin P. Reilly, Jr., Sean E. Reilly and Jay L. Johnson, and each of them, with power to act without the other and with power of substitution, as proxies and attorneys-in-fact and hereby authorizes them to represent and vote, as provided on the other side, all the shares of Lamar Advertising Company Class A Common Stock which the undersigned is entitled to vote and, in their discretion, to vote upon such other business as may properly come before the Annual Meeting of Stockholders of the Company to be held May 10, 2023 at www.virtualshareholdermeeting.com/LAMR2023 or any adjournment thereof, with all powers which the undersigned would possess if present at the Meeting.</w:t>
            </w:r>
          </w:p>
          <w:p>
            <w:pPr>
              <w:pStyle w:val="TableContents"/>
              <w:spacing w:before="0" w:after="0"/>
              <w:rPr/>
            </w:pPr>
            <w:r>
              <w:rPr/>
              <w:t> </w:t>
            </w:r>
          </w:p>
          <w:p>
            <w:pPr>
              <w:pStyle w:val="TableContents"/>
              <w:spacing w:before="0" w:after="0"/>
              <w:rPr>
                <w:rFonts w:ascii="Times New Roman" w:hAnsi="Times New Roman"/>
                <w:b/>
                <w:sz w:val="16"/>
              </w:rPr>
            </w:pPr>
            <w:r>
              <w:rPr>
                <w:rFonts w:ascii="Times New Roman" w:hAnsi="Times New Roman"/>
                <w:b/>
                <w:sz w:val="16"/>
              </w:rPr>
              <w:t>THIS PROXY CARD, WHEN PROPERLY EXECUTED, WILL BE VOTED IN THE MANNER DIRECTED HEREIN BY THE UNDERSIGNED. IF NO DIRECTION IS MADE BUT THE CARD IS SIGNED, THIS PROXY CARD WILL BE VOTED (IN ACCORDANCE WITH THE RECOMMENDATION OF THE BOARD OF DIRECTORS) FOR THE ELECTION OF ALL NOMINEES UNDER PROPOSAL 1, FOR PROPOSAL 2, 3 YEARS FOR PROPOSAL 3, FOR PROPOSAL 4, AND IN THE DISCRETION OF THE PROXIES WITH RESPECT TO SUCH OTHER BUSINESS AS MAY PROPERLY COME BEFORE THE MEETING.</w:t>
            </w:r>
          </w:p>
          <w:p>
            <w:pPr>
              <w:pStyle w:val="TableContents"/>
              <w:spacing w:before="0" w:after="0"/>
              <w:rPr/>
            </w:pPr>
            <w:r>
              <w:rPr/>
              <w:t> </w:t>
            </w:r>
          </w:p>
          <w:p>
            <w:pPr>
              <w:pStyle w:val="TableContents"/>
              <w:spacing w:before="0" w:after="0"/>
              <w:jc w:val="center"/>
              <w:rPr>
                <w:rFonts w:ascii="Times New Roman" w:hAnsi="Times New Roman"/>
                <w:b/>
                <w:sz w:val="20"/>
              </w:rPr>
            </w:pPr>
            <w:r>
              <w:rPr>
                <w:rFonts w:ascii="Times New Roman" w:hAnsi="Times New Roman"/>
                <w:b/>
                <w:sz w:val="20"/>
              </w:rPr>
              <w:t>Continued and to be signed on reverse side</w:t>
            </w:r>
          </w:p>
          <w:p>
            <w:pPr>
              <w:pStyle w:val="TableContents"/>
              <w:spacing w:before="0" w:after="20"/>
              <w:jc w:val="left"/>
              <w:rPr/>
            </w:pPr>
            <w:r>
              <w:rPr/>
              <w:t> </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2"/>
        </w:rPr>
      </w:pPr>
      <w:r>
        <w:rPr>
          <w:rFonts w:ascii="Times New Roman" w:hAnsi="Times New Roman"/>
          <w:b/>
          <w:sz w:val="22"/>
        </w:rPr>
        <w:t xml:space="preserve">PROXY FOR CLASS B COMMON AND SERIES AA PREFERRED STOCK </w:t>
      </w:r>
    </w:p>
    <w:p>
      <w:pPr>
        <w:pStyle w:val="TextBody"/>
        <w:spacing w:before="720" w:after="0"/>
        <w:jc w:val="center"/>
        <w:rPr>
          <w:rFonts w:ascii="Times New Roman" w:hAnsi="Times New Roman"/>
          <w:b/>
          <w:sz w:val="22"/>
        </w:rPr>
      </w:pPr>
      <w:r>
        <w:rPr>
          <w:rFonts w:ascii="Times New Roman" w:hAnsi="Times New Roman"/>
          <w:b/>
          <w:sz w:val="22"/>
        </w:rPr>
        <w:t xml:space="preserve">THE BOARD OF DIRECTORS IS SOLICITING THIS PROXY </w:t>
      </w:r>
    </w:p>
    <w:p>
      <w:pPr>
        <w:pStyle w:val="TextBody"/>
        <w:spacing w:before="240" w:after="0"/>
        <w:jc w:val="center"/>
        <w:rPr>
          <w:rFonts w:ascii="Times New Roman" w:hAnsi="Times New Roman"/>
          <w:b/>
          <w:sz w:val="22"/>
        </w:rPr>
      </w:pPr>
      <w:r>
        <w:rPr>
          <w:rFonts w:ascii="Times New Roman" w:hAnsi="Times New Roman"/>
          <w:b/>
          <w:sz w:val="22"/>
        </w:rPr>
        <w:t xml:space="preserve">IN CONNECTION WITH THE ANNUAL MEETING OF STOCKHOLDERS OF </w:t>
      </w:r>
    </w:p>
    <w:p>
      <w:pPr>
        <w:pStyle w:val="TextBody"/>
        <w:spacing w:before="240" w:after="0"/>
        <w:jc w:val="center"/>
        <w:rPr>
          <w:rFonts w:ascii="Times New Roman" w:hAnsi="Times New Roman"/>
          <w:b/>
          <w:sz w:val="22"/>
        </w:rPr>
      </w:pPr>
      <w:r>
        <w:rPr>
          <w:rFonts w:ascii="Times New Roman" w:hAnsi="Times New Roman"/>
          <w:b/>
          <w:sz w:val="22"/>
        </w:rPr>
        <w:t xml:space="preserve">LAMAR ADVERTISING COMPANY </w:t>
      </w:r>
    </w:p>
    <w:p>
      <w:pPr>
        <w:pStyle w:val="TextBody"/>
        <w:spacing w:before="240" w:after="0"/>
        <w:jc w:val="center"/>
        <w:rPr>
          <w:rFonts w:ascii="Times New Roman" w:hAnsi="Times New Roman"/>
          <w:b/>
          <w:sz w:val="22"/>
        </w:rPr>
      </w:pPr>
      <w:r>
        <w:rPr>
          <w:rFonts w:ascii="Times New Roman" w:hAnsi="Times New Roman"/>
          <w:b/>
          <w:sz w:val="22"/>
        </w:rPr>
        <w:t xml:space="preserve">MAY 10, 2023 </w:t>
      </w:r>
    </w:p>
    <w:p>
      <w:pPr>
        <w:pStyle w:val="TextBody"/>
        <w:spacing w:before="240" w:after="0"/>
        <w:jc w:val="left"/>
        <w:rPr>
          <w:rFonts w:ascii="Times New Roman" w:hAnsi="Times New Roman"/>
          <w:sz w:val="24"/>
        </w:rPr>
      </w:pPr>
      <w:r>
        <w:rPr>
          <w:rFonts w:ascii="Times New Roman" w:hAnsi="Times New Roman"/>
          <w:sz w:val="24"/>
        </w:rPr>
        <w:t xml:space="preserve">Each undersigned stockholder of Lamar Advertising Company (the “Company”) hereby appoints Kevin P. Reilly, Jr., Sean E. Reilly and Jay L. Johnson, and each of them acting singly, with full power of substitution, as Proxies to vote on behalf of the undersigned all shares of Class B Common and Series AA Preferred Stock of the Company that the undersigned is entitled to vote at the Annual Meeting of Stockholders of the Company to be held on May 10, 2023, and at all adjournments of the Annual Meeting. The undersigned hereby revokes any proxy previously given with respect to such shares. </w:t>
      </w:r>
    </w:p>
    <w:p>
      <w:pPr>
        <w:pStyle w:val="TextBody"/>
        <w:spacing w:before="240" w:after="0"/>
        <w:jc w:val="left"/>
        <w:rPr>
          <w:rFonts w:ascii="Times New Roman" w:hAnsi="Times New Roman"/>
          <w:b/>
          <w:sz w:val="24"/>
        </w:rPr>
      </w:pPr>
      <w:r>
        <w:rPr>
          <w:rFonts w:ascii="Times New Roman" w:hAnsi="Times New Roman"/>
          <w:b/>
          <w:sz w:val="24"/>
        </w:rPr>
        <w:t xml:space="preserve">This proxy, when properly executed, will be voted in the manner directed by the undersigned stockholder(s). If no specifications are made, the Proxies named above will vote the shares in accordance with the recommendations of the Board of Directors, which are set forth on the following page of this Proxy Card. THE PROXIES ARE AUTHORIZED TO VOTE IN THEIR DISCRETION ON ANY OTHER MATTERS PROPERLY COMING BEFORE THE MEETING. </w:t>
      </w:r>
    </w:p>
    <w:p>
      <w:pPr>
        <w:pStyle w:val="TextBody"/>
        <w:spacing w:before="240" w:after="0"/>
        <w:jc w:val="center"/>
        <w:rPr>
          <w:rFonts w:ascii="Times New Roman" w:hAnsi="Times New Roman"/>
          <w:b/>
          <w:sz w:val="20"/>
        </w:rPr>
      </w:pPr>
      <w:r>
        <w:rPr>
          <w:rFonts w:ascii="Times New Roman" w:hAnsi="Times New Roman"/>
          <w:b/>
          <w:sz w:val="20"/>
        </w:rPr>
        <w:t xml:space="preserve">(Continued and to be signed on following pages) </w:t>
      </w:r>
      <w:r>
        <w:br w:type="page"/>
      </w:r>
    </w:p>
    <w:p>
      <w:pPr>
        <w:pStyle w:val="HorizontalLine"/>
        <w:rPr/>
      </w:pPr>
      <w:r>
        <w:rPr/>
      </w:r>
    </w:p>
    <w:p>
      <w:pPr>
        <w:pStyle w:val="Heading5"/>
        <w:rPr/>
      </w:pPr>
      <w:hyperlink w:anchor="toc">
        <w:r>
          <w:rPr>
            <w:rStyle w:val="InternetLink"/>
          </w:rPr>
          <w:t>Table of Contents</w:t>
        </w:r>
      </w:hyperlink>
    </w:p>
    <w:p>
      <w:pPr>
        <w:pStyle w:val="TextBody"/>
        <w:spacing w:before="0" w:after="0"/>
        <w:jc w:val="center"/>
        <w:rPr>
          <w:rFonts w:ascii="Times New Roman" w:hAnsi="Times New Roman"/>
          <w:b/>
          <w:sz w:val="22"/>
        </w:rPr>
      </w:pPr>
      <w:r>
        <w:rPr>
          <w:rFonts w:ascii="Times New Roman" w:hAnsi="Times New Roman"/>
          <w:b/>
          <w:sz w:val="22"/>
        </w:rPr>
        <w:t xml:space="preserve">ANNUAL MEETING OF STOCKHOLDERS OF </w:t>
      </w:r>
    </w:p>
    <w:p>
      <w:pPr>
        <w:pStyle w:val="TextBody"/>
        <w:spacing w:before="240" w:after="0"/>
        <w:jc w:val="center"/>
        <w:rPr>
          <w:rFonts w:ascii="Times New Roman" w:hAnsi="Times New Roman"/>
          <w:b/>
          <w:sz w:val="22"/>
        </w:rPr>
      </w:pPr>
      <w:r>
        <w:rPr>
          <w:rFonts w:ascii="Times New Roman" w:hAnsi="Times New Roman"/>
          <w:b/>
          <w:sz w:val="22"/>
        </w:rPr>
        <w:t xml:space="preserve">LAMAR ADVERTISING COMPANY </w:t>
      </w:r>
    </w:p>
    <w:p>
      <w:pPr>
        <w:pStyle w:val="TextBody"/>
        <w:spacing w:before="240" w:after="0"/>
        <w:jc w:val="center"/>
        <w:rPr>
          <w:rFonts w:ascii="Times New Roman" w:hAnsi="Times New Roman"/>
          <w:b/>
          <w:sz w:val="22"/>
        </w:rPr>
      </w:pPr>
      <w:r>
        <w:rPr>
          <w:rFonts w:ascii="Times New Roman" w:hAnsi="Times New Roman"/>
          <w:b/>
          <w:sz w:val="22"/>
        </w:rPr>
        <w:t xml:space="preserve">MAY 10, 2023 </w:t>
      </w:r>
    </w:p>
    <w:p>
      <w:pPr>
        <w:pStyle w:val="TextBody"/>
        <w:spacing w:before="240" w:after="0"/>
        <w:jc w:val="left"/>
        <w:rPr>
          <w:rFonts w:ascii="Times New Roman" w:hAnsi="Times New Roman"/>
          <w:sz w:val="24"/>
        </w:rPr>
      </w:pPr>
      <w:r>
        <w:rPr>
          <w:rFonts w:ascii="Times New Roman" w:hAnsi="Times New Roman"/>
          <w:b/>
          <w:sz w:val="24"/>
        </w:rPr>
        <w:t>Important Notice Regarding the Availability of Proxy Materials for the Stockholder Meeting to Be Held on May</w:t>
      </w:r>
      <w:r>
        <w:rPr>
          <w:rFonts w:ascii="Times New Roman" w:hAnsi="Times New Roman"/>
          <w:sz w:val="24"/>
        </w:rPr>
        <w:t> </w:t>
      </w:r>
      <w:r>
        <w:rPr>
          <w:rFonts w:ascii="Times New Roman" w:hAnsi="Times New Roman"/>
          <w:b/>
          <w:sz w:val="24"/>
        </w:rPr>
        <w:t>10, 2023</w:t>
      </w:r>
      <w:r>
        <w:rPr>
          <w:rFonts w:ascii="Times New Roman" w:hAnsi="Times New Roman"/>
          <w:sz w:val="24"/>
        </w:rPr>
        <w:t xml:space="preserve"> - The proxy statement and annual report to security holders are available at </w:t>
      </w:r>
      <w:r>
        <w:rPr>
          <w:rFonts w:ascii="Times New Roman" w:hAnsi="Times New Roman"/>
          <w:color w:val="0000FF"/>
          <w:sz w:val="24"/>
          <w:u w:val="single"/>
        </w:rPr>
        <w:t>https://materials.proxyvote.com/512816</w:t>
      </w:r>
      <w:r>
        <w:rPr>
          <w:rFonts w:ascii="Times New Roman" w:hAnsi="Times New Roman"/>
          <w:sz w:val="24"/>
        </w:rPr>
        <w:t xml:space="preserve">. </w:t>
      </w:r>
    </w:p>
    <w:p>
      <w:pPr>
        <w:pStyle w:val="TextBody"/>
        <w:spacing w:before="240" w:after="0"/>
        <w:jc w:val="left"/>
        <w:rPr>
          <w:rFonts w:ascii="Times New Roman" w:hAnsi="Times New Roman"/>
          <w:sz w:val="22"/>
        </w:rPr>
      </w:pPr>
      <w:r>
        <w:rPr>
          <w:rFonts w:ascii="Times New Roman" w:hAnsi="Times New Roman"/>
          <w:sz w:val="22"/>
        </w:rPr>
        <w:t xml:space="preserve">Please sign, date and return this proxy card to the Company as soon as possible. </w:t>
      </w:r>
    </w:p>
    <w:p>
      <w:pPr>
        <w:pStyle w:val="TextBody"/>
        <w:spacing w:before="240" w:after="0"/>
        <w:jc w:val="left"/>
        <w:rPr>
          <w:rFonts w:ascii="Times New Roman" w:hAnsi="Times New Roman"/>
          <w:b/>
          <w:sz w:val="22"/>
        </w:rPr>
      </w:pPr>
      <w:r>
        <w:rPr>
          <w:rFonts w:ascii="Times New Roman" w:hAnsi="Times New Roman"/>
          <w:b/>
          <w:sz w:val="22"/>
        </w:rPr>
        <w:t xml:space="preserve">THE DIRECTORS RECOMMEND A VOTE “FOR ALL NOMINEES” FOR DIRECTORS IN PROPOSAL 1, “FOR” PROPOSAL 2, FOR “3 YEARS” FOR THE FREQUENCY OF ADVISORY VOTES IN PROPOSAL 3 AND “FOR” PROPOSAL 4. </w:t>
      </w:r>
    </w:p>
    <w:p>
      <w:pPr>
        <w:pStyle w:val="TextBody"/>
        <w:spacing w:before="240" w:after="0"/>
        <w:jc w:val="left"/>
        <w:rPr>
          <w:rFonts w:ascii="Times New Roman" w:hAnsi="Times New Roman"/>
          <w:sz w:val="22"/>
        </w:rPr>
      </w:pPr>
      <w:r>
        <w:rPr>
          <w:rFonts w:ascii="Times New Roman" w:hAnsi="Times New Roman"/>
          <w:b/>
          <w:sz w:val="22"/>
        </w:rPr>
        <w:t>PLEASE SIGN, DATE AND RETURN PROMPTLY IN THE ENCLOSED ENVELOPE. PLEASE MARK YOUR VOTE IN BLUE OR BLACK INK AS SHOWN HERE:  </w:t>
      </w:r>
      <w:r>
        <w:rPr>
          <w:rFonts w:ascii="Times New Roman" w:hAnsi="Times New Roman"/>
          <w:sz w:val="22"/>
        </w:rPr>
        <w:t xml:space="preserve">☒ </w:t>
      </w:r>
    </w:p>
    <w:p>
      <w:pPr>
        <w:pStyle w:val="TextBody"/>
        <w:spacing w:before="0" w:after="0"/>
        <w:jc w:val="left"/>
        <w:rPr/>
      </w:pPr>
      <w:r>
        <w:rPr/>
        <w:t> </w:t>
      </w:r>
    </w:p>
    <w:tbl>
      <w:tblPr>
        <w:tblW w:w="2140" w:type="dxa"/>
        <w:jc w:val="left"/>
        <w:tblInd w:w="0" w:type="dxa"/>
        <w:tblCellMar>
          <w:top w:w="0" w:type="dxa"/>
          <w:left w:w="0" w:type="dxa"/>
          <w:bottom w:w="0" w:type="dxa"/>
          <w:right w:w="0" w:type="dxa"/>
        </w:tblCellMar>
      </w:tblPr>
      <w:tblGrid>
        <w:gridCol w:w="75"/>
        <w:gridCol w:w="200"/>
        <w:gridCol w:w="186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b/>
              </w:rPr>
            </w:pPr>
            <w:r>
              <w:rPr>
                <w:b/>
              </w:rPr>
              <w:t>1.</w:t>
            </w:r>
          </w:p>
        </w:tc>
        <w:tc>
          <w:tcPr>
            <w:tcW w:w="186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Election of directors: </w:t>
            </w:r>
          </w:p>
        </w:tc>
      </w:tr>
    </w:tbl>
    <w:p>
      <w:pPr>
        <w:pStyle w:val="TextBody"/>
        <w:spacing w:before="0" w:after="0"/>
        <w:jc w:val="left"/>
        <w:rPr/>
      </w:pPr>
      <w:r>
        <w:rPr/>
        <w:t> </w:t>
      </w:r>
    </w:p>
    <w:tbl>
      <w:tblPr>
        <w:tblW w:w="7975" w:type="dxa"/>
        <w:jc w:val="left"/>
        <w:tblInd w:w="0" w:type="dxa"/>
        <w:tblCellMar>
          <w:top w:w="0" w:type="dxa"/>
          <w:left w:w="0" w:type="dxa"/>
          <w:bottom w:w="0" w:type="dxa"/>
          <w:right w:w="0" w:type="dxa"/>
        </w:tblCellMar>
      </w:tblPr>
      <w:tblGrid>
        <w:gridCol w:w="4505"/>
        <w:gridCol w:w="120"/>
        <w:gridCol w:w="3350"/>
      </w:tblGrid>
      <w:tr>
        <w:trPr/>
        <w:tc>
          <w:tcPr>
            <w:tcW w:w="45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50" w:type="dxa"/>
            <w:tcBorders/>
            <w:shd w:fill="auto" w:val="clear"/>
            <w:vAlign w:val="center"/>
          </w:tcPr>
          <w:p>
            <w:pPr>
              <w:pStyle w:val="TableContents"/>
              <w:spacing w:before="0" w:after="283"/>
              <w:rPr>
                <w:sz w:val="4"/>
                <w:szCs w:val="4"/>
              </w:rPr>
            </w:pPr>
            <w:r>
              <w:rPr>
                <w:sz w:val="4"/>
                <w:szCs w:val="4"/>
              </w:rPr>
            </w:r>
          </w:p>
        </w:tc>
      </w:tr>
      <w:tr>
        <w:trPr/>
        <w:tc>
          <w:tcPr>
            <w:tcW w:w="45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283"/>
              <w:rPr>
                <w:b/>
              </w:rPr>
            </w:pPr>
            <w:r>
              <w:rPr>
                <w:b/>
              </w:rPr>
              <w:t>Nominees to Withhold Vote For:</w:t>
            </w:r>
          </w:p>
        </w:tc>
      </w:tr>
      <w:tr>
        <w:trPr/>
        <w:tc>
          <w:tcPr>
            <w:tcW w:w="4505" w:type="dxa"/>
            <w:tcBorders/>
            <w:shd w:fill="auto" w:val="clear"/>
            <w:vAlign w:val="center"/>
          </w:tcPr>
          <w:p>
            <w:pPr>
              <w:pStyle w:val="TableContents"/>
              <w:spacing w:before="0" w:after="0"/>
              <w:rPr/>
            </w:pPr>
            <w:r>
              <w:rPr/>
              <w:t>☐   </w:t>
            </w:r>
            <w:r>
              <w:rPr>
                <w:rFonts w:ascii="Times New Roman" w:hAnsi="Times New Roman"/>
                <w:sz w:val="20"/>
              </w:rPr>
              <w:t>FOR ALL NOMINEES</w:t>
            </w:r>
          </w:p>
        </w:tc>
        <w:tc>
          <w:tcPr>
            <w:tcW w:w="12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0"/>
              <w:rPr/>
            </w:pPr>
            <w:r>
              <w:rPr/>
              <w:t>☐   </w:t>
            </w:r>
            <w:r>
              <w:rPr>
                <w:rFonts w:ascii="Times New Roman" w:hAnsi="Times New Roman"/>
                <w:sz w:val="20"/>
              </w:rPr>
              <w:t>Nancy Fletcher</w:t>
            </w:r>
          </w:p>
        </w:tc>
      </w:tr>
      <w:tr>
        <w:trPr/>
        <w:tc>
          <w:tcPr>
            <w:tcW w:w="45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0"/>
              <w:rPr/>
            </w:pPr>
            <w:r>
              <w:rPr/>
              <w:t>☐   </w:t>
            </w:r>
            <w:r>
              <w:rPr>
                <w:rFonts w:ascii="Times New Roman" w:hAnsi="Times New Roman"/>
                <w:sz w:val="20"/>
              </w:rPr>
              <w:t>John E. Koerner, III</w:t>
            </w:r>
          </w:p>
        </w:tc>
      </w:tr>
      <w:tr>
        <w:trPr/>
        <w:tc>
          <w:tcPr>
            <w:tcW w:w="4505" w:type="dxa"/>
            <w:tcBorders/>
            <w:shd w:fill="auto" w:val="clear"/>
            <w:vAlign w:val="center"/>
          </w:tcPr>
          <w:p>
            <w:pPr>
              <w:pStyle w:val="TableContents"/>
              <w:spacing w:before="0" w:after="0"/>
              <w:rPr/>
            </w:pPr>
            <w:r>
              <w:rPr/>
              <w:t>☐   </w:t>
            </w:r>
            <w:r>
              <w:rPr>
                <w:rFonts w:ascii="Times New Roman" w:hAnsi="Times New Roman"/>
                <w:sz w:val="20"/>
              </w:rPr>
              <w:t>WITHHOLD AUTHORITY FOR ALL NOMINEES</w:t>
            </w:r>
          </w:p>
        </w:tc>
        <w:tc>
          <w:tcPr>
            <w:tcW w:w="12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0"/>
              <w:rPr/>
            </w:pPr>
            <w:r>
              <w:rPr/>
              <w:t>☐   </w:t>
            </w:r>
            <w:r>
              <w:rPr>
                <w:rFonts w:ascii="Times New Roman" w:hAnsi="Times New Roman"/>
                <w:sz w:val="20"/>
              </w:rPr>
              <w:t>Marshall A. Loeb</w:t>
            </w:r>
          </w:p>
        </w:tc>
      </w:tr>
      <w:tr>
        <w:trPr/>
        <w:tc>
          <w:tcPr>
            <w:tcW w:w="45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0"/>
              <w:rPr/>
            </w:pPr>
            <w:r>
              <w:rPr/>
              <w:t>☐   </w:t>
            </w:r>
            <w:r>
              <w:rPr>
                <w:rFonts w:ascii="Times New Roman" w:hAnsi="Times New Roman"/>
                <w:sz w:val="20"/>
              </w:rPr>
              <w:t>Stephen P. Mumblow</w:t>
            </w:r>
          </w:p>
        </w:tc>
      </w:tr>
      <w:tr>
        <w:trPr/>
        <w:tc>
          <w:tcPr>
            <w:tcW w:w="4505" w:type="dxa"/>
            <w:tcBorders/>
            <w:shd w:fill="auto" w:val="clear"/>
            <w:vAlign w:val="center"/>
          </w:tcPr>
          <w:p>
            <w:pPr>
              <w:pStyle w:val="TableContents"/>
              <w:spacing w:before="0" w:after="0"/>
              <w:rPr/>
            </w:pPr>
            <w:r>
              <w:rPr/>
              <w:t>☐   </w:t>
            </w:r>
            <w:r>
              <w:rPr>
                <w:rFonts w:ascii="Times New Roman" w:hAnsi="Times New Roman"/>
                <w:sz w:val="20"/>
              </w:rPr>
              <w:t>FOR ALL EXCEPT</w:t>
            </w:r>
          </w:p>
        </w:tc>
        <w:tc>
          <w:tcPr>
            <w:tcW w:w="12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0"/>
              <w:rPr/>
            </w:pPr>
            <w:r>
              <w:rPr/>
              <w:t>☐   </w:t>
            </w:r>
            <w:r>
              <w:rPr>
                <w:rFonts w:ascii="Times New Roman" w:hAnsi="Times New Roman"/>
                <w:sz w:val="20"/>
              </w:rPr>
              <w:t>Thomas V. Reifenheiser</w:t>
            </w:r>
          </w:p>
        </w:tc>
      </w:tr>
      <w:tr>
        <w:trPr/>
        <w:tc>
          <w:tcPr>
            <w:tcW w:w="450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(See instructions below)</w:t>
            </w:r>
          </w:p>
        </w:tc>
        <w:tc>
          <w:tcPr>
            <w:tcW w:w="12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0"/>
              <w:rPr/>
            </w:pPr>
            <w:r>
              <w:rPr/>
              <w:t>☐   </w:t>
            </w:r>
            <w:r>
              <w:rPr>
                <w:rFonts w:ascii="Times New Roman" w:hAnsi="Times New Roman"/>
                <w:sz w:val="20"/>
              </w:rPr>
              <w:t>Anna Reilly</w:t>
            </w:r>
          </w:p>
        </w:tc>
      </w:tr>
      <w:tr>
        <w:trPr/>
        <w:tc>
          <w:tcPr>
            <w:tcW w:w="45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0"/>
              <w:rPr/>
            </w:pPr>
            <w:r>
              <w:rPr/>
              <w:t>☐   </w:t>
            </w:r>
            <w:r>
              <w:rPr>
                <w:rFonts w:ascii="Times New Roman" w:hAnsi="Times New Roman"/>
                <w:sz w:val="20"/>
              </w:rPr>
              <w:t>Kevin P. Reilly, Jr.</w:t>
            </w:r>
          </w:p>
        </w:tc>
      </w:tr>
      <w:tr>
        <w:trPr/>
        <w:tc>
          <w:tcPr>
            <w:tcW w:w="45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0"/>
              <w:rPr/>
            </w:pPr>
            <w:r>
              <w:rPr/>
              <w:t>☐   </w:t>
            </w:r>
            <w:r>
              <w:rPr>
                <w:rFonts w:ascii="Times New Roman" w:hAnsi="Times New Roman"/>
                <w:sz w:val="20"/>
              </w:rPr>
              <w:t>Wendell Reilly</w:t>
            </w:r>
          </w:p>
        </w:tc>
      </w:tr>
      <w:tr>
        <w:trPr/>
        <w:tc>
          <w:tcPr>
            <w:tcW w:w="45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3350" w:type="dxa"/>
            <w:tcBorders/>
            <w:shd w:fill="auto" w:val="clear"/>
            <w:vAlign w:val="center"/>
          </w:tcPr>
          <w:p>
            <w:pPr>
              <w:pStyle w:val="TableContents"/>
              <w:spacing w:before="0" w:after="0"/>
              <w:rPr/>
            </w:pPr>
            <w:r>
              <w:rPr/>
              <w:t>☐   </w:t>
            </w:r>
            <w:r>
              <w:rPr>
                <w:rFonts w:ascii="Times New Roman" w:hAnsi="Times New Roman"/>
                <w:sz w:val="20"/>
              </w:rPr>
              <w:t>Elizabeth Thompson</w:t>
            </w:r>
          </w:p>
        </w:tc>
      </w:tr>
    </w:tbl>
    <w:p>
      <w:pPr>
        <w:pStyle w:val="HorizontalLine"/>
        <w:rPr/>
      </w:pPr>
      <w:r>
        <w:br w:type="page"/>
      </w:r>
      <w:r>
        <w:rPr/>
      </w:r>
    </w:p>
    <w:p>
      <w:pPr>
        <w:pStyle w:val="Heading5"/>
        <w:rPr/>
      </w:pPr>
      <w:hyperlink w:anchor="toc">
        <w:r>
          <w:rPr>
            <w:rStyle w:val="InternetLink"/>
          </w:rPr>
          <w:t>Table of Contents</w:t>
        </w:r>
      </w:hyperlink>
    </w:p>
    <w:p>
      <w:pPr>
        <w:pStyle w:val="TextBody"/>
        <w:spacing w:before="0" w:after="0"/>
        <w:jc w:val="left"/>
        <w:rPr>
          <w:rFonts w:ascii="Times New Roman" w:hAnsi="Times New Roman"/>
          <w:sz w:val="24"/>
        </w:rPr>
      </w:pPr>
      <w:r>
        <w:rPr>
          <w:rFonts w:ascii="Times New Roman" w:hAnsi="Times New Roman"/>
          <w:b/>
          <w:sz w:val="24"/>
        </w:rPr>
        <w:t>INSTRUCTIONS</w:t>
      </w:r>
      <w:r>
        <w:rPr>
          <w:rFonts w:ascii="Times New Roman" w:hAnsi="Times New Roman"/>
          <w:sz w:val="24"/>
        </w:rPr>
        <w:t>: To withhold authority to vote for any individual nominee(s), mark “</w:t>
      </w:r>
      <w:r>
        <w:rPr>
          <w:rFonts w:ascii="Times New Roman" w:hAnsi="Times New Roman"/>
          <w:b/>
          <w:sz w:val="24"/>
        </w:rPr>
        <w:t>FOR ALL EXCEPT</w:t>
      </w:r>
      <w:r>
        <w:rPr>
          <w:rFonts w:ascii="Times New Roman" w:hAnsi="Times New Roman"/>
          <w:sz w:val="24"/>
        </w:rPr>
        <w:t xml:space="preserve">” and fill in the box next to each nominee you wish to withhold, as shown here:  ☒ </w:t>
      </w:r>
    </w:p>
    <w:p>
      <w:pPr>
        <w:pStyle w:val="TextBody"/>
        <w:spacing w:before="0" w:after="0"/>
        <w:jc w:val="left"/>
        <w:rPr/>
      </w:pPr>
      <w:r>
        <w:rPr/>
        <w:t> </w:t>
      </w:r>
    </w:p>
    <w:tbl>
      <w:tblPr>
        <w:tblW w:w="9880" w:type="dxa"/>
        <w:jc w:val="left"/>
        <w:tblInd w:w="0" w:type="dxa"/>
        <w:tblCellMar>
          <w:top w:w="0" w:type="dxa"/>
          <w:left w:w="0" w:type="dxa"/>
          <w:bottom w:w="0" w:type="dxa"/>
          <w:right w:w="0" w:type="dxa"/>
        </w:tblCellMar>
      </w:tblPr>
      <w:tblGrid>
        <w:gridCol w:w="75"/>
        <w:gridCol w:w="200"/>
        <w:gridCol w:w="960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b/>
              </w:rPr>
            </w:pPr>
            <w:r>
              <w:rPr>
                <w:b/>
              </w:rPr>
              <w:t>2.</w:t>
            </w:r>
          </w:p>
        </w:tc>
        <w:tc>
          <w:tcPr>
            <w:tcW w:w="96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Approval, on an advisory and non-binding basis, of the compensation of the Company’s named executive officers: </w:t>
            </w:r>
          </w:p>
        </w:tc>
      </w:tr>
    </w:tbl>
    <w:p>
      <w:pPr>
        <w:pStyle w:val="TextBody"/>
        <w:spacing w:before="0" w:after="0"/>
        <w:jc w:val="left"/>
        <w:rPr/>
      </w:pPr>
      <w:r>
        <w:rPr/>
        <w:t> </w:t>
      </w:r>
    </w:p>
    <w:tbl>
      <w:tblPr>
        <w:tblW w:w="1438" w:type="dxa"/>
        <w:jc w:val="left"/>
        <w:tblInd w:w="0" w:type="dxa"/>
        <w:tblCellMar>
          <w:top w:w="0" w:type="dxa"/>
          <w:left w:w="0" w:type="dxa"/>
          <w:bottom w:w="0" w:type="dxa"/>
          <w:right w:w="0" w:type="dxa"/>
        </w:tblCellMar>
      </w:tblPr>
      <w:tblGrid>
        <w:gridCol w:w="1280"/>
        <w:gridCol w:w="120"/>
        <w:gridCol w:w="38"/>
      </w:tblGrid>
      <w:tr>
        <w:trPr/>
        <w:tc>
          <w:tcPr>
            <w:tcW w:w="12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0"/>
              <w:rPr/>
            </w:pPr>
            <w:r>
              <w:rPr/>
              <w:t>☐   </w:t>
            </w:r>
            <w:r>
              <w:rPr>
                <w:rFonts w:ascii="Times New Roman" w:hAnsi="Times New Roman"/>
                <w:sz w:val="20"/>
              </w:rPr>
              <w:t>FOR</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283"/>
              <w:rPr>
                <w:sz w:val="4"/>
                <w:szCs w:val="4"/>
              </w:rPr>
            </w:pPr>
            <w:r>
              <w:rPr>
                <w:sz w:val="4"/>
                <w:szCs w:val="4"/>
              </w:rPr>
            </w:r>
          </w:p>
        </w:tc>
        <w:tc>
          <w:tcPr>
            <w:tcW w:w="158" w:type="dxa"/>
            <w:gridSpan w:val="2"/>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0"/>
              <w:rPr/>
            </w:pPr>
            <w:r>
              <w:rPr/>
              <w:t>☐   </w:t>
            </w:r>
            <w:r>
              <w:rPr>
                <w:rFonts w:ascii="Times New Roman" w:hAnsi="Times New Roman"/>
                <w:sz w:val="20"/>
              </w:rPr>
              <w:t>AGAINST</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283"/>
              <w:rPr>
                <w:sz w:val="4"/>
                <w:szCs w:val="4"/>
              </w:rPr>
            </w:pPr>
            <w:r>
              <w:rPr>
                <w:sz w:val="4"/>
                <w:szCs w:val="4"/>
              </w:rPr>
            </w:r>
          </w:p>
        </w:tc>
        <w:tc>
          <w:tcPr>
            <w:tcW w:w="158" w:type="dxa"/>
            <w:gridSpan w:val="2"/>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0"/>
              <w:rPr/>
            </w:pPr>
            <w:r>
              <w:rPr/>
              <w:t>☐   </w:t>
            </w:r>
            <w:r>
              <w:rPr>
                <w:rFonts w:ascii="Times New Roman" w:hAnsi="Times New Roman"/>
                <w:sz w:val="20"/>
              </w:rPr>
              <w:t>ABSTAIN</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8500" w:type="dxa"/>
        <w:jc w:val="left"/>
        <w:tblInd w:w="0" w:type="dxa"/>
        <w:tblCellMar>
          <w:top w:w="0" w:type="dxa"/>
          <w:left w:w="0" w:type="dxa"/>
          <w:bottom w:w="0" w:type="dxa"/>
          <w:right w:w="0" w:type="dxa"/>
        </w:tblCellMar>
      </w:tblPr>
      <w:tblGrid>
        <w:gridCol w:w="75"/>
        <w:gridCol w:w="200"/>
        <w:gridCol w:w="822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left"/>
              <w:rPr>
                <w:b/>
              </w:rPr>
            </w:pPr>
            <w:r>
              <w:rPr>
                <w:b/>
              </w:rPr>
              <w:t>3.</w:t>
            </w:r>
          </w:p>
        </w:tc>
        <w:tc>
          <w:tcPr>
            <w:tcW w:w="82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Non-binding, advisory vote on the frequency of future advisory votes on executive compensation: </w:t>
            </w:r>
          </w:p>
        </w:tc>
      </w:tr>
    </w:tbl>
    <w:p>
      <w:pPr>
        <w:pStyle w:val="TextBody"/>
        <w:spacing w:before="0" w:after="0"/>
        <w:jc w:val="left"/>
        <w:rPr/>
      </w:pPr>
      <w:r>
        <w:rPr/>
        <w:t> </w:t>
      </w:r>
    </w:p>
    <w:tbl>
      <w:tblPr>
        <w:tblW w:w="1438" w:type="dxa"/>
        <w:jc w:val="left"/>
        <w:tblInd w:w="0" w:type="dxa"/>
        <w:tblCellMar>
          <w:top w:w="0" w:type="dxa"/>
          <w:left w:w="0" w:type="dxa"/>
          <w:bottom w:w="0" w:type="dxa"/>
          <w:right w:w="0" w:type="dxa"/>
        </w:tblCellMar>
      </w:tblPr>
      <w:tblGrid>
        <w:gridCol w:w="1280"/>
        <w:gridCol w:w="120"/>
        <w:gridCol w:w="38"/>
      </w:tblGrid>
      <w:tr>
        <w:trPr/>
        <w:tc>
          <w:tcPr>
            <w:tcW w:w="12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0"/>
              <w:rPr/>
            </w:pPr>
            <w:r>
              <w:rPr/>
              <w:t>☐   </w:t>
            </w:r>
            <w:r>
              <w:rPr>
                <w:rFonts w:ascii="Times New Roman" w:hAnsi="Times New Roman"/>
                <w:sz w:val="20"/>
              </w:rPr>
              <w:t>1 YEAR</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283"/>
              <w:rPr>
                <w:sz w:val="4"/>
                <w:szCs w:val="4"/>
              </w:rPr>
            </w:pPr>
            <w:r>
              <w:rPr>
                <w:sz w:val="4"/>
                <w:szCs w:val="4"/>
              </w:rPr>
            </w:r>
          </w:p>
        </w:tc>
        <w:tc>
          <w:tcPr>
            <w:tcW w:w="158" w:type="dxa"/>
            <w:gridSpan w:val="2"/>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0"/>
              <w:rPr/>
            </w:pPr>
            <w:r>
              <w:rPr/>
              <w:t>☐   </w:t>
            </w:r>
            <w:r>
              <w:rPr>
                <w:rFonts w:ascii="Times New Roman" w:hAnsi="Times New Roman"/>
                <w:sz w:val="20"/>
              </w:rPr>
              <w:t>2 YEARS</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283"/>
              <w:rPr>
                <w:sz w:val="4"/>
                <w:szCs w:val="4"/>
              </w:rPr>
            </w:pPr>
            <w:r>
              <w:rPr>
                <w:sz w:val="4"/>
                <w:szCs w:val="4"/>
              </w:rPr>
            </w:r>
          </w:p>
        </w:tc>
        <w:tc>
          <w:tcPr>
            <w:tcW w:w="158" w:type="dxa"/>
            <w:gridSpan w:val="2"/>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0"/>
              <w:rPr/>
            </w:pPr>
            <w:r>
              <w:rPr/>
              <w:t>☐   </w:t>
            </w:r>
            <w:r>
              <w:rPr>
                <w:rFonts w:ascii="Times New Roman" w:hAnsi="Times New Roman"/>
                <w:sz w:val="20"/>
              </w:rPr>
              <w:t>3 YEARS</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283"/>
              <w:rPr>
                <w:sz w:val="4"/>
                <w:szCs w:val="4"/>
              </w:rPr>
            </w:pPr>
            <w:r>
              <w:rPr>
                <w:sz w:val="4"/>
                <w:szCs w:val="4"/>
              </w:rPr>
            </w:r>
          </w:p>
        </w:tc>
        <w:tc>
          <w:tcPr>
            <w:tcW w:w="158" w:type="dxa"/>
            <w:gridSpan w:val="2"/>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0"/>
              <w:rPr/>
            </w:pPr>
            <w:r>
              <w:rPr/>
              <w:t>☐   </w:t>
            </w:r>
            <w:r>
              <w:rPr>
                <w:rFonts w:ascii="Times New Roman" w:hAnsi="Times New Roman"/>
                <w:sz w:val="20"/>
              </w:rPr>
              <w:t>ABSTAIN</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90"/>
        <w:gridCol w:w="9940"/>
      </w:tblGrid>
      <w:tr>
        <w:trPr/>
        <w:tc>
          <w:tcPr>
            <w:tcW w:w="75" w:type="dxa"/>
            <w:tcBorders/>
            <w:shd w:fill="auto" w:val="clear"/>
            <w:vAlign w:val="center"/>
          </w:tcPr>
          <w:p>
            <w:pPr>
              <w:pStyle w:val="TableContents"/>
              <w:spacing w:before="0" w:after="283"/>
              <w:rPr/>
            </w:pPr>
            <w:r>
              <w:rPr/>
              <w:t> </w:t>
            </w:r>
          </w:p>
        </w:tc>
        <w:tc>
          <w:tcPr>
            <w:tcW w:w="190" w:type="dxa"/>
            <w:tcBorders/>
            <w:shd w:fill="auto" w:val="clear"/>
            <w:vAlign w:val="center"/>
          </w:tcPr>
          <w:p>
            <w:pPr>
              <w:pStyle w:val="TableContents"/>
              <w:spacing w:before="0" w:after="283"/>
              <w:jc w:val="left"/>
              <w:rPr>
                <w:b/>
              </w:rPr>
            </w:pPr>
            <w:r>
              <w:rPr>
                <w:b/>
              </w:rPr>
              <w:t>4.</w:t>
            </w:r>
          </w:p>
        </w:tc>
        <w:tc>
          <w:tcPr>
            <w:tcW w:w="9940"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Ratification of the appointment of KPMG LLP as the Company’s independent registered public accounting firm for the 2023 fiscal year: </w:t>
            </w:r>
          </w:p>
        </w:tc>
      </w:tr>
    </w:tbl>
    <w:p>
      <w:pPr>
        <w:pStyle w:val="TextBody"/>
        <w:spacing w:before="0" w:after="0"/>
        <w:jc w:val="left"/>
        <w:rPr/>
      </w:pPr>
      <w:r>
        <w:rPr/>
        <w:t> </w:t>
      </w:r>
    </w:p>
    <w:tbl>
      <w:tblPr>
        <w:tblW w:w="1438" w:type="dxa"/>
        <w:jc w:val="left"/>
        <w:tblInd w:w="0" w:type="dxa"/>
        <w:tblCellMar>
          <w:top w:w="0" w:type="dxa"/>
          <w:left w:w="0" w:type="dxa"/>
          <w:bottom w:w="0" w:type="dxa"/>
          <w:right w:w="0" w:type="dxa"/>
        </w:tblCellMar>
      </w:tblPr>
      <w:tblGrid>
        <w:gridCol w:w="1280"/>
        <w:gridCol w:w="120"/>
        <w:gridCol w:w="38"/>
      </w:tblGrid>
      <w:tr>
        <w:trPr/>
        <w:tc>
          <w:tcPr>
            <w:tcW w:w="12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0"/>
              <w:rPr/>
            </w:pPr>
            <w:r>
              <w:rPr/>
              <w:t>☐   </w:t>
            </w:r>
            <w:r>
              <w:rPr>
                <w:rFonts w:ascii="Times New Roman" w:hAnsi="Times New Roman"/>
                <w:sz w:val="20"/>
              </w:rPr>
              <w:t>FOR</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283"/>
              <w:rPr>
                <w:sz w:val="4"/>
                <w:szCs w:val="4"/>
              </w:rPr>
            </w:pPr>
            <w:r>
              <w:rPr>
                <w:sz w:val="4"/>
                <w:szCs w:val="4"/>
              </w:rPr>
            </w:r>
          </w:p>
        </w:tc>
        <w:tc>
          <w:tcPr>
            <w:tcW w:w="158" w:type="dxa"/>
            <w:gridSpan w:val="2"/>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0"/>
              <w:rPr/>
            </w:pPr>
            <w:r>
              <w:rPr/>
              <w:t>☐   </w:t>
            </w:r>
            <w:r>
              <w:rPr>
                <w:rFonts w:ascii="Times New Roman" w:hAnsi="Times New Roman"/>
                <w:sz w:val="20"/>
              </w:rPr>
              <w:t>AGAINST</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283"/>
              <w:rPr>
                <w:sz w:val="4"/>
                <w:szCs w:val="4"/>
              </w:rPr>
            </w:pPr>
            <w:r>
              <w:rPr>
                <w:sz w:val="4"/>
                <w:szCs w:val="4"/>
              </w:rPr>
            </w:r>
          </w:p>
        </w:tc>
        <w:tc>
          <w:tcPr>
            <w:tcW w:w="158" w:type="dxa"/>
            <w:gridSpan w:val="2"/>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0"/>
              <w:rPr/>
            </w:pPr>
            <w:r>
              <w:rPr/>
              <w:t>☐   </w:t>
            </w:r>
            <w:r>
              <w:rPr>
                <w:rFonts w:ascii="Times New Roman" w:hAnsi="Times New Roman"/>
                <w:sz w:val="20"/>
              </w:rPr>
              <w:t>ABSTAIN</w:t>
            </w:r>
          </w:p>
        </w:tc>
        <w:tc>
          <w:tcPr>
            <w:tcW w:w="120" w:type="dxa"/>
            <w:tcBorders/>
            <w:shd w:fill="auto" w:val="clear"/>
            <w:vAlign w:val="center"/>
          </w:tcPr>
          <w:p>
            <w:pPr>
              <w:pStyle w:val="TableContents"/>
              <w:spacing w:before="0" w:after="283"/>
              <w:rPr/>
            </w:pPr>
            <w:r>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pPr>
      <w:r>
        <w:rPr/>
        <w:t> </w:t>
      </w:r>
    </w:p>
    <w:tbl>
      <w:tblPr>
        <w:tblW w:w="11495" w:type="dxa"/>
        <w:jc w:val="left"/>
        <w:tblInd w:w="0" w:type="dxa"/>
        <w:tblCellMar>
          <w:top w:w="0" w:type="dxa"/>
          <w:left w:w="0" w:type="dxa"/>
          <w:bottom w:w="0" w:type="dxa"/>
          <w:right w:w="0" w:type="dxa"/>
        </w:tblCellMar>
      </w:tblPr>
      <w:tblGrid>
        <w:gridCol w:w="11495"/>
      </w:tblGrid>
      <w:tr>
        <w:trPr/>
        <w:tc>
          <w:tcPr>
            <w:tcW w:w="11495" w:type="dxa"/>
            <w:tcBorders/>
            <w:shd w:fill="auto" w:val="clear"/>
            <w:vAlign w:val="center"/>
          </w:tcPr>
          <w:p>
            <w:pPr>
              <w:pStyle w:val="TableContents"/>
              <w:spacing w:before="0" w:after="283"/>
              <w:rPr>
                <w:sz w:val="4"/>
                <w:szCs w:val="4"/>
              </w:rPr>
            </w:pPr>
            <w:r>
              <w:rPr>
                <w:sz w:val="4"/>
                <w:szCs w:val="4"/>
              </w:rPr>
            </w:r>
          </w:p>
        </w:tc>
      </w:tr>
      <w:tr>
        <w:trPr/>
        <w:tc>
          <w:tcPr>
            <w:tcW w:w="11495" w:type="dxa"/>
            <w:tcBorders/>
            <w:shd w:fill="auto" w:val="clear"/>
            <w:vAlign w:val="center"/>
          </w:tcPr>
          <w:p>
            <w:pPr>
              <w:pStyle w:val="TableContents"/>
              <w:spacing w:before="0" w:after="283"/>
              <w:rPr/>
            </w:pPr>
            <w:r>
              <w:rPr/>
              <w:t>Signature of Stockholder:  </w:t>
            </w:r>
            <w:r>
              <w:rPr>
                <w:u w:val="single"/>
              </w:rPr>
              <w:t>                                                                                                                                            </w:t>
            </w:r>
            <w:r>
              <w:rPr/>
              <w:t> Date: </w:t>
            </w:r>
            <w:r>
              <w:rPr>
                <w:u w:val="single"/>
              </w:rPr>
              <w:t>                        </w:t>
            </w:r>
          </w:p>
        </w:tc>
      </w:tr>
    </w:tbl>
    <w:p>
      <w:pPr>
        <w:pStyle w:val="TextBody"/>
        <w:spacing w:before="720" w:after="0"/>
        <w:jc w:val="left"/>
        <w:rPr>
          <w:rFonts w:ascii="Times New Roman" w:hAnsi="Times New Roman"/>
          <w:sz w:val="22"/>
        </w:rPr>
      </w:pPr>
      <w:r>
        <w:rPr>
          <w:rFonts w:ascii="Times New Roman" w:hAnsi="Times New Roman"/>
          <w:b/>
          <w:sz w:val="22"/>
        </w:rPr>
        <w:t xml:space="preserve">Note: </w:t>
      </w:r>
      <w:r>
        <w:rPr>
          <w:rFonts w:ascii="Times New Roman" w:hAnsi="Times New Roman"/>
          <w:sz w:val="22"/>
        </w:rPr>
        <w:t xml:space="preserve">Please sign exactly as your name or names appear on this Proxy. When shares are held jointly, each holder should sign. When signing as executor, administrator, attorney, trustee or guardian, please give full title as such. If the signer is a corporation, please sign in full corporate name by duly authorized officer, giving full title as such. If signer is a partnership, please sign in partnership name by authorized person. </w:t>
      </w:r>
    </w:p>
    <w:p>
      <w:pPr>
        <w:pStyle w:val="TextBody"/>
        <w:spacing w:before="480" w:after="0"/>
        <w:jc w:val="left"/>
        <w:rPr>
          <w:rFonts w:ascii="Times New Roman" w:hAnsi="Times New Roman"/>
          <w:sz w:val="22"/>
        </w:rPr>
      </w:pPr>
      <w:r>
        <w:rPr>
          <w:rFonts w:ascii="Times New Roman" w:hAnsi="Times New Roman"/>
          <w:sz w:val="22"/>
        </w:rPr>
        <w:t xml:space="preserve">Name: </w:t>
      </w:r>
    </w:p>
    <w:p>
      <w:pPr>
        <w:pStyle w:val="TextBody"/>
        <w:spacing w:before="0" w:after="0"/>
        <w:jc w:val="left"/>
        <w:rPr>
          <w:rFonts w:ascii="Times New Roman" w:hAnsi="Times New Roman"/>
          <w:sz w:val="22"/>
        </w:rPr>
      </w:pPr>
      <w:r>
        <w:rPr>
          <w:rFonts w:ascii="Times New Roman" w:hAnsi="Times New Roman"/>
          <w:sz w:val="22"/>
        </w:rPr>
        <w:t xml:space="preserve">Number of Shares of Class B Common Stock Held on March 13, 2023: </w:t>
      </w:r>
    </w:p>
    <w:p>
      <w:pPr>
        <w:pStyle w:val="TextBody"/>
        <w:spacing w:before="0" w:after="0"/>
        <w:jc w:val="left"/>
        <w:rPr>
          <w:rFonts w:ascii="Times New Roman" w:hAnsi="Times New Roman"/>
          <w:sz w:val="22"/>
        </w:rPr>
      </w:pPr>
      <w:r>
        <w:rPr>
          <w:rFonts w:ascii="Times New Roman" w:hAnsi="Times New Roman"/>
          <w:sz w:val="22"/>
        </w:rPr>
        <w:t xml:space="preserve">Number of Shares of Series AA Preferred Stock Held on March 13, 2023: </w:t>
      </w:r>
    </w:p>
    <w:p>
      <w:pPr>
        <w:pStyle w:val="TextBody"/>
        <w:spacing w:before="0" w:after="0"/>
        <w:jc w:val="left"/>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51</Pages>
  <Words>20587</Words>
  <CharactersWithSpaces>131520</CharactersWithSpaces>
  <Paragraphs>3645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