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680720</wp:posOffset>
            </wp:positionV>
            <wp:extent cx="650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706120</wp:posOffset>
            </wp:positionV>
            <wp:extent cx="6506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8, 2024</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LAMAR ADVERTISING COMPANY</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registrants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29" w:lineRule="exact"/>
        <w:rPr>
          <w:sz w:val="24"/>
          <w:szCs w:val="24"/>
          <w:color w:val="auto"/>
        </w:rPr>
      </w:pPr>
    </w:p>
    <w:tbl>
      <w:tblPr>
        <w:tblLayout w:type="fixed"/>
        <w:tblInd w:w="1180" w:type="dxa"/>
        <w:tblCellMar>
          <w:top w:w="0" w:type="dxa"/>
          <w:left w:w="0" w:type="dxa"/>
          <w:bottom w:w="0" w:type="dxa"/>
          <w:right w:w="0" w:type="dxa"/>
        </w:tblCellMar>
      </w:tblPr>
      <w:tr>
        <w:trPr>
          <w:trHeight w:val="212"/>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001-36756</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47-0961620</w:t>
            </w:r>
          </w:p>
        </w:tc>
      </w:tr>
      <w:tr>
        <w:trPr>
          <w:trHeight w:val="220"/>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(States or other jurisdictions</w:t>
            </w:r>
          </w:p>
        </w:tc>
        <w:tc>
          <w:tcPr>
            <w:tcW w:w="3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Numbers)</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Identification Nos.)</w:t>
            </w:r>
          </w:p>
        </w:tc>
      </w:tr>
    </w:tbl>
    <w:p>
      <w:pPr>
        <w:spacing w:after="0" w:line="38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5321 Corporate Blvd., Baton Rouge, Louisiana 70808</w:t>
      </w:r>
    </w:p>
    <w:p>
      <w:pPr>
        <w:spacing w:after="0" w:line="3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offices and zip code)</w:t>
      </w:r>
    </w:p>
    <w:p>
      <w:pPr>
        <w:spacing w:after="0" w:line="3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(225) 926-1000</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w:t>
      </w: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 since last report)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49" w:lineRule="exact"/>
        <w:rPr>
          <w:sz w:val="24"/>
          <w:szCs w:val="24"/>
          <w:color w:val="auto"/>
        </w:rPr>
      </w:pPr>
    </w:p>
    <w:p>
      <w:pPr>
        <w:ind w:left="980" w:hanging="567"/>
        <w:spacing w:after="0"/>
        <w:tabs>
          <w:tab w:leader="none" w:pos="9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5"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Lamar Advertising Company securities registered pursuant to Section 12(b) of the Act:</w:t>
      </w:r>
    </w:p>
    <w:p>
      <w:pPr>
        <w:spacing w:after="0" w:line="71" w:lineRule="exact"/>
        <w:rPr>
          <w:sz w:val="24"/>
          <w:szCs w:val="24"/>
          <w:color w:val="auto"/>
        </w:rPr>
      </w:pPr>
    </w:p>
    <w:tbl>
      <w:tblPr>
        <w:tblLayout w:type="fixed"/>
        <w:tblInd w:w="52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56"/>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9"/>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8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LAMR</w:t>
            </w:r>
          </w:p>
        </w:tc>
        <w:tc>
          <w:tcPr>
            <w:tcW w:w="10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79"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83" w:lineRule="exact"/>
        <w:rPr>
          <w:sz w:val="24"/>
          <w:szCs w:val="24"/>
          <w:color w:val="auto"/>
        </w:rPr>
      </w:pPr>
    </w:p>
    <w:p>
      <w:pPr>
        <w:ind w:left="7260"/>
        <w:spacing w:after="0"/>
        <w:tabs>
          <w:tab w:leader="none" w:pos="100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Wingdings" w:cs="Wingdings" w:eastAsia="Wingdings" w:hAnsi="Wingdings"/>
          <w:sz w:val="15"/>
          <w:szCs w:val="15"/>
          <w:b w:val="1"/>
          <w:bCs w:val="1"/>
          <w:color w:val="auto"/>
        </w:rPr>
        <w:t>o</w:t>
      </w:r>
    </w:p>
    <w:p>
      <w:pPr>
        <w:spacing w:after="0" w:line="221" w:lineRule="exact"/>
        <w:rPr>
          <w:sz w:val="24"/>
          <w:szCs w:val="24"/>
          <w:color w:val="auto"/>
        </w:rPr>
      </w:pPr>
    </w:p>
    <w:p>
      <w:pPr>
        <w:ind w:right="52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10795</wp:posOffset>
            </wp:positionV>
            <wp:extent cx="6506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36195</wp:posOffset>
            </wp:positionV>
            <wp:extent cx="6506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ectPr>
          <w:pgSz w:w="11900" w:h="16838" w:orient="portrait"/>
          <w:cols w:equalWidth="0" w:num="1">
            <w:col w:w="11180"/>
          </w:cols>
          <w:pgMar w:left="320" w:top="118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August 8, 2024, Lamar Advertising Company announced via press release its results for the quarter ended June 30, 2024. A copy of Lamar’s press release is hereby furnished to the Commission and incorporated by reference herein as Exhibit 99.1.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6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340" w:type="dxa"/>
            <w:vAlign w:val="bottom"/>
            <w:vMerge w:val="restart"/>
          </w:tcPr>
          <w:p>
            <w:pPr>
              <w:spacing w:after="0"/>
              <w:rPr>
                <w:sz w:val="17"/>
                <w:szCs w:val="17"/>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400" w:type="dxa"/>
            <w:vAlign w:val="bottom"/>
            <w:gridSpan w:val="3"/>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vMerge w:val="continue"/>
          </w:tcPr>
          <w:p>
            <w:pPr>
              <w:spacing w:after="0" w:line="20" w:lineRule="exact"/>
              <w:rPr>
                <w:sz w:val="1"/>
                <w:szCs w:val="1"/>
                <w:color w:val="auto"/>
              </w:rPr>
            </w:pPr>
          </w:p>
        </w:tc>
        <w:tc>
          <w:tcPr>
            <w:tcW w:w="900" w:type="dxa"/>
            <w:vAlign w:val="bottom"/>
            <w:tcBorders>
              <w:bottom w:val="single" w:sz="8" w:color="auto"/>
            </w:tcBorders>
            <w:vMerge w:val="continue"/>
          </w:tcPr>
          <w:p>
            <w:pPr>
              <w:spacing w:after="0" w:line="20" w:lineRule="exact"/>
              <w:rPr>
                <w:sz w:val="1"/>
                <w:szCs w:val="1"/>
                <w:color w:val="auto"/>
              </w:rPr>
            </w:pPr>
          </w:p>
        </w:tc>
        <w:tc>
          <w:tcPr>
            <w:tcW w:w="94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of Lamar Advertising Company, dated August 8, 2024, reporting Lamar’s financial results for the quarter</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ended June 30, 2024.</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8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(embedded within the Inline XBRL document).</w:t>
            </w:r>
          </w:p>
        </w:tc>
        <w:tc>
          <w:tcPr>
            <w:tcW w:w="0" w:type="dxa"/>
            <w:vAlign w:val="bottom"/>
          </w:tcPr>
          <w:p>
            <w:pPr>
              <w:spacing w:after="0"/>
              <w:rPr>
                <w:sz w:val="1"/>
                <w:szCs w:val="1"/>
                <w:color w:val="auto"/>
              </w:rPr>
            </w:pPr>
          </w:p>
        </w:tc>
      </w:tr>
      <w:tr>
        <w:trPr>
          <w:trHeight w:val="979"/>
        </w:trPr>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706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tc>
      </w:tr>
      <w:tr>
        <w:trPr>
          <w:trHeight w:val="297"/>
        </w:trPr>
        <w:tc>
          <w:tcPr>
            <w:tcW w:w="3180" w:type="dxa"/>
            <w:vAlign w:val="bottom"/>
          </w:tcPr>
          <w:p>
            <w:pPr>
              <w:spacing w:after="0"/>
              <w:rPr>
                <w:sz w:val="24"/>
                <w:szCs w:val="24"/>
                <w:color w:val="auto"/>
              </w:rPr>
            </w:pPr>
          </w:p>
        </w:tc>
        <w:tc>
          <w:tcPr>
            <w:tcW w:w="2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3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4"/>
        </w:trPr>
        <w:tc>
          <w:tcPr>
            <w:tcW w:w="3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ectPr>
          <w:pgSz w:w="11900" w:h="16838" w:orient="portrait"/>
          <w:cols w:equalWidth="0" w:num="1">
            <w:col w:w="10620"/>
          </w:cols>
          <w:pgMar w:left="320" w:top="995" w:right="9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2882900</wp:posOffset>
            </wp:positionH>
            <wp:positionV relativeFrom="page">
              <wp:posOffset>423545</wp:posOffset>
            </wp:positionV>
            <wp:extent cx="178308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83080" cy="240030"/>
                    </a:xfrm>
                    <a:prstGeom prst="rect">
                      <a:avLst/>
                    </a:prstGeom>
                    <a:noFill/>
                  </pic:spPr>
                </pic:pic>
              </a:graphicData>
            </a:graphic>
          </wp:anchor>
        </w:drawing>
        <w:t>5321 Corporate Boulevard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Baton Rouge, LA 70808</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Quarter Ended June 30, 2024 Operating Results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Three Month Results</w:t>
      </w:r>
    </w:p>
    <w:p>
      <w:pPr>
        <w:spacing w:after="0" w:line="119" w:lineRule="exact"/>
        <w:rPr>
          <w:sz w:val="20"/>
          <w:szCs w:val="20"/>
          <w:color w:val="auto"/>
        </w:rPr>
      </w:pPr>
    </w:p>
    <w:p>
      <w:pPr>
        <w:ind w:left="2840" w:hanging="240"/>
        <w:spacing w:after="0"/>
        <w:tabs>
          <w:tab w:leader="none" w:pos="2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$565.3 million</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$137.6 million</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$271.6 million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Six Month Results</w:t>
      </w:r>
    </w:p>
    <w:p>
      <w:pPr>
        <w:spacing w:after="0" w:line="119" w:lineRule="exact"/>
        <w:rPr>
          <w:sz w:val="20"/>
          <w:szCs w:val="20"/>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$1.06 billion</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$216.1 million</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$483.5 million</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Baton Rouge, LA – August 8, 2024 - Lamar Advertising Company (the “Company” or “Lamar”) (Nasdaq: LAMR), a leading owner and operator of outdoor advertising and logo sign displays, announces the Company’s operating results for the second quarter ended June 30,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delivered solid revenue growth in the second quarter, buoyed by continued strong demand from local and regional advertisers,” Lamar chief executive Sean Reilly said. "The revenue gain, combined with continued discipline on expenses, allowed us to produce adjusted EBITDA growth of nearly 7% and diluted AFFO per share growth of 9.5%. Also, we continue to pace at the top end of our previously provided guidance of $7.75 to $7.90 for full year diluted AFFO per share.”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Second Quarter Highlights</w:t>
      </w:r>
    </w:p>
    <w:p>
      <w:pPr>
        <w:spacing w:after="0" w:line="254" w:lineRule="exact"/>
        <w:rPr>
          <w:sz w:val="20"/>
          <w:szCs w:val="20"/>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4.5%</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6.9%</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AFFO per share increased 9.5%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reported net revenues of $565.3 million for the second quarter of 2024 versus $541.1 million for the second quarter of 2023, a 4.5% increase. Operating income for the second quarter of 2024 increased $7.4 million to $184.2 million as compared to $176.8 million for the same period in 2023. Lamar recognized net income of $137.6 million for the second quarter of 2024 as compared to net income of $130.9 million for the same period in 2023, an increase of $6.7 million. Net income per diluted share was $1.34 and $1.28 for the three months ended June 30, 2024 and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second quarter of 2024 was $271.6 million versus $253.9 million for the second quarter of 2023, an increase of 6.9%.</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was $256.3 million for the three months ended June 30, 2024 versus $198.2 million for the second quarter of 2023, an increase of $58.2 million. Free cash flow for the second quarter of 2024 was $203.5 million as compared to $159.2 million for the same period in 2023, a 27.8% increase.</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second quarter of 2024, funds from operations, or FFO, was $209.3 million versus $200.6 million for the same period in 2023, an increase of 4.3%. Adjusted funds from operations, or AFFO, for the second quarter of 2024 was $213.5 million compared to $194.4 million for the same period in 2023, an increase of 9.8%. Diluted AFFO per share increased 9.5% to $2.08 for the three months ended June 30, 2024 as compared to $1.90 for the same period in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Acquisition-Adjusted Three Months Results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Acquisition-adjusted net revenue for the second quarter of 2024 increased 3.9% over acquisition-adjusted net revenue for the second quarter of 2023. Acquisition-adjusted EBITDA for the second quarter of 2024 increased 6.3% as compared to acquisition-adjusted EBITDA for the second quarter of 2023. Acquisition-adjusted net revenue and acquisition-adjusted EBITDA include adjustments to the 2023 period for acquisitions and divestitures for the same time frame as actually owned in</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363" w:right="339" w:bottom="1440" w:gutter="0" w:footer="0" w:header="0"/>
          <w:type w:val="continuous"/>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the 2024 period. See “Reconciliation of Reported Basis to Acquisition-Adjusted Results”, which provides reconciliations to GAAP for acquisition-adjusted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Six Month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Lamar reported net revenues of $1.06 billion for the six months ended June 30, 2024 versus $1.01 billion for the six months ended June 30, 2023, a 5.0% increase. Operating income for the six months ended June 30, 2024 increased $13.2 million to $308.8 million as compared to $295.6 million for the same period in 2023. Lamar recognized net income of $216.1 million for the six months ended June 30, 2024 as compared to net income of $207.1 million for the same period in 2023, an increase of $9.0 million. Net income per diluted share was $2.10 and $2.02 for the six months ended June 30, 2024 and 2023,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six months ended June 30, 2024 was $483.5 million versus $451.9 million for the same period in 2023, an increase of 7.0%.</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was $366.9 million for the six months ended June 30, 2024, an increase of $60.0 million as compared to the same period in 2023. Free cash flow for the six months ended June 30, 2024 was $342.2 million as compared to $272.5 million for the same period in 2023, a 25.6% increase.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funds from operations, or FFO, was $357.8 million versus $344.1 million for the same period in 2023, an increase of 4.0%. Adjusted funds from operations, or AFFO, for the six months ended June 30, 2024 was $371.8 million compared to $338.5 million for the same period in 2023, an increase of 9.8%. Diluted AFFO per share increased 9.3% to $3.63 for the six months ended June 30, 2024 as compared to $3.32 for the same period in 2023.</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Lamar had $744.3 million in total liquidity that consisted of $666.4 million available for borrowing under its revolving senior credit facility and $77.9 million in cash and cash equivalents. There were $75.0 million in borrowings outstanding under the Company’s revolving credit facility and $250.0 million outstanding under the Accounts Receivable Securitization Program as of the same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2024, Lamar Media paid in full its $350.0 million in Term A loans outstanding under our Senior Credit Facility. The Term A loans were repaid using a combination of borrowings under our revolving credit facility and cash on hand. Currently, the Company has $315.0 million in borrowings outstanding under the revolving credit facility.</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24, 2024, Lamar entered into an equity distribution or At-the-Market Offering agreement (the “ATM agreement”). Under the terms of the ATM Agreement, Lamar may, from time to time, issue and sell shares of its Class A common stock having an aggregate offering price of up to $400.0 million through the sales agents party to the ATM Agreement. The ATM Agreement replaces a prior equity distribution agreement with substantially similar terms between the Company and certain sales agents, which expired by its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sales trends. These statements are subject to risks and uncertainties that could cause actual results to differ materially from those projected in these forward-looking statements. These risks and uncertainties include, among others: (1) our significant indebtedness; (2) the state of the economy and financial markets generally, and the effect of the broader economy on the demand for advertising; (3) the continued popularity of outdoor advertising as an advertising medium; (4) our need for and ability to obtain additional funding for operations, debt refinancing or acquisitions; (5) our ability to continue to qualify as a Real Estate Investment Trust (“REIT”) and maintain our status as a REIT; (6) the regulation of the outdoor advertising industry by federal, state and local governments; (7) the integration of companies and assets that we acquire and our ability to recognize cost savings or operating efficiencies as a result of these acquisitions; (8) changes in accounting principles, policies or guidelines; (9) changes in tax laws applicable to REITs or in the interpretation of those laws; (10) our ability to renew expiring contracts at favorable rates;</w:t>
      </w:r>
    </w:p>
    <w:p>
      <w:pPr>
        <w:spacing w:after="0" w:line="1" w:lineRule="exact"/>
        <w:rPr>
          <w:sz w:val="20"/>
          <w:szCs w:val="20"/>
          <w:color w:val="auto"/>
        </w:rPr>
      </w:pPr>
    </w:p>
    <w:p>
      <w:pPr>
        <w:jc w:val="both"/>
        <w:ind w:firstLine="8"/>
        <w:spacing w:after="0" w:line="253"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 and (12) the market for our Class A common stock. For additional information regarding factors that may cause actual results to differ materially from those indicated in our forward-looking statements, we refer you to the risk factors included in Item 1A of our Annual Report on Form 10-K for the year ended December 31, 2023, as supplemented by any risk factors contained in our Quarterly Reports on Form 10-Q and our Current Reports on Form 8-K. We caution investors not to place undue reliance on the forward-looking statements contained in this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756"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document. These statements speak only as of the date of this document, and we undertake no obligation to update or revise the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presented the following measures that are not measures of performance under accounting principles generally accepted in the United States of America (“GAAP”): adjusted earnings before interest, taxes, depreciation and amortization (“adjusted EBITDA”), free cash flow, funds from operations (“FFO”), adjusted funds from operations (“AFFO”), diluted AFFO per share, outdoor operating income, acquisition-adjusted results and acquisition-adjusted consolidated expense. Our management reviews our performance by focusing on these key performance indicators not prepared in conformity with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Non-GAAP financial measures are determined as follows:</w:t>
      </w:r>
    </w:p>
    <w:p>
      <w:pPr>
        <w:spacing w:after="0" w:line="252"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income before income tax expense (benefit), interest expense (income), loss (gain) on extinguishment of debt and investments, equity in (earnings) loss of investee, stock-based compensation, depreciation and amortization, loss (gain) on disposition of assets and investments, transaction expenses and investments and capitalized contract fulfillment costs, net.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defined as adjusted EBITDA divided by net revenues.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defined as adjusted EBITDA less interest, net of interest income and amortization of deferred financing costs, current taxes, preferred stock dividends and total capital expenditures.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National Association of Real Estate Investment Trusts definition of FFO, which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AFFO per share is defined as AFFO divided by weighted average diluted common shares outstanding.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operating income is defined as operating income before corporate expenses, stock-based compensation, capitalized contract fulfillment costs, net, transaction expenses, depreciation and amortization and loss (gain) on disposition of assets.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results adjusts our net revenue, direct and general and administrative expenses, outdoor operating income, corporate expense and EBITDA for the prior period by adding to, or subtracting from, the corresponding revenue or expense generated by the acquired or divested assets before our acquisition or divestiture of these assets for the same time frame that those assets were owned in the current period. In calculating acquisition-adjusted results, therefore, we include revenue and expenses generated by assets that we did not own in the prior period but acquired in the current period. We refer to the amount of pre-acquisition revenue and expense generated by or subtracted from the acquired assets during the prior period that corresponds with the current period in which we owned the assets (to the extent within the period to which this report relates) as “acquisition-adjusted results”.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consolidated expense adjusts our total operating expense to remove the impact of stock-based compensation, depreciation and amortization, transaction expenses, capitalized contract fulfillment costs, net, and loss (gain) on disposition of assets and investments. The prior period is also adjusted to include the expense generated by the acquired or divested assets before our acquisition or divestiture of such assets for the same time frame that those assets were owned in the current period.</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FFO, AFFO, diluted AFFO per share, free cash flow, outdoor operating income, acquisition-adjusted results and acquisition-adjusted consolidated expense are not intended to replace other performance measures determined in accordance with GAAP. Free cash flow, FFO and AFFO do not represent cash flows from operating activities in accordance with GAAP and, therefore, these measures should not be considered indicative of cash flows from operating activities as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756"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measure of liquidity or of funds available to fund our cash needs, including our ability to make cash distributions. Adjusted EBITDA, free cash flow, FFO, AFFO, diluted AFFO per share, outdoor operating income, acquisition-adjusted results and acquisition-adjusted consolidated expense are presented as we believe each is a useful indicator of our current operating performance. Specifically,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it excludes the impact of depreciation and amortization, which may vary significantly among companies, depending upon accounting methods and useful lives, particularly where acquisitions and non-operating factors are involved; (3) adjusted EBITDA, FFO, AFFO, diluted AFFO per share and acquisition-adjusted consolidated expense each provides investors with a meaningful measure for evaluating our period-over-period operating performance by eliminating items that are not operational in nature and reflect the impact on operations from trends in occupancy rates, operating costs, general and administrative expenses and interest costs;</w:t>
      </w:r>
    </w:p>
    <w:p>
      <w:pPr>
        <w:spacing w:after="0" w:line="6" w:lineRule="exact"/>
        <w:rPr>
          <w:sz w:val="20"/>
          <w:szCs w:val="20"/>
          <w:color w:val="auto"/>
        </w:rPr>
      </w:pPr>
    </w:p>
    <w:p>
      <w:pPr>
        <w:jc w:val="both"/>
        <w:ind w:firstLine="8"/>
        <w:spacing w:after="0" w:line="252"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results is a supplement to enable investors to compare period-over-period results on a more consistent basis without the effects of acquisitions and divestitures, which reflects our core performance and organic growth (if any) during the period in which the assets were owned and managed by us; (5) free cash flow is an indicator of our ability to service debt and generate cash for acquisitions and other strategic investments; (6) outdoor operating income provides investors a measurement of our core results without the impact of fluctuations in stock-based compensation, depreciation and amortization and corporate expenses; and (7) each of our Non-GAAP measures provides investors with a measure for comparing our results of operations to those of other companies.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measurement of adjusted EBITDA, FFO, AFFO, diluted AFFO per share, free cash flow, outdoor operating income, acquisition-adjusted results and acquisition-adjusted consolidated expense may not, however, be fully comparable to similarly titled measures used by other companies. Reconciliations of adjusted EBITDA, FFO, AFFO, diluted AFFO per share, free cash flow, outdoor operating income, acquisition-adjusted results and acquisition-adjusted consolidated expense to the most directly comparable GAAP measures have been included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conference call will be held to discuss the Company’s operating results on Thursday, August 8, 2024 at 8:00 a.m. central time. Instructions for the conference call and Webcast are provided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Conference Call</w:t>
            </w:r>
          </w:p>
        </w:tc>
        <w:tc>
          <w:tcPr>
            <w:tcW w:w="1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All Callers:</w:t>
            </w:r>
          </w:p>
        </w:tc>
        <w:tc>
          <w:tcPr>
            <w:tcW w:w="56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1-800-420-1271 or 1-785-424-1634</w:t>
            </w:r>
          </w:p>
        </w:tc>
        <w:tc>
          <w:tcPr>
            <w:tcW w:w="0" w:type="dxa"/>
            <w:vAlign w:val="bottom"/>
          </w:tcPr>
          <w:p>
            <w:pPr>
              <w:spacing w:after="0"/>
              <w:rPr>
                <w:sz w:val="1"/>
                <w:szCs w:val="1"/>
                <w:color w:val="auto"/>
              </w:rPr>
            </w:pPr>
          </w:p>
        </w:tc>
      </w:tr>
      <w:tr>
        <w:trPr>
          <w:trHeight w:val="238"/>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Passcode:</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63104</w:t>
            </w: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Webcast:</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www.lamar.com/About/Investors/Presentations</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Webcast Replay:</w:t>
            </w:r>
          </w:p>
        </w:tc>
        <w:tc>
          <w:tcPr>
            <w:tcW w:w="16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800" w:type="dxa"/>
            <w:vAlign w:val="bottom"/>
            <w:gridSpan w:val="2"/>
            <w:vMerge w:val="continue"/>
          </w:tcPr>
          <w:p>
            <w:pPr>
              <w:spacing w:after="0"/>
              <w:rPr>
                <w:sz w:val="24"/>
                <w:szCs w:val="24"/>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www.lamar.com/About/Investors/Presentations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333333"/>
                <w:w w:val="99"/>
              </w:rPr>
              <w:t>Available through Thursday, August 15, 2024 at 11:59 p.m. eastern time</w:t>
            </w:r>
          </w:p>
        </w:tc>
        <w:tc>
          <w:tcPr>
            <w:tcW w:w="0" w:type="dxa"/>
            <w:vAlign w:val="bottom"/>
          </w:tcPr>
          <w:p>
            <w:pPr>
              <w:spacing w:after="0"/>
              <w:rPr>
                <w:sz w:val="1"/>
                <w:szCs w:val="1"/>
                <w:color w:val="auto"/>
              </w:rPr>
            </w:pPr>
          </w:p>
        </w:tc>
      </w:tr>
      <w:tr>
        <w:trPr>
          <w:trHeight w:val="49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Contact:</w:t>
            </w: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Buster Kantrow</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Investor Relations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(225) 926-1000</w:t>
            </w: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bkantrow@lamar.com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1902, Lamar Advertising (Nasdaq: LAMR) is one of the largest outdoor advertising companies in North America, with over 360,000 displays across the United States and Canada. Lamar offers advertisers a variety of billboard, interstate logo, transit and airport advertising formats, helping both local businesses and national brands reach broad audiences every day. In addition to its more traditional out-of-home inventory, Lamar is proud to offer its customers the largest network of digital billboards in the United States with over 4,800 displays.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85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66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716,877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206,661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2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52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102,248,621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101,917,200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102,181,890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101,855,104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102,594,217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102,104,429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102,522,569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102,047,875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Free Cash Flow Computation:</w:t>
            </w:r>
          </w:p>
        </w:tc>
        <w:tc>
          <w:tcPr>
            <w:tcW w:w="3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752" w:right="339" w:bottom="1440" w:gutter="0" w:footer="0" w:header="0"/>
        </w:sectPr>
      </w:pPr>
    </w:p>
    <w:bookmarkStart w:id="8" w:name="page9"/>
    <w:bookmarkEnd w:id="8"/>
    <w:p>
      <w:pPr>
        <w:ind w:left="4320"/>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SELECTED BALANCE SHEET AND CASH FLOW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Selected Balance Sheet Data:</w:t>
            </w:r>
          </w:p>
        </w:tc>
        <w:tc>
          <w:tcPr>
            <w:tcW w:w="3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44,605</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(340,711)</w:t>
            </w: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6,582,421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6,563,622</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debt, net of deferred financing costs (including current maturities)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3,341,127</w:t>
            </w:r>
          </w:p>
        </w:tc>
      </w:tr>
      <w:tr>
        <w:trPr>
          <w:trHeight w:val="234"/>
        </w:trPr>
        <w:tc>
          <w:tcPr>
            <w:tcW w:w="20" w:type="dxa"/>
            <w:vAlign w:val="bottom"/>
          </w:tcPr>
          <w:p>
            <w:pPr>
              <w:spacing w:after="0"/>
              <w:rPr>
                <w:sz w:val="20"/>
                <w:szCs w:val="20"/>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1,198,409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1,216,788</w:t>
            </w:r>
          </w:p>
        </w:tc>
      </w:tr>
      <w:tr>
        <w:trPr>
          <w:trHeight w:val="495"/>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264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51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Selected Cash Flow Data:</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256,342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306,874</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31,645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130,009</w:t>
            </w:r>
          </w:p>
        </w:tc>
      </w:tr>
      <w:tr>
        <w:trPr>
          <w:trHeight w:val="234"/>
        </w:trPr>
        <w:tc>
          <w:tcPr>
            <w:tcW w:w="20" w:type="dxa"/>
            <w:vAlign w:val="bottom"/>
          </w:tcPr>
          <w:p>
            <w:pPr>
              <w:spacing w:after="0"/>
              <w:rPr>
                <w:sz w:val="20"/>
                <w:szCs w:val="20"/>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183,118</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256,744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64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20" w:type="dxa"/>
            <w:vAlign w:val="bottom"/>
            <w:shd w:val="clear" w:color="auto" w:fill="CCEEFF"/>
          </w:tcPr>
          <w:p>
            <w:pPr>
              <w:spacing w:after="0"/>
              <w:rPr>
                <w:sz w:val="15"/>
                <w:szCs w:val="15"/>
                <w:color w:val="auto"/>
              </w:rPr>
            </w:pPr>
          </w:p>
        </w:tc>
        <w:tc>
          <w:tcPr>
            <w:tcW w:w="5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Cash Flows Provided by Operating Activities to Free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Cash Flow:</w:t>
            </w:r>
          </w:p>
        </w:tc>
        <w:tc>
          <w:tcPr>
            <w:tcW w:w="4120" w:type="dxa"/>
            <w:vAlign w:val="bottom"/>
            <w:tcBorders>
              <w:top w:val="single" w:sz="8" w:color="auto"/>
              <w:bottom w:val="single" w:sz="8" w:color="CCEEFF"/>
            </w:tcBorders>
            <w:gridSpan w:val="3"/>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366,904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306,874</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64,457</w:t>
            </w:r>
          </w:p>
        </w:tc>
      </w:tr>
      <w:tr>
        <w:trPr>
          <w:trHeight w:val="229"/>
        </w:trPr>
        <w:tc>
          <w:tcPr>
            <w:tcW w:w="20" w:type="dxa"/>
            <w:vAlign w:val="bottom"/>
          </w:tcPr>
          <w:p>
            <w:pPr>
              <w:spacing w:after="0"/>
              <w:rPr>
                <w:sz w:val="19"/>
                <w:szCs w:val="19"/>
                <w:color w:val="auto"/>
              </w:rPr>
            </w:pPr>
          </w:p>
        </w:tc>
        <w:tc>
          <w:tcPr>
            <w:tcW w:w="5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(93,007)</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20" w:type="dxa"/>
            <w:vAlign w:val="bottom"/>
          </w:tcPr>
          <w:p>
            <w:pPr>
              <w:spacing w:after="0"/>
              <w:rPr>
                <w:sz w:val="19"/>
                <w:szCs w:val="19"/>
                <w:color w:val="auto"/>
              </w:rPr>
            </w:pPr>
          </w:p>
        </w:tc>
        <w:tc>
          <w:tcPr>
            <w:tcW w:w="5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159,213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342,192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272,498</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780" w:type="dxa"/>
            <w:vAlign w:val="bottom"/>
            <w:tcBorders>
              <w:bottom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Reconciliation of Net Income to Adjusted EBITDA:</w:t>
            </w:r>
          </w:p>
        </w:tc>
        <w:tc>
          <w:tcPr>
            <w:tcW w:w="148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230"/>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85,093</w:t>
            </w:r>
          </w:p>
        </w:tc>
      </w:tr>
      <w:tr>
        <w:trPr>
          <w:trHeight w:val="22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295,592</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r>
      <w:tr>
        <w:trPr>
          <w:trHeight w:val="22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w:t>
            </w:r>
          </w:p>
        </w:tc>
      </w:tr>
      <w:tr>
        <w:trPr>
          <w:trHeight w:val="230"/>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23"/>
        </w:trPr>
        <w:tc>
          <w:tcPr>
            <w:tcW w:w="20" w:type="dxa"/>
            <w:vAlign w:val="bottom"/>
          </w:tcPr>
          <w:p>
            <w:pPr>
              <w:spacing w:after="0"/>
              <w:rPr>
                <w:sz w:val="19"/>
                <w:szCs w:val="19"/>
                <w:color w:val="auto"/>
              </w:rPr>
            </w:pPr>
          </w:p>
        </w:tc>
        <w:tc>
          <w:tcPr>
            <w:tcW w:w="5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253,919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451,871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Capital expenditure detail by category: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Billboards - traditional</w:t>
            </w:r>
          </w:p>
        </w:tc>
        <w:tc>
          <w:tcPr>
            <w:tcW w:w="2460" w:type="dxa"/>
            <w:vAlign w:val="bottom"/>
            <w:tcBorders>
              <w:top w:val="single" w:sz="8" w:color="CCEEFF"/>
            </w:tcBorders>
            <w:gridSpan w:val="3"/>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15,423</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28,961</w:t>
            </w:r>
          </w:p>
        </w:tc>
      </w:tr>
      <w:tr>
        <w:trPr>
          <w:trHeight w:val="230"/>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Billboards - digital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41,541</w:t>
            </w: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Logo</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r>
      <w:tr>
        <w:trPr>
          <w:trHeight w:val="230"/>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r>
      <w:tr>
        <w:trPr>
          <w:trHeight w:val="230"/>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equipment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644" w:right="339" w:bottom="1440" w:gutter="0" w:footer="0" w:header="0"/>
        </w:sectPr>
      </w:pPr>
    </w:p>
    <w:bookmarkStart w:id="10" w:name="page11"/>
    <w:bookmarkEnd w:id="10"/>
    <w:p>
      <w:pPr>
        <w:ind w:left="4312"/>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117" w:lineRule="exact"/>
        <w:rPr>
          <w:sz w:val="20"/>
          <w:szCs w:val="20"/>
          <w:color w:val="auto"/>
        </w:rPr>
      </w:pPr>
    </w:p>
    <w:p>
      <w:pPr>
        <w:ind w:left="3012"/>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5" w:lineRule="exact"/>
        <w:rPr>
          <w:sz w:val="20"/>
          <w:szCs w:val="20"/>
          <w:color w:val="auto"/>
        </w:rPr>
      </w:pPr>
    </w:p>
    <w:tbl>
      <w:tblPr>
        <w:tblLayout w:type="fixed"/>
        <w:tblInd w:w="132"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6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2"/>
        </w:trPr>
        <w:tc>
          <w:tcPr>
            <w:tcW w:w="3760" w:type="dxa"/>
            <w:vAlign w:val="bottom"/>
            <w:gridSpan w:val="5"/>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u w:val="single" w:color="auto"/>
                <w:color w:val="auto"/>
              </w:rPr>
              <w:t>Reconciliation of Reported Basis to Acquisition-</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Adjusted Results</w:t>
            </w:r>
          </w:p>
        </w:tc>
        <w:tc>
          <w:tcPr>
            <w:tcW w:w="160" w:type="dxa"/>
            <w:vAlign w:val="bottom"/>
            <w:tcBorders>
              <w:bottom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(a)</w:t>
            </w:r>
          </w:p>
        </w:tc>
        <w:tc>
          <w:tcPr>
            <w:tcW w:w="1980" w:type="dxa"/>
            <w:vAlign w:val="bottom"/>
            <w:tcBorders>
              <w:bottom w:val="single" w:sz="8" w:color="CCEEFF"/>
            </w:tcBorders>
            <w:vMerge w:val="restart"/>
            <w:shd w:val="clear" w:color="auto" w:fill="CCEEFF"/>
          </w:tcPr>
          <w:p>
            <w:pPr>
              <w:jc w:val="right"/>
              <w:ind w:right="1830"/>
              <w:spacing w:after="0" w:line="189" w:lineRule="exact"/>
              <w:rPr>
                <w:sz w:val="20"/>
                <w:szCs w:val="20"/>
                <w:color w:val="auto"/>
              </w:rPr>
            </w:pPr>
            <w:r>
              <w:rPr>
                <w:rFonts w:ascii="Times New Roman" w:cs="Times New Roman" w:eastAsia="Times New Roman" w:hAnsi="Times New Roman"/>
                <w:sz w:val="18"/>
                <w:szCs w:val="18"/>
                <w:u w:val="single" w:color="auto"/>
                <w:color w:val="auto"/>
                <w:w w:val="78"/>
              </w:rPr>
              <w:t>:</w:t>
            </w:r>
          </w:p>
        </w:tc>
        <w:tc>
          <w:tcPr>
            <w:tcW w:w="2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8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98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6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541,137</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30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1,012,469</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3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Acquisition-adjusted net revenue</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3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direct advertising and G&amp;A expenses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760" w:type="dxa"/>
            <w:vAlign w:val="bottom"/>
            <w:tcBorders>
              <w:top w:val="single" w:sz="8" w:color="CCEEFF"/>
            </w:tcBorders>
            <w:gridSpan w:val="5"/>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Acquisition-adjusted direct advertising and G&amp;A</w:t>
            </w:r>
          </w:p>
        </w:tc>
        <w:tc>
          <w:tcPr>
            <w:tcW w:w="3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3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526,713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3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Outdoor operating income</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3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divestitures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Acquisition-adjusted outdoor operating income</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536,688</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3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corporate expense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3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Acquisition-adjusted corporate expenses</w:t>
            </w: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0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w:t>
            </w:r>
          </w:p>
        </w:tc>
        <w:tc>
          <w:tcPr>
            <w:tcW w:w="10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3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3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Acquisition-adjusted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32" w:hanging="332"/>
        <w:spacing w:after="0" w:line="282" w:lineRule="auto"/>
        <w:tabs>
          <w:tab w:leader="none" w:pos="4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 direct advertising and general and administrative expenses, outdoor operating income, corporate expenses and EBITDA include adjustments to 2023 for acquisitions and divestitures for the same time frame as actually owned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12"/>
          </w:cols>
          <w:pgMar w:left="328" w:top="644" w:right="3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 RECONCILIATIONS OF NON-GAAP MEASURES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5" w:lineRule="exact"/>
        <w:rPr>
          <w:sz w:val="20"/>
          <w:szCs w:val="20"/>
          <w:color w:val="auto"/>
        </w:rPr>
      </w:pPr>
    </w:p>
    <w:tbl>
      <w:tblPr>
        <w:tblLayout w:type="fixed"/>
        <w:tblInd w:w="384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3"/>
                <w:szCs w:val="13"/>
                <w:color w:val="auto"/>
              </w:rPr>
            </w:pPr>
          </w:p>
        </w:tc>
      </w:tr>
      <w:tr>
        <w:trPr>
          <w:trHeight w:val="195"/>
        </w:trPr>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89"/>
        </w:trPr>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r>
    </w:tbl>
    <w:p>
      <w:pPr>
        <w:spacing w:after="0" w:line="1" w:lineRule="exact"/>
        <w:rPr>
          <w:sz w:val="20"/>
          <w:szCs w:val="20"/>
          <w:color w:val="auto"/>
        </w:rPr>
      </w:pPr>
    </w:p>
    <w:p>
      <w:pPr>
        <w:sectPr>
          <w:pgSz w:w="11900" w:h="16838" w:orient="portrait"/>
          <w:cols w:equalWidth="0" w:num="1">
            <w:col w:w="11160"/>
          </w:cols>
          <w:pgMar w:left="340" w:top="644" w:right="399" w:bottom="1440" w:gutter="0" w:footer="0" w:header="0"/>
        </w:sectPr>
      </w:pPr>
    </w:p>
    <w:p>
      <w:pPr>
        <w:spacing w:after="0" w:line="235" w:lineRule="auto"/>
        <w:rPr>
          <w:sz w:val="20"/>
          <w:szCs w:val="20"/>
          <w:color w:val="auto"/>
        </w:rPr>
      </w:pPr>
      <w:r>
        <w:rPr>
          <w:rFonts w:ascii="Times New Roman" w:cs="Times New Roman" w:eastAsia="Times New Roman" w:hAnsi="Times New Roman"/>
          <w:sz w:val="18"/>
          <w:szCs w:val="18"/>
          <w:u w:val="single" w:color="auto"/>
          <w:color w:val="auto"/>
        </w:rPr>
        <w:t>Reconciliation of Net Income to Outdoor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09803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u w:val="single" w:color="auto"/>
          <w:color w:val="auto"/>
        </w:rPr>
        <w:t>Income: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130,888</w:t>
            </w:r>
          </w:p>
        </w:tc>
      </w:tr>
      <w:tr>
        <w:trPr>
          <w:trHeight w:val="230"/>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43,172</w:t>
            </w:r>
          </w:p>
        </w:tc>
      </w:tr>
      <w:tr>
        <w:trPr>
          <w:trHeight w:val="229"/>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4"/>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176,791</w:t>
            </w:r>
          </w:p>
        </w:tc>
      </w:tr>
      <w:tr>
        <w:trPr>
          <w:trHeight w:val="230"/>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expenses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26,366</w:t>
            </w:r>
          </w:p>
        </w:tc>
      </w:tr>
      <w:tr>
        <w:trPr>
          <w:trHeight w:val="229"/>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29"/>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r>
      <w:tr>
        <w:trPr>
          <w:trHeight w:val="234"/>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Outdoor 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280,285</w:t>
            </w:r>
          </w:p>
        </w:tc>
      </w:tr>
      <w:tr>
        <w:trPr>
          <w:trHeight w:val="20"/>
        </w:trPr>
        <w:tc>
          <w:tcPr>
            <w:tcW w:w="3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-1508125</wp:posOffset>
            </wp:positionV>
            <wp:extent cx="709803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-1216660</wp:posOffset>
            </wp:positionV>
            <wp:extent cx="709803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-916305</wp:posOffset>
            </wp:positionV>
            <wp:extent cx="709803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-624840</wp:posOffset>
            </wp:positionV>
            <wp:extent cx="709803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-333375</wp:posOffset>
            </wp:positionV>
            <wp:extent cx="70980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5.1 %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84,155</w:t>
            </w:r>
          </w:p>
        </w:tc>
        <w:tc>
          <w:tcPr>
            <w:tcW w:w="1080" w:type="dxa"/>
            <w:vAlign w:val="bottom"/>
          </w:tcPr>
          <w:p>
            <w:pPr>
              <w:spacing w:after="0"/>
              <w:rPr>
                <w:sz w:val="19"/>
                <w:szCs w:val="19"/>
                <w:color w:val="auto"/>
              </w:rPr>
            </w:pPr>
          </w:p>
        </w:tc>
      </w:tr>
      <w:tr>
        <w:trPr>
          <w:trHeight w:val="229"/>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80" w:type="dxa"/>
            <w:vAlign w:val="bottom"/>
          </w:tcPr>
          <w:p>
            <w:pPr>
              <w:spacing w:after="0"/>
              <w:rPr>
                <w:sz w:val="19"/>
                <w:szCs w:val="19"/>
                <w:color w:val="auto"/>
              </w:rPr>
            </w:pPr>
          </w:p>
        </w:tc>
      </w:tr>
      <w:tr>
        <w:trPr>
          <w:trHeight w:val="234"/>
        </w:trPr>
        <w:tc>
          <w:tcPr>
            <w:tcW w:w="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80" w:type="dxa"/>
            <w:vAlign w:val="bottom"/>
          </w:tcPr>
          <w:p>
            <w:pPr>
              <w:spacing w:after="0"/>
              <w:rPr>
                <w:sz w:val="20"/>
                <w:szCs w:val="20"/>
                <w:color w:val="auto"/>
              </w:rPr>
            </w:pPr>
          </w:p>
        </w:tc>
      </w:tr>
      <w:tr>
        <w:trPr>
          <w:trHeight w:val="218"/>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4.2 %</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295,592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1080" w:type="dxa"/>
            <w:vAlign w:val="bottom"/>
          </w:tcPr>
          <w:p>
            <w:pPr>
              <w:spacing w:after="0"/>
              <w:rPr>
                <w:sz w:val="19"/>
                <w:szCs w:val="19"/>
                <w:color w:val="auto"/>
              </w:rPr>
            </w:pPr>
          </w:p>
        </w:tc>
      </w:tr>
      <w:tr>
        <w:trPr>
          <w:trHeight w:val="229"/>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080" w:type="dxa"/>
            <w:vAlign w:val="bottom"/>
          </w:tcPr>
          <w:p>
            <w:pPr>
              <w:spacing w:after="0"/>
              <w:rPr>
                <w:sz w:val="19"/>
                <w:szCs w:val="19"/>
                <w:color w:val="auto"/>
              </w:rPr>
            </w:pPr>
          </w:p>
        </w:tc>
      </w:tr>
      <w:tr>
        <w:trPr>
          <w:trHeight w:val="229"/>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8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w:t>
            </w:r>
          </w:p>
        </w:tc>
        <w:tc>
          <w:tcPr>
            <w:tcW w:w="1080" w:type="dxa"/>
            <w:vAlign w:val="bottom"/>
          </w:tcPr>
          <w:p>
            <w:pPr>
              <w:spacing w:after="0"/>
              <w:rPr>
                <w:sz w:val="19"/>
                <w:szCs w:val="19"/>
                <w:color w:val="auto"/>
              </w:rPr>
            </w:pPr>
          </w:p>
        </w:tc>
      </w:tr>
      <w:tr>
        <w:trPr>
          <w:trHeight w:val="234"/>
        </w:trPr>
        <w:tc>
          <w:tcPr>
            <w:tcW w:w="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80" w:type="dxa"/>
            <w:vAlign w:val="bottom"/>
          </w:tcPr>
          <w:p>
            <w:pPr>
              <w:spacing w:after="0"/>
              <w:rPr>
                <w:sz w:val="20"/>
                <w:szCs w:val="20"/>
                <w:color w:val="auto"/>
              </w:rPr>
            </w:pPr>
          </w:p>
        </w:tc>
      </w:tr>
      <w:tr>
        <w:trPr>
          <w:trHeight w:val="223"/>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6.1 %</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502,977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0"/>
        </w:trPr>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660"/>
            <w:col w:w="4160"/>
          </w:cols>
          <w:pgMar w:left="340" w:top="644" w:right="39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160"/>
          </w:cols>
          <w:pgMar w:left="340" w:top="644" w:right="39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5"/>
        </w:trPr>
        <w:tc>
          <w:tcPr>
            <w:tcW w:w="20" w:type="dxa"/>
            <w:vAlign w:val="bottom"/>
            <w:shd w:val="clear" w:color="auto" w:fill="CCEEFF"/>
          </w:tcPr>
          <w:p>
            <w:pPr>
              <w:spacing w:after="0"/>
              <w:rPr>
                <w:sz w:val="15"/>
                <w:szCs w:val="15"/>
                <w:color w:val="auto"/>
              </w:rPr>
            </w:pPr>
          </w:p>
        </w:tc>
        <w:tc>
          <w:tcPr>
            <w:tcW w:w="40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Total Operating Expense to</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1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4"/>
              </w:rPr>
              <w:t>Acquisition-Adjusted Consolidated Expense:</w:t>
            </w:r>
          </w:p>
        </w:tc>
        <w:tc>
          <w:tcPr>
            <w:tcW w:w="160" w:type="dxa"/>
            <w:vAlign w:val="bottom"/>
            <w:tcBorders>
              <w:top w:val="single" w:sz="8" w:color="CCEEFF"/>
              <w:bottom w:val="single" w:sz="8" w:color="auto"/>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04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381,024</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364,346</w:t>
            </w:r>
          </w:p>
        </w:tc>
        <w:tc>
          <w:tcPr>
            <w:tcW w:w="10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754,574</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716,877</w:t>
            </w:r>
          </w:p>
        </w:tc>
        <w:tc>
          <w:tcPr>
            <w:tcW w:w="10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Acquisition-adjusted consolidated expense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579,925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644"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REIT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RECONCILIATIONS TO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3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Adjusted Funds from Operations:</w:t>
            </w:r>
          </w:p>
        </w:tc>
        <w:tc>
          <w:tcPr>
            <w:tcW w:w="3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Funds from operations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344,133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Straight-line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expenditures-maintenance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Divided by weighted average diluted 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5760" w:type="dxa"/>
            <w:vAlign w:val="bottom"/>
            <w:tcBorders>
              <w:bottom w:val="single" w:sz="8" w:color="CCEEFF"/>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102,594,217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102,104,429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102,522,569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102,047,875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AFFO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sectPr>
      <w:pgSz w:w="11900" w:h="16838" w:orient="portrait"/>
      <w:cols w:equalWidth="0" w:num="1">
        <w:col w:w="11240"/>
      </w:cols>
      <w:pgMar w:left="320" w:top="6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2024-08-08T06:13:33Z</dcterms:created>
  <dcterms:modified xsi:type="dcterms:W3CDTF">2024-08-08T06:13:33Z</dcterms:modified>
</cp:coreProperties>
</file>