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8" w:lineRule="exact"/>
        <w:rPr>
          <w:sz w:val="24"/>
          <w:szCs w:val="24"/>
          <w:color w:val="auto"/>
        </w:rPr>
      </w:pPr>
    </w:p>
    <w:p>
      <w:pPr>
        <w:ind w:left="280" w:hanging="254"/>
        <w:spacing w:after="0"/>
        <w:tabs>
          <w:tab w:leader="none" w:pos="2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148" w:lineRule="exact"/>
        <w:rPr>
          <w:sz w:val="24"/>
          <w:szCs w:val="24"/>
          <w:color w:val="auto"/>
        </w:rPr>
      </w:pPr>
    </w:p>
    <w:p>
      <w:pPr>
        <w:ind w:left="280" w:hanging="254"/>
        <w:spacing w:after="0"/>
        <w:tabs>
          <w:tab w:leader="none" w:pos="2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0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For the transition period from______to______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1-36756</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9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Lamar Media Corp.</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3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(Exact names of registrants as specified in their charters)</w:t>
            </w:r>
          </w:p>
        </w:tc>
        <w:tc>
          <w:tcPr>
            <w:tcW w:w="3780" w:type="dxa"/>
            <w:vAlign w:val="bottom"/>
          </w:tcPr>
          <w:p>
            <w:pPr>
              <w:spacing w:after="0"/>
              <w:rPr>
                <w:sz w:val="14"/>
                <w:szCs w:val="14"/>
                <w:color w:val="auto"/>
              </w:rPr>
            </w:pPr>
          </w:p>
        </w:tc>
      </w:tr>
      <w:tr>
        <w:trPr>
          <w:trHeight w:val="243"/>
        </w:trPr>
        <w:tc>
          <w:tcPr>
            <w:tcW w:w="3880" w:type="dxa"/>
            <w:vAlign w:val="bottom"/>
          </w:tcPr>
          <w:p>
            <w:pPr>
              <w:spacing w:after="0"/>
              <w:rPr>
                <w:sz w:val="21"/>
                <w:szCs w:val="21"/>
                <w:color w:val="auto"/>
              </w:rPr>
            </w:pPr>
          </w:p>
        </w:tc>
        <w:tc>
          <w:tcPr>
            <w:tcW w:w="29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________________________________</w:t>
            </w:r>
          </w:p>
        </w:tc>
        <w:tc>
          <w:tcPr>
            <w:tcW w:w="68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297"/>
        </w:trPr>
        <w:tc>
          <w:tcPr>
            <w:tcW w:w="388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80" w:type="dxa"/>
            <w:vAlign w:val="bottom"/>
          </w:tcPr>
          <w:p>
            <w:pPr>
              <w:jc w:val="center"/>
              <w:ind w:right="1757"/>
              <w:spacing w:after="0"/>
              <w:rPr>
                <w:sz w:val="20"/>
                <w:szCs w:val="20"/>
                <w:color w:val="auto"/>
              </w:rPr>
            </w:pPr>
            <w:r>
              <w:rPr>
                <w:rFonts w:ascii="Times New Roman" w:cs="Times New Roman" w:eastAsia="Times New Roman" w:hAnsi="Times New Roman"/>
                <w:sz w:val="13"/>
                <w:szCs w:val="13"/>
                <w:b w:val="1"/>
                <w:bCs w:val="1"/>
                <w:color w:val="auto"/>
                <w:w w:val="95"/>
              </w:rPr>
              <w:t>47-0961620</w:t>
            </w:r>
          </w:p>
        </w:tc>
      </w:tr>
      <w:tr>
        <w:trPr>
          <w:trHeight w:val="203"/>
        </w:trPr>
        <w:tc>
          <w:tcPr>
            <w:tcW w:w="388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80" w:type="dxa"/>
            <w:vAlign w:val="bottom"/>
          </w:tcPr>
          <w:p>
            <w:pPr>
              <w:jc w:val="center"/>
              <w:ind w:right="1757"/>
              <w:spacing w:after="0"/>
              <w:rPr>
                <w:sz w:val="20"/>
                <w:szCs w:val="20"/>
                <w:color w:val="auto"/>
              </w:rPr>
            </w:pPr>
            <w:r>
              <w:rPr>
                <w:rFonts w:ascii="Times New Roman" w:cs="Times New Roman" w:eastAsia="Times New Roman" w:hAnsi="Times New Roman"/>
                <w:sz w:val="13"/>
                <w:szCs w:val="13"/>
                <w:b w:val="1"/>
                <w:bCs w:val="1"/>
                <w:color w:val="auto"/>
                <w:w w:val="95"/>
              </w:rPr>
              <w:t>72-1205791</w:t>
            </w:r>
          </w:p>
        </w:tc>
      </w:tr>
      <w:tr>
        <w:trPr>
          <w:trHeight w:val="203"/>
        </w:trPr>
        <w:tc>
          <w:tcPr>
            <w:tcW w:w="7460" w:type="dxa"/>
            <w:vAlign w:val="bottom"/>
            <w:gridSpan w:val="4"/>
          </w:tcPr>
          <w:p>
            <w:pPr>
              <w:jc w:val="center"/>
              <w:ind w:right="1880"/>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203"/>
        </w:trPr>
        <w:tc>
          <w:tcPr>
            <w:tcW w:w="388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6"/>
              </w:rPr>
              <w:t>5321 Corporate Blvd., Baton Rouge, LA</w:t>
            </w:r>
          </w:p>
        </w:tc>
        <w:tc>
          <w:tcPr>
            <w:tcW w:w="5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80" w:type="dxa"/>
            <w:vAlign w:val="bottom"/>
          </w:tcPr>
          <w:p>
            <w:pPr>
              <w:jc w:val="center"/>
              <w:ind w:right="1757"/>
              <w:spacing w:after="0"/>
              <w:rPr>
                <w:sz w:val="20"/>
                <w:szCs w:val="20"/>
                <w:color w:val="auto"/>
              </w:rPr>
            </w:pPr>
            <w:r>
              <w:rPr>
                <w:rFonts w:ascii="Times New Roman" w:cs="Times New Roman" w:eastAsia="Times New Roman" w:hAnsi="Times New Roman"/>
                <w:sz w:val="13"/>
                <w:szCs w:val="13"/>
                <w:b w:val="1"/>
                <w:bCs w:val="1"/>
                <w:color w:val="auto"/>
                <w:w w:val="98"/>
              </w:rPr>
              <w:t>70808</w:t>
            </w:r>
          </w:p>
        </w:tc>
      </w:tr>
      <w:tr>
        <w:trPr>
          <w:trHeight w:val="203"/>
        </w:trPr>
        <w:tc>
          <w:tcPr>
            <w:tcW w:w="388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5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8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51"/>
        </w:trPr>
        <w:tc>
          <w:tcPr>
            <w:tcW w:w="7460" w:type="dxa"/>
            <w:vAlign w:val="bottom"/>
            <w:gridSpan w:val="4"/>
          </w:tcPr>
          <w:p>
            <w:pPr>
              <w:jc w:val="center"/>
              <w:ind w:left="373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(225) 926-1000</w:t>
            </w:r>
          </w:p>
        </w:tc>
        <w:tc>
          <w:tcPr>
            <w:tcW w:w="3780" w:type="dxa"/>
            <w:vAlign w:val="bottom"/>
          </w:tcPr>
          <w:p>
            <w:pPr>
              <w:spacing w:after="0"/>
              <w:rPr>
                <w:sz w:val="24"/>
                <w:szCs w:val="24"/>
                <w:color w:val="auto"/>
              </w:rPr>
            </w:pPr>
          </w:p>
        </w:tc>
      </w:tr>
      <w:tr>
        <w:trPr>
          <w:trHeight w:val="243"/>
        </w:trPr>
        <w:tc>
          <w:tcPr>
            <w:tcW w:w="3880" w:type="dxa"/>
            <w:vAlign w:val="bottom"/>
          </w:tcPr>
          <w:p>
            <w:pPr>
              <w:spacing w:after="0"/>
              <w:rPr>
                <w:sz w:val="21"/>
                <w:szCs w:val="21"/>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SECURITIES OF LAMAR ADVERTISING COMPANY</w:t>
            </w:r>
          </w:p>
        </w:tc>
        <w:tc>
          <w:tcPr>
            <w:tcW w:w="378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3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REGISTERED PURSUANT TO SECTION 12(b) OF THE ACT:</w:t>
            </w:r>
          </w:p>
        </w:tc>
        <w:tc>
          <w:tcPr>
            <w:tcW w:w="3780" w:type="dxa"/>
            <w:vAlign w:val="bottom"/>
          </w:tcPr>
          <w:p>
            <w:pPr>
              <w:spacing w:after="0"/>
              <w:rPr>
                <w:sz w:val="21"/>
                <w:szCs w:val="21"/>
                <w:color w:val="auto"/>
              </w:rPr>
            </w:pPr>
          </w:p>
        </w:tc>
      </w:tr>
      <w:tr>
        <w:trPr>
          <w:trHeight w:val="124"/>
        </w:trPr>
        <w:tc>
          <w:tcPr>
            <w:tcW w:w="38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r>
      <w:tr>
        <w:trPr>
          <w:trHeight w:val="166"/>
        </w:trPr>
        <w:tc>
          <w:tcPr>
            <w:tcW w:w="3880" w:type="dxa"/>
            <w:vAlign w:val="bottom"/>
            <w:tcBorders>
              <w:left w:val="single" w:sz="8" w:color="auto"/>
            </w:tcBorders>
          </w:tcPr>
          <w:p>
            <w:pPr>
              <w:jc w:val="center"/>
              <w:ind w:left="477"/>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54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Trading Symbol(s)</w:t>
            </w:r>
          </w:p>
        </w:tc>
        <w:tc>
          <w:tcPr>
            <w:tcW w:w="680" w:type="dxa"/>
            <w:vAlign w:val="bottom"/>
          </w:tcPr>
          <w:p>
            <w:pPr>
              <w:spacing w:after="0"/>
              <w:rPr>
                <w:sz w:val="14"/>
                <w:szCs w:val="14"/>
                <w:color w:val="auto"/>
              </w:rPr>
            </w:pPr>
          </w:p>
        </w:tc>
        <w:tc>
          <w:tcPr>
            <w:tcW w:w="3780" w:type="dxa"/>
            <w:vAlign w:val="bottom"/>
            <w:tcBorders>
              <w:right w:val="single" w:sz="8" w:color="auto"/>
            </w:tcBorders>
          </w:tcPr>
          <w:p>
            <w:pPr>
              <w:jc w:val="center"/>
              <w:ind w:right="657"/>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30"/>
        </w:trPr>
        <w:tc>
          <w:tcPr>
            <w:tcW w:w="38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167"/>
        </w:trPr>
        <w:tc>
          <w:tcPr>
            <w:tcW w:w="3880" w:type="dxa"/>
            <w:vAlign w:val="bottom"/>
            <w:tcBorders>
              <w:left w:val="single" w:sz="8" w:color="auto"/>
            </w:tcBorders>
          </w:tcPr>
          <w:p>
            <w:pPr>
              <w:jc w:val="center"/>
              <w:ind w:left="49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54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LAMR</w:t>
            </w:r>
          </w:p>
        </w:tc>
        <w:tc>
          <w:tcPr>
            <w:tcW w:w="680" w:type="dxa"/>
            <w:vAlign w:val="bottom"/>
          </w:tcPr>
          <w:p>
            <w:pPr>
              <w:spacing w:after="0"/>
              <w:rPr>
                <w:sz w:val="14"/>
                <w:szCs w:val="14"/>
                <w:color w:val="auto"/>
              </w:rPr>
            </w:pPr>
          </w:p>
        </w:tc>
        <w:tc>
          <w:tcPr>
            <w:tcW w:w="3780" w:type="dxa"/>
            <w:vAlign w:val="bottom"/>
            <w:tcBorders>
              <w:right w:val="single" w:sz="8" w:color="auto"/>
            </w:tcBorders>
          </w:tcPr>
          <w:p>
            <w:pPr>
              <w:jc w:val="center"/>
              <w:ind w:right="65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30"/>
        </w:trPr>
        <w:tc>
          <w:tcPr>
            <w:tcW w:w="388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r>
      <w:tr>
        <w:trPr>
          <w:trHeight w:val="315"/>
        </w:trPr>
        <w:tc>
          <w:tcPr>
            <w:tcW w:w="3880" w:type="dxa"/>
            <w:vAlign w:val="bottom"/>
          </w:tcPr>
          <w:p>
            <w:pPr>
              <w:spacing w:after="0"/>
              <w:rPr>
                <w:sz w:val="24"/>
                <w:szCs w:val="24"/>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SECURITIES OF LAMAR ADVERTISING COMPANY</w:t>
            </w:r>
          </w:p>
        </w:tc>
        <w:tc>
          <w:tcPr>
            <w:tcW w:w="3780" w:type="dxa"/>
            <w:vAlign w:val="bottom"/>
          </w:tcPr>
          <w:p>
            <w:pPr>
              <w:spacing w:after="0"/>
              <w:rPr>
                <w:sz w:val="24"/>
                <w:szCs w:val="24"/>
                <w:color w:val="auto"/>
              </w:rPr>
            </w:pPr>
          </w:p>
        </w:tc>
      </w:tr>
      <w:tr>
        <w:trPr>
          <w:trHeight w:val="243"/>
        </w:trPr>
        <w:tc>
          <w:tcPr>
            <w:tcW w:w="3880" w:type="dxa"/>
            <w:vAlign w:val="bottom"/>
          </w:tcPr>
          <w:p>
            <w:pPr>
              <w:spacing w:after="0"/>
              <w:rPr>
                <w:sz w:val="21"/>
                <w:szCs w:val="21"/>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REGISTERED PURSUANT TO SECTION 12(g) OF THE ACT:</w:t>
            </w:r>
          </w:p>
        </w:tc>
        <w:tc>
          <w:tcPr>
            <w:tcW w:w="378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4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78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4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6"/>
              </w:rPr>
              <w:t>SECURITIES OF LAMAR MEDIA CORP.</w:t>
            </w:r>
          </w:p>
        </w:tc>
        <w:tc>
          <w:tcPr>
            <w:tcW w:w="3780" w:type="dxa"/>
            <w:vAlign w:val="bottom"/>
          </w:tcPr>
          <w:p>
            <w:pPr>
              <w:spacing w:after="0"/>
              <w:rPr>
                <w:sz w:val="21"/>
                <w:szCs w:val="21"/>
                <w:color w:val="auto"/>
              </w:rPr>
            </w:pPr>
          </w:p>
        </w:tc>
      </w:tr>
      <w:tr>
        <w:trPr>
          <w:trHeight w:val="230"/>
        </w:trPr>
        <w:tc>
          <w:tcPr>
            <w:tcW w:w="3880" w:type="dxa"/>
            <w:vAlign w:val="bottom"/>
          </w:tcPr>
          <w:p>
            <w:pPr>
              <w:spacing w:after="0"/>
              <w:rPr>
                <w:sz w:val="19"/>
                <w:szCs w:val="19"/>
                <w:color w:val="auto"/>
              </w:rPr>
            </w:pPr>
          </w:p>
        </w:tc>
        <w:tc>
          <w:tcPr>
            <w:tcW w:w="3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REGISTERED PURSUANT TO SECTION 12(b) OF THE ACT:</w:t>
            </w:r>
          </w:p>
        </w:tc>
        <w:tc>
          <w:tcPr>
            <w:tcW w:w="3780" w:type="dxa"/>
            <w:vAlign w:val="bottom"/>
          </w:tcPr>
          <w:p>
            <w:pPr>
              <w:spacing w:after="0"/>
              <w:rPr>
                <w:sz w:val="19"/>
                <w:szCs w:val="19"/>
                <w:color w:val="auto"/>
              </w:rPr>
            </w:pPr>
          </w:p>
        </w:tc>
      </w:tr>
      <w:tr>
        <w:trPr>
          <w:trHeight w:val="243"/>
        </w:trPr>
        <w:tc>
          <w:tcPr>
            <w:tcW w:w="3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4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78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4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6"/>
              </w:rPr>
              <w:t>SECURITIES OF LAMAR MEDIA CORP.</w:t>
            </w:r>
          </w:p>
        </w:tc>
        <w:tc>
          <w:tcPr>
            <w:tcW w:w="378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REGISTERED PURSUANT TO SECTION 12(g) OF THE ACT:</w:t>
            </w:r>
          </w:p>
        </w:tc>
        <w:tc>
          <w:tcPr>
            <w:tcW w:w="378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4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780" w:type="dxa"/>
            <w:vAlign w:val="bottom"/>
          </w:tcPr>
          <w:p>
            <w:pPr>
              <w:spacing w:after="0"/>
              <w:rPr>
                <w:sz w:val="21"/>
                <w:szCs w:val="21"/>
                <w:color w:val="auto"/>
              </w:rPr>
            </w:pPr>
          </w:p>
        </w:tc>
      </w:tr>
      <w:tr>
        <w:trPr>
          <w:trHeight w:val="243"/>
        </w:trPr>
        <w:tc>
          <w:tcPr>
            <w:tcW w:w="3880" w:type="dxa"/>
            <w:vAlign w:val="bottom"/>
          </w:tcPr>
          <w:p>
            <w:pPr>
              <w:spacing w:after="0"/>
              <w:rPr>
                <w:sz w:val="21"/>
                <w:szCs w:val="21"/>
                <w:color w:val="auto"/>
              </w:rPr>
            </w:pPr>
          </w:p>
        </w:tc>
        <w:tc>
          <w:tcPr>
            <w:tcW w:w="35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___________________________________________</w:t>
            </w:r>
          </w:p>
        </w:tc>
        <w:tc>
          <w:tcPr>
            <w:tcW w:w="3780" w:type="dxa"/>
            <w:vAlign w:val="bottom"/>
          </w:tcPr>
          <w:p>
            <w:pPr>
              <w:spacing w:after="0"/>
              <w:rPr>
                <w:sz w:val="21"/>
                <w:szCs w:val="21"/>
                <w:color w:val="auto"/>
              </w:rPr>
            </w:pPr>
          </w:p>
        </w:tc>
      </w:tr>
      <w:tr>
        <w:trPr>
          <w:trHeight w:val="263"/>
        </w:trPr>
        <w:tc>
          <w:tcPr>
            <w:tcW w:w="112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Lamar Advertising Company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30"/>
        </w:trPr>
        <w:tc>
          <w:tcPr>
            <w:tcW w:w="74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7"/>
              </w:rPr>
              <w:t>Indicate by check mark if Lamar Advertising Company is not required to file reports pursuant to Section 13 or Section 15(d) of the Exchange Act.</w:t>
            </w:r>
          </w:p>
        </w:tc>
        <w:tc>
          <w:tcPr>
            <w:tcW w:w="3780" w:type="dxa"/>
            <w:vAlign w:val="bottom"/>
          </w:tcPr>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43"/>
        </w:trPr>
        <w:tc>
          <w:tcPr>
            <w:tcW w:w="746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Lamar Media Corp.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3780" w:type="dxa"/>
            <w:vAlign w:val="bottom"/>
          </w:tcPr>
          <w:p>
            <w:pPr>
              <w:spacing w:after="0"/>
              <w:rPr>
                <w:sz w:val="21"/>
                <w:szCs w:val="21"/>
                <w:color w:val="auto"/>
              </w:rPr>
            </w:pPr>
          </w:p>
        </w:tc>
      </w:tr>
    </w:tbl>
    <w:p>
      <w:pPr>
        <w:spacing w:after="0" w:line="30" w:lineRule="exact"/>
        <w:rPr>
          <w:sz w:val="24"/>
          <w:szCs w:val="24"/>
          <w:color w:val="auto"/>
        </w:rPr>
      </w:pPr>
    </w:p>
    <w:p>
      <w:pPr>
        <w:spacing w:after="0" w:line="150" w:lineRule="exact"/>
        <w:tabs>
          <w:tab w:leader="none" w:pos="7000" w:val="left"/>
          <w:tab w:leader="none" w:pos="7480" w:val="left"/>
        </w:tabs>
        <w:rPr>
          <w:sz w:val="20"/>
          <w:szCs w:val="20"/>
          <w:color w:val="auto"/>
        </w:rPr>
      </w:pPr>
      <w:r>
        <w:rPr>
          <w:rFonts w:ascii="Times New Roman" w:cs="Times New Roman" w:eastAsia="Times New Roman" w:hAnsi="Times New Roman"/>
          <w:sz w:val="13"/>
          <w:szCs w:val="13"/>
          <w:color w:val="auto"/>
        </w:rPr>
        <w:t>Indicate by check mark if Lamar Media Corp. is not required to file reports pursuant to Section 13 or Section 15(d)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22"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Date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right="20"/>
        <w:spacing w:after="0" w:line="262"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67"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Lamar Advertising Company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ectPr>
          <w:pgSz w:w="11900" w:h="16838" w:orient="portrait"/>
          <w:cols w:equalWidth="0" w:num="1">
            <w:col w:w="11240"/>
          </w:cols>
          <w:pgMar w:left="320" w:top="229" w:right="339" w:bottom="0" w:gutter="0" w:footer="0" w:header="0"/>
        </w:sectPr>
      </w:pPr>
    </w:p>
    <w:bookmarkStart w:id="1" w:name="page2"/>
    <w:bookmarkEnd w:id="1"/>
    <w:p>
      <w:pPr>
        <w:ind w:right="20"/>
        <w:spacing w:after="0" w:line="261" w:lineRule="auto"/>
        <w:rPr>
          <w:sz w:val="20"/>
          <w:szCs w:val="20"/>
          <w:color w:val="auto"/>
        </w:rPr>
      </w:pPr>
      <w:r>
        <w:rPr>
          <w:rFonts w:ascii="Times New Roman" w:cs="Times New Roman" w:eastAsia="Times New Roman" w:hAnsi="Times New Roman"/>
          <w:sz w:val="13"/>
          <w:szCs w:val="13"/>
          <w:color w:val="auto"/>
        </w:rPr>
        <w:t>Indicate by check mark whether Lamar Media Corp.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67"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6"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6"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6"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pacing w:after="0" w:line="18" w:lineRule="exact"/>
        <w:rPr>
          <w:sz w:val="20"/>
          <w:szCs w:val="20"/>
          <w:color w:val="auto"/>
        </w:rPr>
      </w:pPr>
    </w:p>
    <w:p>
      <w:pPr>
        <w:spacing w:after="0" w:line="150" w:lineRule="exact"/>
        <w:tabs>
          <w:tab w:leader="none" w:pos="5640" w:val="left"/>
          <w:tab w:leader="none" w:pos="6120" w:val="left"/>
        </w:tabs>
        <w:rPr>
          <w:sz w:val="20"/>
          <w:szCs w:val="20"/>
          <w:color w:val="auto"/>
        </w:rPr>
      </w:pPr>
      <w:r>
        <w:rPr>
          <w:rFonts w:ascii="Times New Roman" w:cs="Times New Roman" w:eastAsia="Times New Roman" w:hAnsi="Times New Roman"/>
          <w:sz w:val="13"/>
          <w:szCs w:val="13"/>
          <w:color w:val="auto"/>
        </w:rPr>
        <w:t>Indicate by check mark if either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The aggregate market value of the voting stock held by nonaffiliates of Lamar Advertising Company was $10,177,995,114 based on $121.36 per share as reported at the close of trading on the NASDAQ Global Select Market on June 30, 2025, the last business day of the registrant’s most recently completed second fiscal quarter.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June 30, 2025, the aggregate market value of the voting stock held by nonaffiliates of Lamar Media Corp. was $0.</w:t>
            </w:r>
          </w:p>
        </w:tc>
        <w:tc>
          <w:tcPr>
            <w:tcW w:w="2420" w:type="dxa"/>
            <w:vAlign w:val="bottom"/>
          </w:tcPr>
          <w:p>
            <w:pPr>
              <w:spacing w:after="0"/>
              <w:rPr>
                <w:sz w:val="14"/>
                <w:szCs w:val="14"/>
                <w:color w:val="auto"/>
              </w:rPr>
            </w:pPr>
          </w:p>
        </w:tc>
      </w:tr>
      <w:tr>
        <w:trPr>
          <w:trHeight w:val="243"/>
        </w:trPr>
        <w:tc>
          <w:tcPr>
            <w:tcW w:w="8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w:t>
            </w:r>
          </w:p>
        </w:tc>
        <w:tc>
          <w:tcPr>
            <w:tcW w:w="2420" w:type="dxa"/>
            <w:vAlign w:val="bottom"/>
          </w:tcPr>
          <w:p>
            <w:pPr>
              <w:spacing w:after="0"/>
              <w:rPr>
                <w:sz w:val="21"/>
                <w:szCs w:val="21"/>
                <w:color w:val="auto"/>
              </w:rPr>
            </w:pPr>
          </w:p>
        </w:tc>
      </w:tr>
      <w:tr>
        <w:trPr>
          <w:trHeight w:val="29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at February 1, 2026</w:t>
            </w:r>
          </w:p>
        </w:tc>
      </w:tr>
      <w:tr>
        <w:trPr>
          <w:trHeight w:val="29"/>
        </w:trPr>
        <w:tc>
          <w:tcPr>
            <w:tcW w:w="8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16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Lamar Advertising Company Class A common stock, $0.001 par value per share</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86,910,542 shares</w:t>
            </w:r>
          </w:p>
        </w:tc>
      </w:tr>
      <w:tr>
        <w:trPr>
          <w:trHeight w:val="20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Lamar Advertising Company Class B common stock, $0.001 par value per share</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14,420,085 shares</w:t>
            </w:r>
          </w:p>
        </w:tc>
      </w:tr>
      <w:tr>
        <w:trPr>
          <w:trHeight w:val="20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Lamar Media Corp. common stock, $0.001 par value per share</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 shares</w:t>
            </w:r>
          </w:p>
        </w:tc>
      </w:tr>
      <w:tr>
        <w:trPr>
          <w:trHeight w:val="351"/>
        </w:trPr>
        <w:tc>
          <w:tcPr>
            <w:tcW w:w="8800" w:type="dxa"/>
            <w:vAlign w:val="bottom"/>
            <w:gridSpan w:val="2"/>
          </w:tcPr>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tc>
        <w:tc>
          <w:tcPr>
            <w:tcW w:w="2420" w:type="dxa"/>
            <w:vAlign w:val="bottom"/>
          </w:tcPr>
          <w:p>
            <w:pPr>
              <w:spacing w:after="0"/>
              <w:rPr>
                <w:sz w:val="24"/>
                <w:szCs w:val="24"/>
                <w:color w:val="auto"/>
              </w:rPr>
            </w:pPr>
          </w:p>
        </w:tc>
      </w:tr>
      <w:tr>
        <w:trPr>
          <w:trHeight w:val="29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Parts into Which Incorporated</w:t>
            </w:r>
          </w:p>
        </w:tc>
      </w:tr>
      <w:tr>
        <w:trPr>
          <w:trHeight w:val="29"/>
        </w:trPr>
        <w:tc>
          <w:tcPr>
            <w:tcW w:w="8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16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Proxy Statement for the Annual Meeting of Stockholders scheduled to be held on May 14, 2026 (Proxy Statement)</w:t>
            </w: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Part III</w:t>
            </w:r>
          </w:p>
        </w:tc>
      </w:tr>
    </w:tbl>
    <w:p>
      <w:pPr>
        <w:spacing w:after="0" w:line="198" w:lineRule="exact"/>
        <w:rPr>
          <w:sz w:val="20"/>
          <w:szCs w:val="20"/>
          <w:color w:val="auto"/>
        </w:rPr>
      </w:pPr>
    </w:p>
    <w:p>
      <w:pPr>
        <w:ind w:right="220" w:firstLine="567"/>
        <w:spacing w:after="0" w:line="265" w:lineRule="auto"/>
        <w:rPr>
          <w:sz w:val="20"/>
          <w:szCs w:val="20"/>
          <w:color w:val="auto"/>
        </w:rPr>
      </w:pPr>
      <w:r>
        <w:rPr>
          <w:rFonts w:ascii="Times New Roman" w:cs="Times New Roman" w:eastAsia="Times New Roman" w:hAnsi="Times New Roman"/>
          <w:sz w:val="13"/>
          <w:szCs w:val="13"/>
          <w:b w:val="1"/>
          <w:bCs w:val="1"/>
          <w:color w:val="auto"/>
        </w:rPr>
        <w:t>This combined Form 10-K is separately filed by (i) Lamar Advertising Company and (ii) Lamar Media Corp. (which is a wholly owned subsidiary of Lamar Advertising Company). Lamar Media Corp. meets the conditions set forth in general instruction I(1) (a) and (b) of Form 10-K and is, therefore, filing this form with the reduced disclosure format permitted by such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r>
      <w:tr>
        <w:trPr>
          <w:trHeight w:val="513"/>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Pr>
          <w:p>
            <w:pPr>
              <w:spacing w:after="0"/>
              <w:rPr>
                <w:sz w:val="24"/>
                <w:szCs w:val="24"/>
                <w:color w:val="auto"/>
              </w:rPr>
            </w:pPr>
          </w:p>
        </w:tc>
      </w:tr>
      <w:tr>
        <w:trPr>
          <w:trHeight w:val="270"/>
        </w:trPr>
        <w:tc>
          <w:tcPr>
            <w:tcW w:w="10220" w:type="dxa"/>
            <w:vAlign w:val="bottom"/>
            <w:gridSpan w:val="44"/>
          </w:tcPr>
          <w:p>
            <w:pPr>
              <w:ind w:left="20"/>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1000" w:type="dxa"/>
            <w:vAlign w:val="bottom"/>
          </w:tcPr>
          <w:p>
            <w:pPr>
              <w:spacing w:after="0"/>
              <w:rPr>
                <w:sz w:val="23"/>
                <w:szCs w:val="23"/>
                <w:color w:val="auto"/>
              </w:rPr>
            </w:pPr>
          </w:p>
        </w:tc>
      </w:tr>
      <w:tr>
        <w:trPr>
          <w:trHeight w:val="22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8160" w:type="dxa"/>
            <w:vAlign w:val="bottom"/>
            <w:gridSpan w:val="40"/>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7780" w:type="dxa"/>
            <w:vAlign w:val="bottom"/>
            <w:gridSpan w:val="35"/>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Corporate History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Operating Strategies</w:t>
            </w:r>
          </w:p>
        </w:tc>
        <w:tc>
          <w:tcPr>
            <w:tcW w:w="6880" w:type="dxa"/>
            <w:vAlign w:val="bottom"/>
            <w:gridSpan w:val="21"/>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Capital Allocation Strategy</w:t>
            </w:r>
          </w:p>
        </w:tc>
        <w:tc>
          <w:tcPr>
            <w:tcW w:w="6380" w:type="dxa"/>
            <w:vAlign w:val="bottom"/>
            <w:gridSpan w:val="13"/>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Company Operations</w:t>
            </w:r>
          </w:p>
        </w:tc>
        <w:tc>
          <w:tcPr>
            <w:tcW w:w="6820" w:type="dxa"/>
            <w:vAlign w:val="bottom"/>
            <w:gridSpan w:val="18"/>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Competition</w:t>
            </w:r>
          </w:p>
        </w:tc>
        <w:tc>
          <w:tcPr>
            <w:tcW w:w="7440" w:type="dxa"/>
            <w:vAlign w:val="bottom"/>
            <w:gridSpan w:val="29"/>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Geographic Diversification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40" w:type="dxa"/>
            <w:vAlign w:val="bottom"/>
            <w:tcBorders>
              <w:top w:val="single" w:sz="8" w:color="0000EE"/>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8"/>
              </w:rPr>
              <w:t>Taxable REIT Subsidiaries</w:t>
            </w:r>
          </w:p>
        </w:tc>
        <w:tc>
          <w:tcPr>
            <w:tcW w:w="20" w:type="dxa"/>
            <w:vAlign w:val="bottom"/>
            <w:tcBorders>
              <w:top w:val="single" w:sz="8" w:color="0000EE"/>
            </w:tcBorders>
          </w:tcPr>
          <w:p>
            <w:pPr>
              <w:spacing w:after="0"/>
              <w:rPr>
                <w:sz w:val="21"/>
                <w:szCs w:val="21"/>
                <w:color w:val="auto"/>
              </w:rPr>
            </w:pPr>
          </w:p>
        </w:tc>
        <w:tc>
          <w:tcPr>
            <w:tcW w:w="6400" w:type="dxa"/>
            <w:vAlign w:val="bottom"/>
            <w:gridSpan w:val="14"/>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Advertising Tenants</w:t>
            </w:r>
          </w:p>
        </w:tc>
        <w:tc>
          <w:tcPr>
            <w:tcW w:w="6900" w:type="dxa"/>
            <w:vAlign w:val="bottom"/>
            <w:gridSpan w:val="22"/>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Regulation</w:t>
            </w:r>
          </w:p>
        </w:tc>
        <w:tc>
          <w:tcPr>
            <w:tcW w:w="7560" w:type="dxa"/>
            <w:vAlign w:val="bottom"/>
            <w:gridSpan w:val="33"/>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020" w:type="dxa"/>
            <w:vAlign w:val="bottom"/>
            <w:gridSpan w:val="23"/>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Real Estate Portfolio</w:t>
            </w:r>
          </w:p>
        </w:tc>
        <w:tc>
          <w:tcPr>
            <w:tcW w:w="6840" w:type="dxa"/>
            <w:vAlign w:val="bottom"/>
            <w:gridSpan w:val="19"/>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Contract Expirations</w:t>
            </w:r>
          </w:p>
        </w:tc>
        <w:tc>
          <w:tcPr>
            <w:tcW w:w="6860" w:type="dxa"/>
            <w:vAlign w:val="bottom"/>
            <w:gridSpan w:val="20"/>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36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Human Capital Resources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8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Inflation</w:t>
            </w:r>
          </w:p>
        </w:tc>
        <w:tc>
          <w:tcPr>
            <w:tcW w:w="6480" w:type="dxa"/>
            <w:vAlign w:val="bottom"/>
            <w:gridSpan w:val="16"/>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Seasonality</w:t>
            </w:r>
          </w:p>
        </w:tc>
        <w:tc>
          <w:tcPr>
            <w:tcW w:w="7520" w:type="dxa"/>
            <w:vAlign w:val="bottom"/>
            <w:gridSpan w:val="32"/>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Available Information</w:t>
            </w:r>
          </w:p>
        </w:tc>
        <w:tc>
          <w:tcPr>
            <w:tcW w:w="6760" w:type="dxa"/>
            <w:vAlign w:val="bottom"/>
            <w:gridSpan w:val="17"/>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0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420" w:type="dxa"/>
            <w:vAlign w:val="bottom"/>
            <w:gridSpan w:val="2"/>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80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760" w:type="dxa"/>
            <w:vAlign w:val="bottom"/>
            <w:gridSpan w:val="17"/>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800" w:type="dxa"/>
            <w:vAlign w:val="bottom"/>
            <w:gridSpan w:val="36"/>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420" w:type="dxa"/>
            <w:vAlign w:val="bottom"/>
            <w:gridSpan w:val="2"/>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1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460" w:type="dxa"/>
            <w:vAlign w:val="bottom"/>
            <w:gridSpan w:val="30"/>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80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0"/>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9"/>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0" w:type="dxa"/>
            <w:vAlign w:val="bottom"/>
          </w:tcPr>
          <w:p>
            <w:pPr>
              <w:spacing w:after="0"/>
              <w:rPr>
                <w:sz w:val="24"/>
                <w:szCs w:val="24"/>
                <w:color w:val="auto"/>
              </w:rPr>
            </w:pPr>
          </w:p>
        </w:tc>
      </w:tr>
      <w:tr>
        <w:trPr>
          <w:trHeight w:val="229"/>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0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4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420" w:type="dxa"/>
            <w:vAlign w:val="bottom"/>
            <w:gridSpan w:val="2"/>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1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340" w:type="dxa"/>
            <w:vAlign w:val="bottom"/>
            <w:gridSpan w:val="3"/>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Lamar Advertising Company</w:t>
            </w:r>
          </w:p>
        </w:tc>
        <w:tc>
          <w:tcPr>
            <w:tcW w:w="6240" w:type="dxa"/>
            <w:vAlign w:val="bottom"/>
            <w:gridSpan w:val="12"/>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0"/>
              </w:rPr>
              <w:t>Overview</w:t>
            </w:r>
          </w:p>
        </w:tc>
        <w:tc>
          <w:tcPr>
            <w:tcW w:w="7240" w:type="dxa"/>
            <w:vAlign w:val="bottom"/>
            <w:gridSpan w:val="26"/>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6"/>
              </w:rPr>
              <w:t>Non-GAAP Financial Measures</w:t>
            </w:r>
          </w:p>
        </w:tc>
        <w:tc>
          <w:tcPr>
            <w:tcW w:w="5640" w:type="dxa"/>
            <w:vAlign w:val="bottom"/>
            <w:gridSpan w:val="10"/>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8"/>
              </w:rPr>
              <w:t>Results of Operations: Years Ended December 31, 2025 and 2024</w:t>
            </w:r>
          </w:p>
        </w:tc>
        <w:tc>
          <w:tcPr>
            <w:tcW w:w="3220" w:type="dxa"/>
            <w:vAlign w:val="bottom"/>
            <w:gridSpan w:val="4"/>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7"/>
              </w:rPr>
              <w:t>Liquidity and Capital Resources</w:t>
            </w:r>
          </w:p>
        </w:tc>
        <w:tc>
          <w:tcPr>
            <w:tcW w:w="5620" w:type="dxa"/>
            <w:vAlign w:val="bottom"/>
            <w:gridSpan w:val="9"/>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6"/>
              </w:rPr>
              <w:t>Critical Accounting Estimates</w:t>
            </w:r>
          </w:p>
        </w:tc>
        <w:tc>
          <w:tcPr>
            <w:tcW w:w="5780" w:type="dxa"/>
            <w:vAlign w:val="bottom"/>
            <w:gridSpan w:val="11"/>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7"/>
              </w:rPr>
              <w:t>Accounting Standards and Regulatory Update</w:t>
            </w:r>
          </w:p>
        </w:tc>
        <w:tc>
          <w:tcPr>
            <w:tcW w:w="4640" w:type="dxa"/>
            <w:vAlign w:val="bottom"/>
            <w:gridSpan w:val="8"/>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Lamar Media</w:t>
            </w:r>
          </w:p>
        </w:tc>
        <w:tc>
          <w:tcPr>
            <w:tcW w:w="7380" w:type="dxa"/>
            <w:vAlign w:val="bottom"/>
            <w:gridSpan w:val="28"/>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Results of Operations: Years Ended December 31, 2025 and 2024</w:t>
            </w:r>
          </w:p>
        </w:tc>
        <w:tc>
          <w:tcPr>
            <w:tcW w:w="3260" w:type="dxa"/>
            <w:vAlign w:val="bottom"/>
            <w:gridSpan w:val="5"/>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440" w:type="dxa"/>
            <w:vAlign w:val="bottom"/>
            <w:gridSpan w:val="7"/>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80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420" w:type="dxa"/>
            <w:vAlign w:val="bottom"/>
            <w:gridSpan w:val="2"/>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3460" w:type="dxa"/>
            <w:vAlign w:val="bottom"/>
            <w:gridSpan w:val="21"/>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40"/>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320" w:type="dxa"/>
            <w:vAlign w:val="bottom"/>
            <w:gridSpan w:val="2"/>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80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7"/>
          </w:tcPr>
          <w:p>
            <w:pPr>
              <w:spacing w:after="0"/>
              <w:rPr>
                <w:sz w:val="21"/>
                <w:szCs w:val="21"/>
                <w:color w:val="auto"/>
              </w:rPr>
            </w:pPr>
          </w:p>
        </w:tc>
        <w:tc>
          <w:tcPr>
            <w:tcW w:w="7040" w:type="dxa"/>
            <w:vAlign w:val="bottom"/>
            <w:gridSpan w:val="24"/>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0"/>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840" w:type="dxa"/>
            <w:vAlign w:val="bottom"/>
            <w:gridSpan w:val="6"/>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00" w:lineRule="exact"/>
        <w:rPr>
          <w:sz w:val="20"/>
          <w:szCs w:val="20"/>
          <w:color w:val="auto"/>
        </w:rPr>
      </w:pP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gridSpan w:val="4"/>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4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4320" w:type="dxa"/>
            <w:vAlign w:val="bottom"/>
            <w:gridSpan w:val="3"/>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2960" w:type="dxa"/>
            <w:vAlign w:val="bottom"/>
            <w:gridSpan w:val="2"/>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9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gridSpan w:val="4"/>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4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500" w:type="dxa"/>
            <w:vAlign w:val="bottom"/>
            <w:gridSpan w:val="4"/>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50"/>
        </w:trPr>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16.</w:t>
            </w:r>
          </w:p>
        </w:tc>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466"/>
        </w:trPr>
        <w:tc>
          <w:tcPr>
            <w:tcW w:w="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Index to Exhibits</w:t>
            </w:r>
          </w:p>
        </w:tc>
        <w:tc>
          <w:tcPr>
            <w:tcW w:w="1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50"/>
        </w:trPr>
        <w:tc>
          <w:tcPr>
            <w:tcW w:w="20" w:type="dxa"/>
            <w:vAlign w:val="bottom"/>
          </w:tcPr>
          <w:p>
            <w:pPr>
              <w:spacing w:after="0"/>
              <w:rPr>
                <w:sz w:val="21"/>
                <w:szCs w:val="21"/>
                <w:color w:val="auto"/>
              </w:rPr>
            </w:pPr>
          </w:p>
        </w:tc>
        <w:tc>
          <w:tcPr>
            <w:tcW w:w="12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gridSpan w:val="2"/>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91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6"/>
          </w:tcPr>
          <w:p>
            <w:pPr>
              <w:jc w:val="center"/>
              <w:ind w:left="2870"/>
              <w:spacing w:after="0"/>
              <w:rPr>
                <w:sz w:val="20"/>
                <w:szCs w:val="20"/>
                <w:color w:val="auto"/>
              </w:rPr>
            </w:pPr>
            <w:r>
              <w:rPr>
                <w:rFonts w:ascii="Times New Roman" w:cs="Times New Roman" w:eastAsia="Times New Roman" w:hAnsi="Times New Roman"/>
                <w:sz w:val="18"/>
                <w:szCs w:val="18"/>
                <w:color w:val="auto"/>
                <w:w w:val="88"/>
              </w:rPr>
              <w:t>3</w:t>
            </w: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56"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 (i) our future financial performance and condition; (ii) our business plans, objectives, prospects, growth and operating strategies; (iii) our future capital expenditures and level of acquisition activity; (iv) our ability to integrate acquired assets and realize operating efficiency from acquisitions; (v) market opportunities and competitive positions; (vi) our future cash flows and expected cash requirements; (vii) expected timing and amount of distributions to our stockholders; (viii) estimated risks; (ix) our ability to maintain compliance with applicable covenants and restrictions included in Lamar Media Corp’s (“Lamar Media”) senior credit facility, Accounts Receivable Securitization Program (as defined herein) and the indentures relating to its outstanding notes; (x) our stock price; and (xi) our ability to remain qualified as a real estate investment trust (“REIT”).</w:t>
      </w:r>
    </w:p>
    <w:p>
      <w:pPr>
        <w:spacing w:after="0" w:line="2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state of the economy and financial markets generally and their effects on the markets in which we operate and the broader demand for advertising including economic changes that may result from new or increased tariffs, trade restrictions or geopolitical tensions; (ii) the levels of expenditures on advertising in general and outdoor advertising in particular; (iii) risks and uncertainties relating to our significant indebtedness; (iv) the demand for outdoor advertising and its continued popularity as an advertising medium; (v) our need for, and ability to obtain, additional funding for acquisitions, operations and debt refinancing; (vi) increased competition within the outdoor advertising industry; (vii) the regulation of the outdoor advertising industry by federal, state and local governments; (viii) our ability to renew expiring contracts at favorable rates; (ix) the integration of businesses and assets that we acquire and our ability to recognize cost savings and operating efficiencies as a result of these acquisitions; (x) our ability to successfully implement our digital deployment strategy; (xi) the market for our Class A common stock; (xii) changes in accounting principles, policies or guidelines; (xiii) our ability to effectively mitigate the threat of and damages caused by hurricanes and other kinds of severe weather; (xiv) our ability to maintain our status as a REIT; (xv) changes in tax laws applicable to REITs or in the interpretation of those laws; and (xvi) other risk factors discussed under the “Risk Factors” section of this Annual Report on Form 10-K.</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industry and market data presented throughout this report are based on the experience and estimates of our management and the data in reports issued by third-parties, including the Out of Home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Advertising Company is one of the largest outdoor advertising companies in the United States based on number of displays and has operated under the Lamar name since 1902. We manage our business through three operating segments –billboard, logo and transit advertising. We rent space for advertising on billboards, buses, shelters, benches, logo plates and in airport terminals. We offer our customers a fully integrated service, satisfying all aspects of their display requirements from ad copy production to placement and maintenance.</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operate three types of outdoor advertising displays: billboards, logo signs and transit advertising displays.</w:t>
      </w:r>
    </w:p>
    <w:p>
      <w:pPr>
        <w:spacing w:after="0" w:line="250"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Billboards. </w:t>
      </w:r>
      <w:r>
        <w:rPr>
          <w:rFonts w:ascii="Times New Roman" w:cs="Times New Roman" w:eastAsia="Times New Roman" w:hAnsi="Times New Roman"/>
          <w:sz w:val="18"/>
          <w:szCs w:val="18"/>
          <w:color w:val="auto"/>
        </w:rPr>
        <w:t>As of December 31, 2025, we owned and operated approximately 159,300 billboard advertising displays in 45 states and Canada.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 most of our advertising space on two types of billboards: bulletins and posters.</w:t>
      </w:r>
    </w:p>
    <w:p>
      <w:pPr>
        <w:spacing w:after="0" w:line="226"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Bulletins </w:t>
      </w:r>
      <w:r>
        <w:rPr>
          <w:rFonts w:ascii="Times New Roman" w:cs="Times New Roman" w:eastAsia="Times New Roman" w:hAnsi="Times New Roman"/>
          <w:sz w:val="18"/>
          <w:szCs w:val="18"/>
          <w:color w:val="auto"/>
        </w:rPr>
        <w:t>are generally large, illuminated advertising structures that are located on major highways and target vehicular traffic.</w:t>
      </w:r>
    </w:p>
    <w:p>
      <w:pPr>
        <w:spacing w:after="0" w:line="103" w:lineRule="exact"/>
        <w:rPr>
          <w:rFonts w:ascii="Times New Roman" w:cs="Times New Roman" w:eastAsia="Times New Roman" w:hAnsi="Times New Roman"/>
          <w:sz w:val="18"/>
          <w:szCs w:val="18"/>
          <w:color w:val="auto"/>
        </w:rPr>
      </w:pPr>
    </w:p>
    <w:p>
      <w:pPr>
        <w:ind w:left="1140" w:right="20" w:hanging="565"/>
        <w:spacing w:after="0" w:line="378"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Posters </w:t>
      </w:r>
      <w:r>
        <w:rPr>
          <w:rFonts w:ascii="Times New Roman" w:cs="Times New Roman" w:eastAsia="Times New Roman" w:hAnsi="Times New Roman"/>
          <w:sz w:val="18"/>
          <w:szCs w:val="18"/>
          <w:color w:val="auto"/>
        </w:rPr>
        <w:t>are generally smaller advertising structures that are located on major traffic arteries and city streets and target vehicular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pedestrian traffic.</w:t>
      </w:r>
    </w:p>
    <w:p>
      <w:pPr>
        <w:spacing w:after="0" w:line="160"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In addition to traditional billboards, we also rent space on digital billboards, which are generally located on major traffic arteries and city streets. As of December 31, 2025, we owned and operated approximately 5,500 digital billboard advertising displays in 43 states and Canada.</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Logo signs. </w:t>
      </w:r>
      <w:r>
        <w:rPr>
          <w:rFonts w:ascii="Times New Roman" w:cs="Times New Roman" w:eastAsia="Times New Roman" w:hAnsi="Times New Roman"/>
          <w:sz w:val="18"/>
          <w:szCs w:val="18"/>
          <w:color w:val="auto"/>
        </w:rPr>
        <w:t>We rent advertising space on logo signs located near highway exits.</w:t>
      </w:r>
    </w:p>
    <w:p>
      <w:pPr>
        <w:spacing w:after="0" w:line="295" w:lineRule="exact"/>
        <w:rPr>
          <w:sz w:val="20"/>
          <w:szCs w:val="20"/>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Logo signs generally advertise nearby gas, food, camping, lodging and other attractions.</w:t>
      </w:r>
    </w:p>
    <w:p>
      <w:pPr>
        <w:spacing w:after="0" w:line="30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We are the largest provider of logo signs in the United States, operating 24 of the 28 privatized state logo sign contracts. As of December 31, 2025, we operated over 144,400 logo sign advertising displays in 24 states and the province of Ontario, Canada.</w:t>
      </w:r>
    </w:p>
    <w:p>
      <w:pPr>
        <w:spacing w:after="0" w:line="187"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Transit advertising displays. </w:t>
      </w:r>
      <w:r>
        <w:rPr>
          <w:rFonts w:ascii="Times New Roman" w:cs="Times New Roman" w:eastAsia="Times New Roman" w:hAnsi="Times New Roman"/>
          <w:sz w:val="18"/>
          <w:szCs w:val="18"/>
          <w:color w:val="auto"/>
        </w:rPr>
        <w:t>We also rent advertising space on the exterior and interior of public transportation vehicles, in airport terminals,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 shelters and benches in over 80 markets. As of December 31, 2025, we operated approximately 40,600 transit advertising displays in 23 states and Canada.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have operated under the Lamar name since our founding in 1902 and have been publicly traded on NASDAQ under the symbol “LAMR”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1996.</w:t>
      </w:r>
    </w:p>
    <w:p>
      <w:pPr>
        <w:spacing w:after="0" w:line="23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During 2014, we completed a reorganization in order to qualify as a real estate investment trust (a “REIT”) for federal income tax purposes. During 2022, the Company completed a tax reorganization to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and we refer to Lamar Advertising’s wholly owned subsidiary Lamar Media Corp. as “Lamar Media.”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STRATEGIES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strive to be a leading provider of outdoor advertising services in each of the markets that we serve, and our operating strategies for achieving that goal include:</w:t>
      </w:r>
    </w:p>
    <w:p>
      <w:pPr>
        <w:spacing w:after="0" w:line="185"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provide high quality local sales and service. </w:t>
      </w:r>
      <w:r>
        <w:rPr>
          <w:rFonts w:ascii="Times New Roman" w:cs="Times New Roman" w:eastAsia="Times New Roman" w:hAnsi="Times New Roman"/>
          <w:sz w:val="18"/>
          <w:szCs w:val="18"/>
          <w:color w:val="auto"/>
        </w:rPr>
        <w:t>We seek to identify and closely monitor the needs of our tenants and to provide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full complement of high quality advertising services. Local advertising constituted approximately 79% of our outdoor net revenues for the year ended December 31, 2025, which management believes is higher than the industry average. We believe that the experience of our regional, territory and local managers has contributed greatly to our success. For example, our regional managers have been with us for an average of 34 years. In an effort to provide high quality sales and service at the local level, we employed approximately 1,000 local account executives as of December 31, 2025. Local account executives are typically supported by additional local staff and have the ability to draw upon the resources of our central office, as well as our offices in other markets, in the event business opportunities or customers’ needs support such an allocation of resources.</w:t>
      </w:r>
    </w:p>
    <w:p>
      <w:pPr>
        <w:spacing w:after="0" w:line="210" w:lineRule="exact"/>
        <w:rPr>
          <w:sz w:val="20"/>
          <w:szCs w:val="20"/>
          <w:color w:val="auto"/>
        </w:rPr>
      </w:pPr>
    </w:p>
    <w:p>
      <w:pPr>
        <w:jc w:val="both"/>
        <w:ind w:firstLine="56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a centralized control and decentralized management structure. </w:t>
      </w:r>
      <w:r>
        <w:rPr>
          <w:rFonts w:ascii="Times New Roman" w:cs="Times New Roman" w:eastAsia="Times New Roman" w:hAnsi="Times New Roman"/>
          <w:sz w:val="18"/>
          <w:szCs w:val="18"/>
          <w:color w:val="auto"/>
        </w:rPr>
        <w:t>Our management believes that, for our particular business, centralized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203"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focus on internal growth. </w:t>
      </w:r>
      <w:r>
        <w:rPr>
          <w:rFonts w:ascii="Times New Roman" w:cs="Times New Roman" w:eastAsia="Times New Roman" w:hAnsi="Times New Roman"/>
          <w:sz w:val="18"/>
          <w:szCs w:val="18"/>
          <w:color w:val="auto"/>
        </w:rPr>
        <w:t>Within our existing markets we seek to increase our revenue and improve cash flow by employing 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20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addition, we routinely invest in upgrading our existing displays and constructing new displays. Since January 1, 2016, we have invested approximately $1.32 billion in capitalized expenditures, which include improvements to our existing real estate portfolio, improvements to recently acquired locations and the construction of new locations. Our regular improvement and expansion of our advertising display inventory allows us to provide high quality service to our current tenants and to attract new tenants.</w:t>
      </w:r>
    </w:p>
    <w:p>
      <w:pPr>
        <w:spacing w:after="0" w:line="203" w:lineRule="exact"/>
        <w:rPr>
          <w:sz w:val="20"/>
          <w:szCs w:val="20"/>
          <w:color w:val="auto"/>
        </w:rPr>
      </w:pPr>
    </w:p>
    <w:p>
      <w:pPr>
        <w:jc w:val="both"/>
        <w:ind w:firstLine="56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pursue other outdoor advertising opportunities. </w:t>
      </w:r>
      <w:r>
        <w:rPr>
          <w:rFonts w:ascii="Times New Roman" w:cs="Times New Roman" w:eastAsia="Times New Roman" w:hAnsi="Times New Roman"/>
          <w:sz w:val="18"/>
          <w:szCs w:val="18"/>
          <w:color w:val="auto"/>
        </w:rPr>
        <w:t>We plan to renew existing logo sign contracts and pursue additional logo 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and airport advertising opportunities as they become available.</w:t>
      </w:r>
    </w:p>
    <w:p>
      <w:pPr>
        <w:spacing w:after="0" w:line="206"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Reinvesting in capital expenditures including digital technology. </w:t>
      </w:r>
      <w:r>
        <w:rPr>
          <w:rFonts w:ascii="Times New Roman" w:cs="Times New Roman" w:eastAsia="Times New Roman" w:hAnsi="Times New Roman"/>
          <w:sz w:val="18"/>
          <w:szCs w:val="18"/>
          <w:color w:val="auto"/>
        </w:rPr>
        <w:t>We have a history of investing in capital expenditures, particularly in our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We spent $180.8 million in total capital expenditures in fiscal year 2025, of which $90.9 million was spent on digital technology. We expect our 2026 capitalized expenditures to be approximately $186 million.</w:t>
      </w:r>
    </w:p>
    <w:p>
      <w:pPr>
        <w:spacing w:after="0" w:line="198" w:lineRule="exact"/>
        <w:rPr>
          <w:sz w:val="20"/>
          <w:szCs w:val="20"/>
          <w:color w:val="auto"/>
        </w:rPr>
      </w:pPr>
    </w:p>
    <w:p>
      <w:pPr>
        <w:jc w:val="both"/>
        <w:ind w:firstLine="56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our out-of-home programmatic channel. </w:t>
      </w:r>
      <w:r>
        <w:rPr>
          <w:rFonts w:ascii="Times New Roman" w:cs="Times New Roman" w:eastAsia="Times New Roman" w:hAnsi="Times New Roman"/>
          <w:sz w:val="18"/>
          <w:szCs w:val="18"/>
          <w:color w:val="auto"/>
        </w:rPr>
        <w:t>We offer a portion of our unsold digital display inventory to advertisers via our programmatic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Through these programmatic partners, advertisers can buy advertising space across multiple channels, allowing them to complement their existing campaigns by leasing our digital out-of-home offerings. While the programmatic out-of-home channel is 2% of our existing outdoor business and relatively new, we believe it represents a growth area for our industry and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 STRATEGY</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excluding net capital gains. After complying with our REIT distribution requirements, we plan to continue to allocate our available capital among investment alternatives that meet our return on investment criteria. During 2025, we generated $864.0 million of cash from operating activities, which was used to fund capital expenditures, acquisitions, and dividends to our stockholders.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left="1140" w:hanging="565"/>
        <w:spacing w:after="0" w:line="262" w:lineRule="auto"/>
        <w:tabs>
          <w:tab w:leader="none" w:pos="11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Capital expenditures program. </w:t>
      </w:r>
      <w:r>
        <w:rPr>
          <w:rFonts w:ascii="Times New Roman" w:cs="Times New Roman" w:eastAsia="Times New Roman" w:hAnsi="Times New Roman"/>
          <w:sz w:val="18"/>
          <w:szCs w:val="18"/>
          <w:color w:val="auto"/>
        </w:rPr>
        <w:t>We will continue to reinvest in our existing assets and expand our outdoor advertising display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new construction. This includes growth, maintenance and other non-recurring capital expenditures associated with the construction of new and existing billboard displays, the entrance into and renewal of logo sign and transit contracts, technology-related investments and the purchase of real estate and operating equipment.</w:t>
      </w:r>
    </w:p>
    <w:p>
      <w:pPr>
        <w:spacing w:after="0" w:line="203" w:lineRule="exact"/>
        <w:rPr>
          <w:rFonts w:ascii="Times New Roman" w:cs="Times New Roman" w:eastAsia="Times New Roman" w:hAnsi="Times New Roman"/>
          <w:sz w:val="18"/>
          <w:szCs w:val="18"/>
          <w:b w:val="1"/>
          <w:bCs w:val="1"/>
          <w:i w:val="1"/>
          <w:iCs w:val="1"/>
          <w:color w:val="auto"/>
        </w:rPr>
      </w:pPr>
    </w:p>
    <w:p>
      <w:pPr>
        <w:jc w:val="both"/>
        <w:ind w:left="1140" w:hanging="565"/>
        <w:spacing w:after="0" w:line="268" w:lineRule="auto"/>
        <w:tabs>
          <w:tab w:leader="none" w:pos="11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We will seek to pursue strategic acquisitions of outdoor advertising businesses and assets. This includes acquisitions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markets and in new markets where we can meet our return on investment criteria. When evaluating investments in new markets, our return on investment criteria reflects the additional risks inherent to the particular geographic area.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Billboard Advertising</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rent most of our advertising space on two types of billboard advertising displays: bulletins and posters. As of December 31, 2025, we owned and operated approximately 159,300 billboard advertising displays in 45 states and Canada. In 2025, we derived approximately 77% of our billboard advertising net revenues from bulletin rentals and 23% from poster rentals.</w:t>
      </w:r>
    </w:p>
    <w:p>
      <w:pPr>
        <w:spacing w:after="0" w:line="20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Bulletins </w:t>
      </w:r>
      <w:r>
        <w:rPr>
          <w:rFonts w:ascii="Times New Roman" w:cs="Times New Roman" w:eastAsia="Times New Roman" w:hAnsi="Times New Roman"/>
          <w:sz w:val="18"/>
          <w:szCs w:val="18"/>
          <w:color w:val="auto"/>
        </w:rPr>
        <w:t>are large advertising structures consisting of panels (the most common size is 14 feet high by 48 feet wide, or 672 square feet)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copy is displayed. We wrap advertising copy printed with computer-generated graphics on a single sheet of vinyl around the structure. To attract more attention, some of the panels may extend beyond the linear edges of the display face and may include three-dimensional embellishments. Because of their greater impact and higher cost, bulletins are usually located on major highways and target vehicular traffic. At December 31, 2025, we operated approximately 79,600 bulletin displays.</w:t>
      </w:r>
    </w:p>
    <w:p>
      <w:pPr>
        <w:spacing w:after="0" w:line="21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generally rent individually-selected bulletin space to advertisers for the duration of the contract (ranging from 4 to 52 weeks). We also rent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20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Posters </w:t>
      </w:r>
      <w:r>
        <w:rPr>
          <w:rFonts w:ascii="Times New Roman" w:cs="Times New Roman" w:eastAsia="Times New Roman" w:hAnsi="Times New Roman"/>
          <w:sz w:val="18"/>
          <w:szCs w:val="18"/>
          <w:color w:val="auto"/>
        </w:rPr>
        <w:t>are smaller advertising structures (the most common panel size is 11 feet high by 23 feet wide, or 253 square feet; we also operate junior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posters, which are 5 feet high by 11 feet wide, or 55 square feet). Poster panels utilize a single flexible sheet of polyethylene material that inserts onto the face of the panel. Posters are concentrated on major traffic arteries and target vehicular traffic, and junior posters are concentrated on city streets and target hard-to-reach pedestrian traffic and nearby residents. At December 31, 2025, we operated approximately 79,700 poster displays.</w:t>
      </w:r>
    </w:p>
    <w:p>
      <w:pPr>
        <w:spacing w:after="0" w:line="20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generally rent poster space for 4 to 26 weeks, determined by the advertiser’s campaign needs. Posters are sold in packages of Target Rating Point (“TRP”) levels, which determine the percentage of a target audience an advertiser needs to reach. A package may include a combination of poster locations in order to meet reach and frequency campaign goals.</w:t>
      </w:r>
    </w:p>
    <w:p>
      <w:pPr>
        <w:spacing w:after="0" w:line="20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addition to the traditional static displays, we also rent digital billboards. Digital billboards are large electronic light emitting diode (“LED”) displays (the most common sizes are 14 feet high by 48 feet wide, or 672 square feet; 10.5 feet high by 36 feet wide, or 378 square feet; and 10 feet high by 21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2025, our inventory included approximately 5,500 digital display billboards in various markets. These 5,500 digital billboards generated approximately 33% of billboard advertising net revenues.</w:t>
      </w:r>
    </w:p>
    <w:p>
      <w:pPr>
        <w:spacing w:after="0" w:line="21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 advertiser’s market by using software that allows us to analyze the target audience and its demographics. Our artists also assist in developing marketing presentations, demonstrations and strategies to attract new tenant advertisers.</w:t>
      </w:r>
    </w:p>
    <w:p>
      <w:pPr>
        <w:spacing w:after="0" w:line="21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Logo Sign Advertising</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entered the logo sign advertising business in 1988 and have become the largest provider of logo sign services in the United States, operating 24 of the 28 privatized state logo contracts. We erect logo signs, which generally advertise nearby gas, food, camping, lodging and other attractions, and directional signs, which direct vehicle traffic to nearby services and tourist attractions, near highway exits. As of December 31, 2025, we operated approximately 43,700 logo sign structures containing over 144,400 logo advertising displays in the United States and Canada.</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operate the logo sign contracts in the province of Ontario, Canada and in the following states: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Alabama</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Georgia</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Michigan</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Montana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Hampshire</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Ohio</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Kansas</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Minnesota</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Nebraska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Jersey</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Oklahoma</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Utah</w:t>
            </w:r>
          </w:p>
        </w:tc>
      </w:tr>
      <w:tr>
        <w:trPr>
          <w:trHeight w:val="26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Kentucky</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Mississippi</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Nevada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Mexico</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Carolina</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Wisconsin</w:t>
            </w: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Louisiana</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Missouri</w:t>
            </w:r>
            <w:r>
              <w:rPr>
                <w:rFonts w:ascii="Times New Roman" w:cs="Times New Roman" w:eastAsia="Times New Roman" w:hAnsi="Times New Roman"/>
                <w:sz w:val="28"/>
                <w:szCs w:val="28"/>
                <w:color w:val="auto"/>
                <w:vertAlign w:val="superscript"/>
              </w:rPr>
              <w:t>(1)</w:t>
            </w: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430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logo sign contract in Missouri is operated by a 66 2/3% owned partnership.</w:t>
      </w:r>
    </w:p>
    <w:p>
      <w:pPr>
        <w:spacing w:after="0" w:line="25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also operate the tourist oriented directional signing (“TODS”) programs for the states of Colorado, Kansas, Kentucky, Louisiana, Michigan, Mississippi, Missouri, Montana, Nebraska, Nevada, New Jersey, Ohio, South Carolina, Utah, and the province of Ontario, Canada, providing approximately 16,400 advertising displays.</w:t>
      </w:r>
    </w:p>
    <w:p>
      <w:pPr>
        <w:spacing w:after="0" w:line="20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25 logo sign contracts in place, in the United States and Canada, at December 31, 2025, seven are subject to renewal or expiration in 2026.</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 Advertising</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entered into the transit advertising business in 1993 as a way to complement our existing business and maintain market share in certain markets. Transit contracts are generally with the local municipalities and airport authorities and allow us the exclusive right to rent advertising space to customers in airports and on buses, benches or shelters. The terms of the contracts vary but generally range between 3 to 10 years, many with renewable options for contract extension. We rent transit advertising displays in airport terminals and on bus shelters, benches and buses in over 80 transit markets, and our production staff provides a full range of creative and installation services to our transit advertising tenants. As of December 31, 2025, we operated approximately 40,600 transit advertising displays in 23 states and Canada.</w:t>
      </w:r>
    </w:p>
    <w:p>
      <w:pPr>
        <w:spacing w:after="0" w:line="21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and airport displays) upon being awarded contracts.</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189" w:lineRule="exact"/>
        <w:rPr>
          <w:sz w:val="20"/>
          <w:szCs w:val="20"/>
          <w:color w:val="auto"/>
        </w:rPr>
      </w:pPr>
    </w:p>
    <w:p>
      <w:pPr>
        <w:jc w:val="both"/>
        <w:ind w:left="1140" w:hanging="565"/>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outdoor advertising providers, such as (i) Clear Channel Outdoor Holdings, Inc., which operates billboards, street furniture displays, transit displays and other out-of-home advertising displays and (ii) Outfront Media, Inc., which operates traditional outdoor, street furniture and transit advertising properties.</w:t>
      </w:r>
    </w:p>
    <w:p>
      <w:pPr>
        <w:spacing w:after="0" w:line="202"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Broadcast, cable and streaming television, radio, print media, direct mail marketing, the internet, social media and applications used in conjunction with wireless devices.</w:t>
      </w:r>
    </w:p>
    <w:p>
      <w:pPr>
        <w:spacing w:after="0" w:line="188"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increasing variety of out-of-home advertising media, such as advertising displays in shopping centers, malls, airports, stadiums, movie theaters, supermarkets and advertising displays on taxis, trains and buses.</w:t>
      </w:r>
    </w:p>
    <w:p>
      <w:pPr>
        <w:spacing w:after="0" w:line="18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21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believe that our strong emphasis on sales and customer service and our position as a major provider of advertising services in each of our primary markets enable us to compete effectively with the other outdoor advertising companies, as well as with other media, within those markets.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DIVERSIFICATION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advertising displays are geographically diversified across the United States and Canada. The following table sets forth information regarding the geographic diversification of our advertising displays, which are listed in order of contribution to total revenue. Markets with less than 1% of total displays are grouped in the category “all other United States.”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gridSpan w:val="7"/>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Percentage of Revenues for the year ended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8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 Displays for the year ended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2"/>
        </w:trPr>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2"/>
        </w:trPr>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0"/>
        </w:trPr>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Static</w:t>
            </w:r>
          </w:p>
        </w:tc>
        <w:tc>
          <w:tcPr>
            <w:tcW w:w="12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Digital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Static</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Digital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1"/>
        </w:trPr>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Billboard</w:t>
            </w:r>
          </w:p>
        </w:tc>
        <w:tc>
          <w:tcPr>
            <w:tcW w:w="120" w:type="dxa"/>
            <w:vAlign w:val="bottom"/>
          </w:tcPr>
          <w:p>
            <w:pPr>
              <w:spacing w:after="0"/>
              <w:rPr>
                <w:sz w:val="10"/>
                <w:szCs w:val="10"/>
                <w:color w:val="auto"/>
              </w:rPr>
            </w:pPr>
          </w:p>
        </w:tc>
        <w:tc>
          <w:tcPr>
            <w:tcW w:w="700" w:type="dxa"/>
            <w:vAlign w:val="bottom"/>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Billboard</w:t>
            </w:r>
          </w:p>
        </w:tc>
        <w:tc>
          <w:tcPr>
            <w:tcW w:w="10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Transit</w:t>
            </w:r>
          </w:p>
        </w:tc>
        <w:tc>
          <w:tcPr>
            <w:tcW w:w="160" w:type="dxa"/>
            <w:vAlign w:val="bottom"/>
          </w:tcPr>
          <w:p>
            <w:pPr>
              <w:spacing w:after="0"/>
              <w:rPr>
                <w:sz w:val="10"/>
                <w:szCs w:val="10"/>
                <w:color w:val="auto"/>
              </w:rPr>
            </w:pPr>
          </w:p>
        </w:tc>
        <w:tc>
          <w:tcPr>
            <w:tcW w:w="7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Logo</w:t>
            </w:r>
          </w:p>
        </w:tc>
        <w:tc>
          <w:tcPr>
            <w:tcW w:w="200" w:type="dxa"/>
            <w:vAlign w:val="bottom"/>
          </w:tcPr>
          <w:p>
            <w:pPr>
              <w:spacing w:after="0"/>
              <w:rPr>
                <w:sz w:val="10"/>
                <w:szCs w:val="10"/>
                <w:color w:val="auto"/>
              </w:rPr>
            </w:pPr>
          </w:p>
        </w:tc>
        <w:tc>
          <w:tcPr>
            <w:tcW w:w="9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8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Billboard</w:t>
            </w: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Billboard</w:t>
            </w:r>
          </w:p>
        </w:tc>
        <w:tc>
          <w:tcPr>
            <w:tcW w:w="100" w:type="dxa"/>
            <w:vAlign w:val="bottom"/>
          </w:tcPr>
          <w:p>
            <w:pPr>
              <w:spacing w:after="0"/>
              <w:rPr>
                <w:sz w:val="10"/>
                <w:szCs w:val="10"/>
                <w:color w:val="auto"/>
              </w:rPr>
            </w:pPr>
          </w:p>
        </w:tc>
        <w:tc>
          <w:tcPr>
            <w:tcW w:w="8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1"/>
                <w:szCs w:val="11"/>
                <w:b w:val="1"/>
                <w:bCs w:val="1"/>
                <w:color w:val="auto"/>
              </w:rPr>
              <w:t>Transit</w:t>
            </w:r>
          </w:p>
        </w:tc>
        <w:tc>
          <w:tcPr>
            <w:tcW w:w="96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Logo</w:t>
            </w:r>
          </w:p>
        </w:tc>
        <w:tc>
          <w:tcPr>
            <w:tcW w:w="7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of Total</w:t>
            </w:r>
          </w:p>
        </w:tc>
      </w:tr>
      <w:tr>
        <w:trPr>
          <w:trHeight w:val="156"/>
        </w:trPr>
        <w:tc>
          <w:tcPr>
            <w:tcW w:w="1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20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Displays</w:t>
            </w:r>
          </w:p>
        </w:tc>
        <w:tc>
          <w:tcPr>
            <w:tcW w:w="120" w:type="dxa"/>
            <w:vAlign w:val="bottom"/>
          </w:tcPr>
          <w:p>
            <w:pPr>
              <w:spacing w:after="0"/>
              <w:rPr>
                <w:sz w:val="13"/>
                <w:szCs w:val="13"/>
                <w:color w:val="auto"/>
              </w:rPr>
            </w:pPr>
          </w:p>
        </w:tc>
        <w:tc>
          <w:tcPr>
            <w:tcW w:w="700" w:type="dxa"/>
            <w:vAlign w:val="bottom"/>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Displays</w:t>
            </w: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Displays</w:t>
            </w:r>
          </w:p>
        </w:tc>
        <w:tc>
          <w:tcPr>
            <w:tcW w:w="16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Displays</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Displays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Displays</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Displays</w:t>
            </w:r>
          </w:p>
        </w:tc>
        <w:tc>
          <w:tcPr>
            <w:tcW w:w="10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Displays</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Displays</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Displays</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Displays</w:t>
            </w:r>
          </w:p>
        </w:tc>
      </w:tr>
      <w:tr>
        <w:trPr>
          <w:trHeight w:val="22"/>
        </w:trPr>
        <w:tc>
          <w:tcPr>
            <w:tcW w:w="1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3"/>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Las Vegas, NV</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 NY</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0"/>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Chicago, IL</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Pittsburgh, PA</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9"/>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Nashville, TN</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Phoenix, AZ</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10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9"/>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Dallas, TX</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Knoxville, TN</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Bernardino,</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5"/>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Atlanta, GA</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9"/>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Reading, PA</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Cleveland, OH</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9"/>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Seattle, WA</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Indianapolis, IN</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0"/>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Birmingham, AL</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Raleigh, NC</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Oklahoma City,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5"/>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OK</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Richmond, VA</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0"/>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Hartford, CT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Greenville, SC</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0"/>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Cincinnati, OH</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93"/>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Pensacola, FL</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US Logo</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5"/>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93.4 %</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148,143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148,143</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r>
      <w:tr>
        <w:trPr>
          <w:trHeight w:val="18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United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8"/>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64.9 %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119,055</w:t>
            </w:r>
          </w:p>
        </w:tc>
        <w:tc>
          <w:tcPr>
            <w:tcW w:w="1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25,025</w:t>
            </w:r>
          </w:p>
        </w:tc>
        <w:tc>
          <w:tcPr>
            <w:tcW w:w="10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148,024</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0"/>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Canada</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86"/>
        </w:trPr>
        <w:tc>
          <w:tcPr>
            <w:tcW w:w="1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153,801</w:t>
            </w:r>
          </w:p>
        </w:tc>
        <w:tc>
          <w:tcPr>
            <w:tcW w:w="120" w:type="dxa"/>
            <w:vAlign w:val="bottom"/>
          </w:tcPr>
          <w:p>
            <w:pPr>
              <w:spacing w:after="0"/>
              <w:rPr>
                <w:sz w:val="16"/>
                <w:szCs w:val="16"/>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5,553</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40,605</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160,832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360,791</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37"/>
        </w:trPr>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(in</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5"/>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1,382.2</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631.6</w:t>
            </w:r>
          </w:p>
        </w:tc>
        <w:tc>
          <w:tcPr>
            <w:tcW w:w="9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   163.2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2,266.2</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75"/>
        </w:trPr>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Logo displays at December 31, 2025 include 16,405 displays related to the tourist oriented directional signing ("TODS") programs.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TAXABLE REIT SUBSIDIARIES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investments, certain partnerships and our foreign operations. We may, from time to time, change the election of previously designated TRSs to be treated as qualified REIT subsidiaries (“QRSs”) or other disregarded entities, and may reorganize and transfer certain assets or operations from our TRSs to other subsidiaries, including QRSs.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2025 and 2024, the annual taxable income generated by our TRSs in the aggregate was approximately $131.2 million and $29.8 million,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TENANTS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tenant base is diverse. The table below sets forth the industries from which we derived most of our billboard advertising revenues for the year ended December 31, 2025, as well as the percentage of billboard advertising revenues attributable to the advertisers in those industries. The individual advertisers in these industries accounted for approximately 86% of our billboard advertising net revenues in the year ended December 31, 2025. No individual tenant accounted for more than 2% of our billboard advertising net revenues in that period.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Net</w:t>
            </w:r>
          </w:p>
        </w:tc>
        <w:tc>
          <w:tcPr>
            <w:tcW w:w="0" w:type="dxa"/>
            <w:vAlign w:val="bottom"/>
          </w:tcPr>
          <w:p>
            <w:pPr>
              <w:spacing w:after="0"/>
              <w:rPr>
                <w:sz w:val="1"/>
                <w:szCs w:val="1"/>
                <w:color w:val="auto"/>
              </w:rPr>
            </w:pPr>
          </w:p>
        </w:tc>
      </w:tr>
      <w:tr>
        <w:trPr>
          <w:trHeight w:val="176"/>
        </w:trPr>
        <w:tc>
          <w:tcPr>
            <w:tcW w:w="9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Categories</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Billboard</w:t>
            </w:r>
          </w:p>
        </w:tc>
        <w:tc>
          <w:tcPr>
            <w:tcW w:w="0" w:type="dxa"/>
            <w:vAlign w:val="bottom"/>
          </w:tcPr>
          <w:p>
            <w:pPr>
              <w:spacing w:after="0"/>
              <w:rPr>
                <w:sz w:val="1"/>
                <w:szCs w:val="1"/>
                <w:color w:val="auto"/>
              </w:rPr>
            </w:pPr>
          </w:p>
        </w:tc>
      </w:tr>
      <w:tr>
        <w:trPr>
          <w:trHeight w:val="190"/>
        </w:trPr>
        <w:tc>
          <w:tcPr>
            <w:tcW w:w="9320" w:type="dxa"/>
            <w:vAlign w:val="bottom"/>
            <w:gridSpan w:val="2"/>
            <w:vMerge w:val="continue"/>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Advertising Revenues</w:t>
            </w:r>
          </w:p>
        </w:tc>
        <w:tc>
          <w:tcPr>
            <w:tcW w:w="0" w:type="dxa"/>
            <w:vAlign w:val="bottom"/>
          </w:tcPr>
          <w:p>
            <w:pPr>
              <w:spacing w:after="0"/>
              <w:rPr>
                <w:sz w:val="1"/>
                <w:szCs w:val="1"/>
                <w:color w:val="auto"/>
              </w:rPr>
            </w:pPr>
          </w:p>
        </w:tc>
      </w:tr>
      <w:tr>
        <w:trPr>
          <w:trHeight w:val="23"/>
        </w:trPr>
        <w:tc>
          <w:tcPr>
            <w:tcW w:w="9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Amusement - Entertainment/Sports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 Banks, Credit Unions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Beverage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 Construction</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Governmental/Nonprofit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7"/>
        </w:trPr>
        <w:tc>
          <w:tcPr>
            <w:tcW w:w="9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(the “HBA”), regulates outdoor advertising on Federal — Aid Primary, Interstate and National Highway System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21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continued to expand the deployment of digital billboards, which display static digital advertising copy from various advertisers that changes every 6 to 8 seconds. We have encountered some existing regulations that restrict or prohibit these types of digital displays, but it has not yet materially impacted our digital deployment. However, new regulations could be enacted to impose greater restrictions on digital billboards due to alleged concerns over aesthetics or driver safety.</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findings of future studies related to the impact of digital billboards on driver safety issues, if any,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PORTFOLIO</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headquarters is located in Baton Rouge, Louisiana. We also own 126 local operating facilities with front office administration and sales office space connected to back-shop poster and bulletin production space. In addition, we lease an additional 171 operating facilities at an aggregate lease expense for 2025 of approximately $10.6 million.</w:t>
      </w:r>
    </w:p>
    <w:p>
      <w:pPr>
        <w:spacing w:after="0" w:line="20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We own approximately 11,200 parcels of property beneath our advertising displays. As of December 31, 2025, we leased approximately 71,500 outdoor sites, accounting for an annualized lease expense of approximately $348.1 million. This amount represented approximately 17% of billboard advertising net revenues for that period. These leases are for varying terms ranging from month-to-month to a term of over ten years, and many provide us with renewal options. Our lease agreements generally permit us to use the land for the construction, repair and relocation of outdoor advertising displays, including all rights necessary to access and maintain the site. Approximately 73% of our leases will expire or be subject to renewal in the next 5 years, 17% will expire or be subject to renewal in 6 to 10 years and 10%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number of leased and owned sites by state as of December 31, 2025, which is sorted from greatest to least in number and percentage of leased sites. States in which we lease less than 2% of our portfolio are grouped in the category “All Other States and Canada”.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billboard leased</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owned</w:t>
            </w:r>
          </w:p>
        </w:tc>
        <w:tc>
          <w:tcPr>
            <w:tcW w:w="1440" w:type="dxa"/>
            <w:vAlign w:val="bottom"/>
          </w:tcPr>
          <w:p>
            <w:pPr>
              <w:spacing w:after="0"/>
              <w:rPr>
                <w:sz w:val="15"/>
                <w:szCs w:val="15"/>
                <w:color w:val="auto"/>
              </w:rPr>
            </w:pPr>
          </w:p>
        </w:tc>
      </w:tr>
      <w:tr>
        <w:trPr>
          <w:trHeight w:val="19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sites</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billboard sites</w:t>
            </w: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37"/>
        </w:trPr>
        <w:tc>
          <w:tcPr>
            <w:tcW w:w="53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States and Canada</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36"/>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71,537</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EXPIRATIONS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4"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People. </w:t>
      </w:r>
      <w:r>
        <w:rPr>
          <w:rFonts w:ascii="Times New Roman" w:cs="Times New Roman" w:eastAsia="Times New Roman" w:hAnsi="Times New Roman"/>
          <w:sz w:val="18"/>
          <w:szCs w:val="18"/>
          <w:color w:val="auto"/>
        </w:rPr>
        <w:t>We employed over 3,500 people as of December 31, 2025. Over 340 employees were engaged in overall management and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at our corporate headquarters in Baton Rouge, Louisiana, and the remainder, including approximately 1,000 local account executives, were employed in our operating offices.</w:t>
      </w:r>
    </w:p>
    <w:p>
      <w:pPr>
        <w:spacing w:after="0" w:line="20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Fifteen of our local offices employ billposters and construction personnel who are covered by collective bargaining agreements. We believe that our relationship with our employees, including our approximately 90 unionized employees, is favorable, and we have never experienced a strike or work stoppage.</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Lamar’s business continues to grow, so does the Company’s strong commitment to recruiting a work force with diverse talents, as well as to developing and retaining the successful members of our sales and management teams. Our 1,000 local account executives and approximately 170 local management employees have been with the Company for an average of 13 years. We regularly provide on-site training and remote sales training videos to enhance the skills of our sales and management team members.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employ approximately 1,100 operations employees, including operations management. These employees are responsible for installing advertising copy, maintaining our billboard inventory and ensuring our billboards, logos and transit displays are in safe operating condition. We empower these employees to have a safety-first mentality, which includes the authority to stop an installation or other work job for any safety concern. We also provide training and certification to our operations employees, including training for crane operations and climbing safety. Our management regularly conducts scheduled safety meetings and unscheduled job observations to ensure that we maintain a safety mindset every day.</w:t>
      </w:r>
    </w:p>
    <w:p>
      <w:pPr>
        <w:spacing w:after="0" w:line="208"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We recognize that our organization grows stronger as we are able to draw on the skills of employees with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backgrounds and life experiences, particularly as the audiences that we serve become more diverse. We want to embrace Lamar employees’ unique differences of race, gender and gender identity, religion, sexual orientation, ethnicity, nationality, socioeconomic status, language, ability, age, religious commitment, veteran status, or political perspective. As such, we are committed to cultivating a culture where all employees see the opportunity to show up to work as their most authentic selves.</w:t>
      </w:r>
    </w:p>
    <w:p>
      <w:pPr>
        <w:spacing w:after="0" w:line="21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have established several initiatives aimed at further diversifying our work force, including establishing an alliance with several hiring networks that helps bring us a more diverse pool of candidates. Our Executive Vice President of Human Resources and the HR department are charged with providing training that grows and develops our teams and reinforces our commitment to treat all of our employees with dignity and respect.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a result of the inflationary environment in the U.S., we have experienced increases in our direct and general and administrative costs, including increases in labor costs, health insurance, utilities and equipment rentals. Increases in expenses were largely offset by increases in our advertising rates. We will continue to monitor the inflationary environment and these pressures and any resulting impacts on our financial position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 a significant portion of our expenses is fixed, a reduction in revenues in any quarter is likely to result in a period-to-period decline in operating performance and net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our website is not part of this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substantial debt may adversely affect its business, financial condition and financial results.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has borrowed substantially in the past and will continue to borrow in the future. At December 31, 2025, Lamar Advertising Company’s wholly owned subsidiary, Lamar Media, had approximately $3.42 billion of total debt outstanding, net of deferred financing costs, consisting of approximately $688.6 million in bank debt outstanding under Lamar Media’s senior credit facility, $2.48 billion in various series of senior notes, $249.6 million under the Accounts Receivable Securitization Program and $0.8 million in other seller notes. Despite the level of debt presently outstanding, the terms of the indentures governing Lamar Media’s notes and the terms of the senior credit facility and Accounts Receivable Securitization Program allow Lamar Media to incur substantially more debt, including approximately $742.2 million available for borrowing under the revolving credit facility as of December 31,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substantial debt and its use of cash flow from operations to make principal and interest payments on its debt may, among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w:t>
      </w:r>
    </w:p>
    <w:p>
      <w:pPr>
        <w:spacing w:after="0" w:line="234" w:lineRule="exact"/>
        <w:rPr>
          <w:sz w:val="20"/>
          <w:szCs w:val="20"/>
          <w:color w:val="auto"/>
        </w:rPr>
      </w:pPr>
    </w:p>
    <w:p>
      <w:pPr>
        <w:jc w:val="both"/>
        <w:ind w:left="1140" w:hanging="565"/>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the Company to comply with the financial covenants in its senior credit facility and in its Accounts Receivable Securitization Program, which could result in a default and an acceleration of all amounts outstanding under the facility or under the Accounts Receivable Securitization Program;</w:t>
      </w:r>
    </w:p>
    <w:p>
      <w:pPr>
        <w:spacing w:after="0" w:line="202"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cash flow available to fund the Company’s working capital, capital expenditures, acquisitions or other general corporate requirements;</w:t>
      </w:r>
    </w:p>
    <w:p>
      <w:pPr>
        <w:spacing w:after="0" w:line="188"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obtain additional financing to fund future dividend distributions, working capital, capital expenditures or other general corporate requirements;</w:t>
      </w:r>
    </w:p>
    <w:p>
      <w:pPr>
        <w:spacing w:after="0" w:line="188"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Company at a competitive disadvantage relative to those of its competitors that have less debt;</w:t>
      </w:r>
    </w:p>
    <w:p>
      <w:pPr>
        <w:spacing w:after="0" w:line="252"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188"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flexibility in planning for, or reacting to, changes in its business and industry; and</w:t>
      </w:r>
    </w:p>
    <w:p>
      <w:pPr>
        <w:spacing w:after="0" w:line="252"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vulnerability to general adverse economic and industry conditions.</w:t>
      </w:r>
    </w:p>
    <w:p>
      <w:pPr>
        <w:spacing w:after="0" w:line="25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Lamar Media has variable rate debt outstanding under the senior credit facility and its Accounts Receivable Securitization Program. Increases in the interest rates applicable to these borrowings have resulted in increased interest expense, which has impacted the Company's net income. Interest rates may continue to increase as a result of macroeconomic factors outside of our control. The Company may take actions in the future to mitigate its interest rate exposure, however, it cannot guarantee that the actions that it takes to mitigate these risks will be effective. Additionally, to the extent we refinance existing debt obligations or seek to enter into new debt financing arrangements in the current interest rate environment, we expect that such arrangements would be subject to higher interest rates than our existing debt obligations, which would further increase our interest expense.</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these problems could adversely affect the Company’s business, financial condition and financial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generate sufficient cash flow to satisfy its significant debt service obligations.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Company’s ability to generate cash flow from operations to make principal and interest payments on its debt will depend on its future performance, which will be affected by a range of economic, competitive and business factors. The Company cannot control many of these factors, including general economic conditions, its customers’ allocation of advertising expenditures among available media and the amount spent on advertising in general, and its business would be negatively impacted if the general economy were to deteriorate in the future. If its operations do not generate sufficient cash flow from operations to satisfy its debt service obligations, the Company may need to borrow additional funds to make these payments or undertake alternative financing plans, such as refinancing or restructuring its debt, or reducing or delaying capital investments and acquisitions. The Company cannot guarantee that such additional funds or alternative financing will be available on favorable terms, if at all. The Company’s inability to generate sufficient cash flow from operations or obtain additional funds or alternative financing on acceptable terms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186"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the ability of the Company and Lamar Media to, among other things:</w:t>
      </w:r>
    </w:p>
    <w:p>
      <w:pPr>
        <w:spacing w:after="0" w:line="229" w:lineRule="exact"/>
        <w:rPr>
          <w:sz w:val="20"/>
          <w:szCs w:val="20"/>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inter-company distributions.</w:t>
      </w:r>
    </w:p>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At December 31, 2025, the terms of Lamar Media’s senior credit facility and of its Accounts Receivable Securitization Program also restrict the Company from exceeding a specified secured debt ratio. Lamar Media is also subject to certain other financial covenants relating to the incurrence of additional debt. Please see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8"/>
          <w:szCs w:val="18"/>
          <w:color w:val="auto"/>
        </w:rPr>
        <w:t xml:space="preserve"> for a description of the specific financial ratio requirements under the senior credit facility.</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Company’s ability to comply with the financial covenants in the senior credit facility, Accounts Receivable Securitization Program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210"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Company is currently in compliance with all financial covenants. However, if in the future there are economic declines the Company can give no assurance that these declines will not negatively impact the Company’s financial results and, in turn, its ability to meet these financial covenant requirements. If Lamar Media fails to comply with its financial covenants, Lamar Media could be in default under the senior credit facility and the Accounts Receivable Securitization Program (which could result in an event of default under the indentures governing its outstanding notes). In the event of such a default under the senior credit facility, the lenders under the senior credit facility could accelerate all of the debt outstanding, could elect to institute foreclosure proceedings against Lamar Media’s assets, and the Company could be forced into bankruptcy or liquidation. Any of these events could adversely affect Lamar Media’s business, financial condition and financial results. In the event of such a default under the Accounts Receivable Securitization Program, the lenders under the Accounts Receivable Securitization Program could accelerate all of the debt outstanding, could elect to institute foreclosure proceedings against the assets of the Special Purpose Subsidiaries (as defined herein), and the Special Purpose Subsidiaries could be forced into bankruptcy or liquidation. Any of these events could adversely affect the Company’s business, financial condition and financial results.</w:t>
      </w:r>
    </w:p>
    <w:p>
      <w:pPr>
        <w:spacing w:after="0" w:line="2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186"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2025, members of the Reilly family, including Kevin P. Reilly, Jr., the Company’s Executive Chairman, and Sean Reilly, the Company’s President and Chief Executive Officer, and their affiliates owned in the aggregate approximately 15% of the Company’s outstanding common stock, assuming the conversion of all Class B common stock to Class A common stock. As of that date, their combined holdings represented approximately 63% of the voting power of Lamar Advertising’s outstanding capital stock, which would give the Reilly family and their affiliates the power to:</w:t>
      </w:r>
    </w:p>
    <w:p>
      <w:pPr>
        <w:spacing w:after="0" w:line="247" w:lineRule="exact"/>
        <w:rPr>
          <w:sz w:val="20"/>
          <w:szCs w:val="20"/>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Company’s entire Board of Directors;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Company’s management and policies;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right="20" w:hanging="565"/>
        <w:spacing w:after="0" w:line="391"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outcome of any corporate transaction or other matter requiring stockholder approval, including charter amendments, mergers, consolidations, financings and asset sales.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Reilly family may have interests that are different than yours in making these decisions.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UPREIT structure may result in potential conflicts of interest.</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are structured as an “UPREIT,” which stands for “umbrella partnership real estate investment trust.” While limited partners of Lamar Advertising Limited Partnership (“Lamar LP”) do not generally have any right to participate in or exercise management power over the business and affairs of Lamar LP, they do have the right to vote on certain amendments to the partnership agreement of Lamar LP, as well as on certain other matters. Persons holding such voting rights may exercise them in a manner that conflicts with the interests of our stockholders.</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partnership agreement of Lamar LP provides that, for so long as we own a controlling interest in Lamar LP, any conflict that cannot be resolved in a manner not adverse to either our stockholders or the limited partners shall be resolved by the general partner in favor of our stockholders. Circumstances may arise in the future when the interests of limited partners in Lamar LP may conflict with the interests of our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18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has historically grown through acquisitions. During the year ended December 31, 2025, we completed acquisitions for a total cash purchase price of approximately $191.1 million. Additionally, Lamar LP issued 1,187,500 Common Units to the owners of Verde Outdoor as the consideration in connection with an acquisition, whereby the assets of Verde Outdoor were contributed to Lamar LP.</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future success of our acquisition strategy could be adversely affected by many factors, including the following:</w:t>
      </w:r>
    </w:p>
    <w:p>
      <w:pPr>
        <w:spacing w:after="0" w:line="252" w:lineRule="exact"/>
        <w:rPr>
          <w:sz w:val="20"/>
          <w:szCs w:val="20"/>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pool of suitable acquisition candidates is dwindling, and we may have a more difficult time negotiating acquisitions on favorable terms;</w:t>
      </w:r>
    </w:p>
    <w:p>
      <w:pPr>
        <w:spacing w:after="0" w:line="252" w:lineRule="exact"/>
        <w:rPr>
          <w:rFonts w:ascii="Times New Roman" w:cs="Times New Roman" w:eastAsia="Times New Roman" w:hAnsi="Times New Roman"/>
          <w:sz w:val="18"/>
          <w:szCs w:val="18"/>
          <w:color w:val="auto"/>
        </w:rPr>
      </w:pPr>
    </w:p>
    <w:p>
      <w:pPr>
        <w:jc w:val="both"/>
        <w:ind w:left="1140" w:right="20" w:hanging="565"/>
        <w:spacing w:after="0" w:line="266"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for acquisition candidates from other outdoor advertising companies and private equity funds (particularly funds that are focused on investing in media and/or infrastructure), some of which may have greater financial resources than we do, which may result in higher prices for those businesses and assets;</w:t>
      </w:r>
    </w:p>
    <w:p>
      <w:pPr>
        <w:spacing w:after="0" w:line="202"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the capital needed to finance potential acquisitions and may be unable to obtain any required consents from our current lenders to obtain alternate financing;</w:t>
      </w:r>
    </w:p>
    <w:p>
      <w:pPr>
        <w:spacing w:after="0" w:line="188"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REIT requirements may hinder our ability to make certain investments and may limit our acquisition opportunities;</w:t>
      </w:r>
    </w:p>
    <w:p>
      <w:pPr>
        <w:spacing w:after="0" w:line="252"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202"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key personnel of acquired businesses;</w:t>
      </w:r>
    </w:p>
    <w:p>
      <w:pPr>
        <w:spacing w:after="0" w:line="252"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and cost savings anticipated in our acquisitions; and</w:t>
      </w:r>
    </w:p>
    <w:p>
      <w:pPr>
        <w:spacing w:after="0" w:line="252"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industry consolidates further, larger mergers and acquisitions may face substantial scrutiny under antitrust laws.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obstacles to our opportunistic acquisition strategy may have an adverse effect on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could suffer losses due to asset impairment charges for goodwill and other intangible assets.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tested goodwill for impairment on December 31, 2025. Based on the Company’s review at December 31, 2025,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more of our reporting units are below the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logo sign contracts are subject to state award and renewal.</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2025, the Company generated approximately 4% of its revenues from state-awarded logo sign contracts. In bidding for these contracts, the Company competes against other national logo sign providers as well as numerous smaller local logo sign providers. As a logo sign provider, the Company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Company as a logo sign provider for early termination. At the end of the contract term, the Company, as a logo sign provider, transfers ownership of the logo sign structures to the state. Depending on the contract, the logo provider may or may not be entitled to compensation for the structures at the end of the contract term.</w:t>
      </w:r>
    </w:p>
    <w:p>
      <w:pPr>
        <w:spacing w:after="0" w:line="21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Of the Company’s 25 logo sign contracts in place at December 31, 2025, seven are subject to renewal or expiration in 2026. The Company may be unable to renew its expiring contracts. The Company may also lose the bidding on new contracts.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transit advertising contracts are subject to the Company’s ability to obtain and renew favorable contracts with municipalities and airport authorities.</w:t>
      </w:r>
    </w:p>
    <w:p>
      <w:pPr>
        <w:spacing w:after="0" w:line="18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2025, the Company generated approximately 7% of its revenues from transit advertisements, which requires the Company to obtain, support, and renew its transit contracts. Transit contracts are generally with the local municipalities and airport authorities and allow us the exclusive right to rent advertising space to customers in airports and on buses, benches or shelters. We currently rent transit advertising displays in airport terminals and on bus shelters, benches and buses in over 80 transit markets. The terms of the contracts vary, but generally range between three to ten years, many with renewable options for contract extension. However, the Company may be unable to renew its expiring transit contracts or may lose the bidding on new contracts.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Company’s contingency plans relating to hurricanes and other natural disasters fail, the resulting losses could hurt the Company’s business.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has determined that it is uneconomical to insure against losses resulting from hurricanes and other natural disasters for its outdoor or logo structure assets. Although the Company has fortified many of its advertising structures and developed contingency plans designed to mitigate the threat posed by hurricanes and other forms of inclement weather to its real estate portfolio (e.g., removing advertising faces at the onset of a storm, when possible, which better permits the structures to withstand high winds during the storm), these plans could fail and significant losses could result. To the extent that such natural disaster events become more frequent or destructive because of climate change, we may incur increased costs related to storm remediation and preparation.</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strategy involves continued investment in its digital platform, and we may fail to realize certain expected benefits of these investments and such investments may become more costly.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success of the Company’s strategy of investing in its digital platform, and the realization of the benefits thereof, depends upon our ability to demonstrate the increased value and capabilities of digital advertising displays. If we experience significant technological failures with respect to our digital displays or if our customers fail to realize the anticipated benefits of the digital platform, we may experience decreased demand for advertising on our digital billboards. Additionally, we may experience increased costs related to our deployment of digital billboards, if the technological components used in our digital billboards increase in cost or if there are shortages of such components. We may also face difficulties obtaining new permits for digital displays or we may be unable to renew permits for our existing digital displays due to a variety of factors, including due to potential new governmental regulations and restrictions on digital signs. Any of these factors may make it more difficult to realize the benefits of our investments in our digital platform, which may have a negative impact on our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The Company may have available net operating loss (“NOL”) carry forwards that could reduce or substantially eliminate its REIT taxable income, and thus it may not be required to distribute material amounts of cash to qualify for taxation as a REIT. The Company expects that it may utilize available NOL carry forwards to reduce its REIT taxable income.</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rent. Consequently, the Company’s distribution levels may fluctuate.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18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189" w:lineRule="exact"/>
        <w:rPr>
          <w:sz w:val="20"/>
          <w:szCs w:val="20"/>
          <w:color w:val="auto"/>
        </w:rPr>
      </w:pPr>
    </w:p>
    <w:p>
      <w:pPr>
        <w:ind w:left="1140" w:hanging="565"/>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and transfer of Lamar Advertising common stock that are intended to facilitate the Company’s compliance with certain REIT rules relating to share ownership;</w:t>
      </w:r>
    </w:p>
    <w:p>
      <w:pPr>
        <w:spacing w:after="0" w:line="188"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52"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and informational requirements and time limitations on any director nomination or proposal that a stockholder wishes to make at a meeting of stockholders;</w:t>
      </w:r>
    </w:p>
    <w:p>
      <w:pPr>
        <w:spacing w:after="0" w:line="188"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its directors, which would otherwise permit less than a majority of stockholders to elect directors; and</w:t>
      </w:r>
    </w:p>
    <w:p>
      <w:pPr>
        <w:spacing w:after="0" w:line="188"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203"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These provisions may have the effect of entrenching the Company’s management team and may deprive the Company’s stockholders of the opportunity to sell their shares to potential acquirers at a premium over prevailing prices. This potential inability to obtain a control premium could reduce the price of Lamar Advertising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revenues are sensitive to the state of the economy and the financial markets generally and other external events beyond the Company’s control.</w:t>
      </w:r>
    </w:p>
    <w:p>
      <w:pPr>
        <w:spacing w:after="0" w:line="18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rents advertising space on outdoor structures to generate revenues. Advertising spending is particularly sensitive to changes in economic conditions, and macroeconomic conditions such as rising interest rates and inflation may impact our industry more negatively than the economy as a whole.</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Additionally, the occurrence of any of the following external events could further depress the Company’s revenues:</w:t>
      </w:r>
    </w:p>
    <w:p>
      <w:pPr>
        <w:spacing w:after="0" w:line="252" w:lineRule="exact"/>
        <w:rPr>
          <w:sz w:val="20"/>
          <w:szCs w:val="20"/>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widespread reallocation of advertising expenditures to other available media by significant renters of the Company’s displays; and</w:t>
      </w:r>
    </w:p>
    <w:p>
      <w:pPr>
        <w:spacing w:after="0" w:line="252"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amount spent on advertising, in general, or outdoor advertising in particular as a result of macroeconomic factors, which may occur during a recession or in periods of economic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competition from larger and more diversified outdoor advertisers and other forms of advertising that could hurt its performance.</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20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 also competes against an increasing variety of out-of-home advertising media, such as advertising displays in shopping centers, malls, airports, stadiums, movie theaters and supermarkets, and on taxis, trains and buses. The Company also faces competition from advertising in other forms of media including online (including display, search, and social media advertising); applications used in conjunction with wireless devices; broadcast, cable and streaming television; radio; direct mail marketing; and traditional print media.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content-based restrictions on the categories of customers that can advertise on our outdoor advertising structures may be implemented by governmental authorities.</w:t>
      </w:r>
    </w:p>
    <w:p>
      <w:pPr>
        <w:spacing w:after="0" w:line="18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Federal, state or local authorities may seek to restrict or prohibit the use of outdoor advertising with respect to certain products and services. For instance, the use of billboards to advertise certain types of tobacco products is effectively banned in our markets, and in certain cases, state and local governments also prohibit or restrict the use of outdoor advertising for other types of products or services. If additional content-based restrictions are implemented by governmental authorities, certain segments of our customers may not be able to utilize outdoor advertising in the future, which could have a negative impact on our business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local regulation impact the Company’s operations, financial condition and financial results.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or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21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continued to expand the deployment of digital billboards, which display static digital advertising copy from various advertisers that changes every 6 to 8 seconds. We have encountered some existing regulations that restrict or prohibit these types of digital displays but they have not yet materially impacted our digital deployment. However, new regulations could be enacted to impose greater restrictions on digital billboards due to alleged concerns over aesthetics or driver safety.</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findings of future studies related to the impact of digital billboards on driver safety issues, if any,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cybersecurity breaches and we may incur significant legal and financial exposure.</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intrusions, has generally increased and become more sophisticated over time. Although we have implemented physical and electronic security measures designed to protect against the loss, misuse and alteration of our websites, digital assets, proprietary business information and any personal identifiable information (“PII”) that we collect, no security measures are impenetrable and we and outside parties we interact with may be unable to anticipate or prevent unauthorized access. A security breach could occur due to the actions of outside parties, employee error, malfeasance or a combination of these or other actions. An increase in the number of our employees and outside parties with which we do business working remotely may increase the risk of a cybersecurity incident, which has required us to modify our security measures.</w:t>
      </w:r>
    </w:p>
    <w:p>
      <w:pPr>
        <w:spacing w:after="0" w:line="21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If an actual or perceived breach of our security were to occur, proprietary or competitive information may be misappropriated, and we could experience disruptions in our business operations, information processes and internal controls. In addition, the public perception of the effectiveness of our security measures may be harmed and adversely affect our competitive position. In the event of a security breach, we could suffer significant legal and financial exposure in connection with remediation efforts, investigations and legal proceedings, which could lead to the need for additional resources in our security and system protection measures.</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have been and expect to continue to be the target of fraudulent activities and security breaches; however, to date they have not had a material impact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and sustainability matters.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Governments, shareholders, customers, employees and other stakeholders are increasingly focusing on corporate ESG practices and disclosures, and expectations in this area are rapidly evolving and growing. We may incur costs related to ESG initiatives, including those related to producing enhanced mandatory or voluntary disclosures about our business. Additionally, although we have policies in place with respect to the content we display in customer advertisements, if the content of the advertisements we display is controversial or if our decisions to reject certain ads based on our content policies are viewed negatively, we may face reputational damage. This could lead to public controversy, decreased customer trust, and potential loss of business. If we are unable to respond effectively to ESG matters, our reputation, business, financial condition and results of operations could be adversely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18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Lamar Advertising elected to qualify as a REIT for U.S. federal income tax purposes starting with its taxable year ended December 31, 2014 and for each subsequent taxable year thereafter. REIT qualification involves the application of highly technical and complex provisions of the U.S. Internal Revenue Code of 1986, as amended, (the “Code”) to Lamar Advertising’s assets and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rules, the Company cannot assure you that it will so qualify or remain so qualified. Lamar Media is treated as a qualified REIT subsidiary of Lamar Advertising that is disregarded as separate from its parent REIT for U.S. federal income tax purposes.</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in any taxable year, Lamar Advertising fails to qualify for taxation as a REIT, and is not entitled to relief under the Code:</w:t>
      </w:r>
    </w:p>
    <w:p>
      <w:pPr>
        <w:spacing w:after="0" w:line="252" w:lineRule="exact"/>
        <w:rPr>
          <w:sz w:val="20"/>
          <w:szCs w:val="20"/>
          <w:color w:val="auto"/>
        </w:rPr>
      </w:pPr>
    </w:p>
    <w:p>
      <w:pPr>
        <w:ind w:left="1140" w:hanging="565"/>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be allowed a deduction for distributions to its stockholders in computing its taxable income;</w:t>
      </w:r>
    </w:p>
    <w:p>
      <w:pPr>
        <w:spacing w:after="0" w:line="252"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its corporate subsidiaries, including Lamar Media, will be subject to applicable federal and state income tax, including any applicable state-level alternative minimum tax, on its taxable income at regular corporate rates; and</w:t>
      </w:r>
    </w:p>
    <w:p>
      <w:pPr>
        <w:spacing w:after="0" w:line="188"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be disqualified from REIT tax treatment for the four taxable years following the year during which it was so disqualified.</w:t>
      </w:r>
    </w:p>
    <w:p>
      <w:pPr>
        <w:spacing w:after="0" w:line="25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distributions to Lamar Advertising’s stockholders, and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 qualifies as a REIT, certain of Lamar Advertising’s and its subsidiaries’ business activities will be subject to U.S. and foreign taxes which will continue to reduce its cash flows, and it will have potential deferred and contingent tax liabilities.</w:t>
      </w:r>
    </w:p>
    <w:p>
      <w:pPr>
        <w:spacing w:after="0" w:line="18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Even if it qualifies as a REIT, Lamar Advertising may be subject to certain U.S. federal, state and local taxes and foreign taxes on its income and assets, including any applicable state-level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order to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21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was subject to a U.S. federal income tax at the highest regular corporate rate (currently 21%) on all or a portion of the gain recognized from a sale of assets occurring within five years after the effective date of our REIT conversion, to the extent of the built-in gain based on the fair market value of those assets held by the Company on the effective date of REIT conversion in excess of the Company’s then tax basis in those assets. Such five-year period has expired with respect to the Company but certain tax years for which this rule applied remain open such that additional taxes could be assessed with respect to sales in those tax years. The same rules apply to any assets we acquire from a “C” corporation in a carry-over basis transaction with built-in gain at the time of the acquisition by us. Gain from a sale of an asset occurring after the specified period ends will not be subject to this corporate level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generally do not qualify for the reduced tax rates on dividend income from non-REIT corporations.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Qualified dividend income payable to U.S. stockholders that are individuals, trusts and estates are generally subject to tax at reduced rates. Dividends payable by REITs, however, generally are not eligible for the reduced qualified dividend rates. Non-corporate taxpayers may generally deduct 20% of certain pass-through business income, including “qualified REIT dividends” (generally, dividends received by a REIT shareholder that are not designated as capital gain dividends or qualified dividend income), subject to certain limitations.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the stock of REITs, including our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assets deemed held for sale in the ordinary course of business is subject to 100% tax.</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If we sell any of our assets, the IRS may determine that the sale is a disposition of an asset held primarily for sale to customers in the ordinary course of a trade or business. Gain from this kind of sale will generally be subject to a 100% tax. Whether an asset is held "primarily for sale to customers in the ordinary course of a trade or business" depends on the particular facts and circumstances of the sale. Although we will attempt to comply with the terms of safe-harbor provisions in the Internal Revenue Code prescribing when asset sales will not be so characterized, we cannot assure you that we will be able to do so.</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make sufficient distributions would jeopardize Lamar Advertising’s qualification as a REIT and/or would subject it to U.S. federal income and excise taxes.</w:t>
      </w:r>
    </w:p>
    <w:p>
      <w:pPr>
        <w:spacing w:after="0" w:line="18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a REIT, Lamar Advertising is required to distribute to its stockholders with respect to each taxable year at least 90% of its REIT taxable income (excluding capital gains and net of any available NOL carry forwards) in order to qualify as a REIT, and 100% of its REIT taxable income (excluding capital gains and net of any available NOL carry forwards) in order to avoid U.S. federal income and excise taxes. For these purposes, Lamar Advertising’s subsidiaries that are not TRSs, including Lamar Media, will be treated as part of the REIT and therefore Lamar Advertising also will be required to distribute out their taxable income.</w:t>
      </w:r>
    </w:p>
    <w:p>
      <w:pPr>
        <w:spacing w:after="0" w:line="21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Because the REIT distribution requirements will prevent us from retaining earnings, we may be required to refinance debt at maturity with additional debt or equity, which may not be available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specified in our existing and future debt instruments may limit Lamar Advertising’s ability to make required REIT distributions.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Media’s senior credit facility and the indentures relating to Lamar Media’s outstanding notes contain certain covenants that could limit Lamar Advertising’s distributions to its stockholders. If these limits prevent Lamar Advertising from satisfying its REIT distribution requirements, it could fail to qualify for taxation as a REIT. If these limits do not jeopardize Lamar Advertising’s qualification for taxation as a REIT but do nevertheless prevent it from distributing 100% of its REIT taxable income, it will be subject to U.S. federal corporate income tax, and potentially a nondeductible excise tax, on the retained amounts.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18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order to meet the REIT distribution requirements and maintain its qualification and taxation as a REIT and avoid corporate income taxes, Lamar Advertising and/or its subsidiaries, including Lamar Media, may need to borrow funds, sell assets or raise equity, even if the then-prevailing market conditions are not favorable for these borrowings, sales or offerings. Any insufficiency of its cash flows to cover Lamar Advertising’s REIT distribution requirements could require it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21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Lamar Advertising or its subsidiaries (other than TRSs) to forego otherwise attractive opportunities.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To qualify as a REIT for U.S.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 opportunities. Furthermore, acquisition opportunities in domestic and international markets may be adversely affected if Lamar Advertising needs or requires the target company to comply with certain REIT requirements prior to closing.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limitations contained in the Lamar Advertising charter may restrict stockholders from acquiring or transferring certain amounts of shares.</w:t>
      </w:r>
    </w:p>
    <w:p>
      <w:pPr>
        <w:spacing w:after="0" w:line="256"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 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Lamar Advertising’s operating partnership does not qualify as a partnership, its income may be subject to taxation, and Lamar Advertising would no longer qualify as a REIT.</w:t>
      </w:r>
    </w:p>
    <w:p>
      <w:pPr>
        <w:spacing w:after="0" w:line="186"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Internal Revenue Code classifies “publicly traded partnerships” as associations taxable as corporations (rather than as partnerships), unless substantially all of their taxable income consists of specified types of passive income. Lamar Advertising structured Lamar LP to be classified as a partnership for federal income tax purposes. However, no assurance can be given that the IRS will not challenge Lamar Advertising’s position or will not classify Lamar LP as a “publicly traded partnership” for federal income tax purposes. To minimize this risk, Lamar Advertising has placed certain restrictions on the transfer and/or redemption of partnership units in the Amended and Restated Limited Partnership Agreement of Lamar LP. If the IRS would assert successfully that Lamar LP should be treated as a “publicly traded partnership” and substantially all of Lamar LP ’s gross income did not consist of the specified types of passive income, the Internal Revenue Code would treat Lamar LP as an association taxable as a corporation. In such event, the character of our assets and items of gross income would change and would likely prevent us from satisfying the REIT asset and income tests. This, in turn, would likely prevent Lamar Advertising from qualifying as a REIT. In addition, the imposition of a corporate tax on Lamar LP would reduce the amount of distributions Lamar LP could make to Lamar Advertising and, in turn, reduce the amount of cash available to Lamar Advertising to pay dividends to our shareholders.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may potentially be unable to deduct the full amount of its interest expense.</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Interest deductions for businesses with average annual gross receipts of over $25 million are capped at 30% of the business’ “adjusted taxable income” plus business interest income pursuant to the Code. As a REIT, Lamar Advertising would generally constitute a real property trade or business, and thus would retain the ability to fully deduct interest expenses if it makes such an election. However, an entity making such an election must use a longer depreciation cost recovery period for its property. The rules for business interest expense will apply to Lamar Advertising and at the level of each entity in which or through which Lamar Advertising invests that is not a disregarded entity for U.S. federal income tax purposes. To the extent that our interest expense is not deductible, Lamar Advertising’s taxable income will be increased, as will its REIT distribution requirements and the amounts it needs to distribute to avoid incurring income and excise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changes or other actions affecting REITs could have a negative effect on Lamar Advertising and its subsidiaries.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At any time, the U.S. federal income tax laws governing REITs or the administrative and judicial interpretations of those laws may be amended or interpreted in a different manner. Federal and state tax laws are constantly under review by persons involved in the legislative process, the IRS, the U.S. Department of the Treasury, and state taxing authorities. Additional changes to the tax laws, regulations and administrative and judicial interpretations, which may have retroactive application, could adversely affect Lamar Advertising and its subsidiaries. The Company cannot predict with certainty whether, when, in what forms, or with what effective dates, the tax laws, regulations and administrative and judicial interpretations applicable to Lamar Advertising may be changed. Accordingly, the Company cannot assure you that any such change will not significantly affect Lamar Advertising’s ability to qualify for taxation as a REIT or the U.S. federal income tax consequences to it of such qualification.</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18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be subject to U.S. federal income tax at regular corporate rates and applicable state and local corporate taxes, which may have adverse consequences on its total return to its stockholders.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use of Artificial Intelligence.</w:t>
      </w:r>
    </w:p>
    <w:p>
      <w:pPr>
        <w:spacing w:after="0" w:line="215" w:lineRule="exact"/>
        <w:rPr>
          <w:sz w:val="20"/>
          <w:szCs w:val="20"/>
          <w:color w:val="auto"/>
        </w:rPr>
      </w:pPr>
    </w:p>
    <w:p>
      <w:pPr>
        <w:jc w:val="both"/>
        <w:ind w:firstLine="567"/>
        <w:spacing w:after="0" w:line="223" w:lineRule="exact"/>
        <w:rPr>
          <w:sz w:val="20"/>
          <w:szCs w:val="20"/>
          <w:color w:val="auto"/>
        </w:rPr>
      </w:pPr>
      <w:r>
        <w:rPr>
          <w:rFonts w:ascii="Times New Roman" w:cs="Times New Roman" w:eastAsia="Times New Roman" w:hAnsi="Times New Roman"/>
          <w:sz w:val="18"/>
          <w:szCs w:val="18"/>
          <w:color w:val="auto"/>
        </w:rPr>
        <w:t>We expect to increasingly use artificial intelligence (“AI”) technologies, including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AI tools, in our operations. The design, training, and deployment of AI models involve inherent risks and uncertainties that could adversely affect our business, financial condition, and results of operations. AI systems may produce inaccurate or unreliable outputs, which could lead to flawed business decisions. Our use of AI also presents heightened risks relating to data privacy, cybersecurity, intellectual property (including inadvertent use or incorporation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proprietary content), and the protection of confidential, personal, or otherwise sensitive information. In addition, many aspects of AI are subject to rapidly evolving and, in some cases, unclear or inconsistent laws, regulations, and industry standards. Failure to comply with, or adapt to, these legal and regulatory developments could result in increased compliance costs, investigations, fines, or litigation. We also rely to a significant extent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AI providers; issues with their systems, security, compliance, or contractual performance could expose us to similar risks. Any of these events could materially and adversely affect our reputation, competitive position, and 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manage risks from cybersecurity threats through our overall enterprise risk management process. Management has created an information security program, which encompasses a dedicated information security team and policies, procedures, and processes for assessing, identifying, and managing risks from cybersecurity threats. We “proactively” assess, identify, and manage risks from cybersecurity threats through various mechanisms, which from time to time may include internal audits, external audits, penetration tests, and engagement of third parties to conduct analyses of our information security program. Through our centralized enterprise risk management function, we also maintain processes for overseeing and identifying risks associated with third party service providers with whom we do business, including risks related to cybersecurity.</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While to date we have not had a major cyber incident against our platforms, nor experienced significant data loss or any material financial losses related to cybersecurity attacks, it is possible that we could experience a significant event in the future. Risks and exposures related to cybersecurity attacks are expected to remain high for the foreseeable future due to the rapidly evolving nature and sophistication of these threats. See Item 1A. “Risk Factors.” – “Our business and operations could suffer in the event of cybersecurity breaches and we may incur significant legal and financial exposure.” for further discussion of potential risks related to cybersecurity incidents.</w:t>
      </w:r>
    </w:p>
    <w:p>
      <w:pPr>
        <w:spacing w:after="0" w:line="21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Our Senior Vice President of Technology and Innovation and Vice President of Network Infrastructure and Cyber Strategy oversee our cybersecurity program. They hold degrees in industrial engineering and computer science and information systems and decision science, respectively. The team responsible for administering our cybersecurity program has a combined 38 years of experience in cybersecurity, information security and information technology risk management, governance, risk, and compliance. Our board of directors and our audit committee are regularly updated on cyber security as part of their oversight of relevant cybersecurity risks. These reports address key cybersecurity topics, including the implementation and operation of preventative controls and the detection, mitigation and remediation of cybersecurity incidents.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headquarters is located in Baton Rouge, Louisiana. We also own 126 local operating facilities with front office administration and sales office space connected to back-shop poster and bulletin production space. In addition, the Company leases an additional 171 operating facilities at an aggregate lease expense for 2025 of approximately $10.6 million.</w:t>
      </w:r>
    </w:p>
    <w:p>
      <w:pPr>
        <w:spacing w:after="0" w:line="20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own approximately 11,200 parcels of property beneath our outdoor advertising structures. As of December 31, 2025, we leased approximately 71,500 active outdoor sites, accounting for a total annual lease expense of approximately $348.1 million. This amount represented approximately 17% of billboard advertising net revenues for the year ended December 31, 2025.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jc w:val="both"/>
        <w:ind w:left="740" w:right="20" w:hanging="728"/>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8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Class A common stock has been publicly traded since August 2, 1996 and is currently listed on the NASDAQ Global Select Market under the symbol “LAMR.” As of December 31, 2025, the Class A common stock was held by 80 stockholders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Class B common stock is not publicly traded and is held of record by members of the Reilly family and their affiliated entities, including the Reilly Family, LLC (the “RFLLC”), formerly the Reilly Family Limited Partnership. Kevin P. Reilly, Jr., our Executive Chairman of the Board, is the executive manager of the RFLLC and Sean E. Reilly, our President and Chief Executive Officer, and Wendell Reilly and Anna Reilly, each of whom is a member of our Board of Directors, are also managers of the RFLLC.</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Series AA preferred stock is entitled to preferential dividends, in an annual aggregate amount of $364,903,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to avoid being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Prior to May 15, 2025, the Company’s Board of Directors had authorized the repurchase of up to $250,000 of the Company's Class A common stock. On May 15, 2025, the Company's Board of Directors approved the increase of the amount authorized under the Stock Repurchase Program by $150,000, bringing the total amount authorized under the Program to $400,000. The Stock Repurchase Program is in effect through March 31, 2026. There were no repurchases under the program as of December 31, 2024. During the year ended December 31, 2025, the Company repurchased 1,388,091 shares of the Company's Class A common stock outstanding for a total purchase price of $150,000. The Company currently has $250,000 remaining under its current share repurchase authorization. There were no repurchases under the program during the three months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years ended December 31, 2025 and 2024. This discussion should be read in conjunction with the consolidated financial statements of the Company and the related notes.</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Discussion of our results of operations for the years ended December 31, 2024 and 2023 can be found in Part II, Item 7 of our Annual Report on Form 10-K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We manage our business through three operating segments – billboard, logo and transit advertising.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and the Accounts Receivable Securitization Program or through the issuance of debt or equity securities. See “Liquidity and Capital Resources- Sources of Cash,” for more information.</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completed multiple acquisitions for a total cash purchase price of approximately $191.1 million. See </w:t>
      </w:r>
      <w:r>
        <w:rPr>
          <w:rFonts w:ascii="Times New Roman" w:cs="Times New Roman" w:eastAsia="Times New Roman" w:hAnsi="Times New Roman"/>
          <w:sz w:val="18"/>
          <w:szCs w:val="18"/>
          <w:i w:val="1"/>
          <w:iCs w:val="1"/>
          <w:color w:val="auto"/>
        </w:rPr>
        <w:t>“Uses of Cash-Acquisitions,”</w:t>
      </w:r>
      <w:r>
        <w:rPr>
          <w:rFonts w:ascii="Times New Roman" w:cs="Times New Roman" w:eastAsia="Times New Roman" w:hAnsi="Times New Roman"/>
          <w:sz w:val="18"/>
          <w:szCs w:val="18"/>
          <w:color w:val="auto"/>
        </w:rPr>
        <w:t xml:space="preserve"> for more information. Additionally, Lamar Advertising Limited Partnership (“Lamar LP”), the subsidiary operating partnership of the Company and Lamar Media, acquired Verde Outdoor at a value of $147.6 million through the issuance of 1,187,500 Common Units of Lamar LP. The Common Units were issued to the owners of Verde Outdoor as the consideration in connection with the acquisition, whereby the assets of Verde Outdoor were contributed to Lamar LP. The Verde Outdoor assets include more than 1,500 billboard faces across ten states.</w:t>
      </w:r>
    </w:p>
    <w:p>
      <w:pPr>
        <w:spacing w:after="0" w:line="21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two years: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34,967</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60,697</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PP&amp;E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14,776</w:t>
            </w:r>
          </w:p>
        </w:tc>
      </w:tr>
      <w:tr>
        <w:trPr>
          <w:trHeight w:val="27"/>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180,800</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125,284</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expect our 2026 capital expenditures to be approximately $186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Our management uses this measure internally to evaluate the performance of our business as a whole and our individual business segments.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revenues adjusts our net revenues for the prior period by adding to it the net revenues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revenues”. In addition, we adjust the prior period to subtract revenue generated by the assets that have been divested since the prior period and, therefore, no revenue derived from those assets is reflected in the current period.</w:t>
      </w:r>
    </w:p>
    <w:p>
      <w:pPr>
        <w:spacing w:after="0" w:line="21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revenues are not intended to replace net income or any other performance measures determined in accordance with GAAP. Neither FFO nor AFFO represents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revenues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revenues is a supplement to net revenues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214"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revenues may not, however, be fully comparable to similarly titled measures used by other companies. Reconciliations of adjusted EBITDA, FFO, AFFO and acquisition-adjusted net revenues to net income, the most directly comparable GAAP measure, have been included herein.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items in the Consolidated Statements of Income as a percentage of net revenues for the years ended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7"/>
        </w:trPr>
        <w:tc>
          <w:tcPr>
            <w:tcW w:w="8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$59.1 million or 2.7% to $2.27 billion for the year ended December 31, 2025 from $2.21 billion for the same period in 2024. This increase was attributable to an increase in billboard net revenues of $57.7 million and an increase in logo net revenues of $5.2 million over the prior year, offset by a decrease in transit net revenues of $3.7 million.</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 xml:space="preserve">Net revenues for the year ended December 31, 2025, as compared to acquisition-adjusted net revenues for the comparable period in 2024, increased $45.6 million, or 2.1%. This increase was attributable to an increase of $47.8 million in billboard net revenues and an increase of $3.9 million in logo net revenues, offset by a decrease of $2.7 million in transit net revenues. See </w:t>
      </w:r>
      <w:r>
        <w:rPr>
          <w:rFonts w:ascii="Times New Roman" w:cs="Times New Roman" w:eastAsia="Times New Roman" w:hAnsi="Times New Roman"/>
          <w:sz w:val="18"/>
          <w:szCs w:val="18"/>
          <w:i w:val="1"/>
          <w:iCs w:val="1"/>
          <w:color w:val="auto"/>
        </w:rPr>
        <w:t>“Reconciliations”</w:t>
      </w:r>
      <w:r>
        <w:rPr>
          <w:rFonts w:ascii="Times New Roman" w:cs="Times New Roman" w:eastAsia="Times New Roman" w:hAnsi="Times New Roman"/>
          <w:sz w:val="18"/>
          <w:szCs w:val="18"/>
          <w:color w:val="auto"/>
        </w:rPr>
        <w:t xml:space="preserve"> below.</w:t>
      </w:r>
    </w:p>
    <w:p>
      <w:pPr>
        <w:spacing w:after="0" w:line="20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$23.6 million, or 1.9% to $1.24 billion for the year ended December 31, 2025 from $1.22 billion in the same period in 2024. The $23.6 million increase over the prior year is primarily comprised of an increase in total direct, general and administrative and corporate expenses (excluding stock-based compensation expense) of $34.2 million primarily related to the operations of our outdoor advertising assets, offset by a decrease in stock-based compensation expense of $10.6 million.</w:t>
      </w:r>
    </w:p>
    <w:p>
      <w:pPr>
        <w:spacing w:after="0" w:line="21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$136.6 million to $326.3 million for the year ended December 31, 2025 as compared to $463.0 million for the same period in 2024. The decrease is primarily due to the revision in the cost estimate included in the calculation of asset retirement obligations during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a gain on disposition of assets and investments of $75.9 million as compared to a gain on disposition of assets and investments of $6.1 million for the same period in 2024. The gain on disposition of assets and investments for the year ended December 31, 2025 primarily resulted from the sale of the Company’s equity interest in Vistar Media, Inc., as well as transactions related to the sale of billboard locations and displays.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$242.0 million to $774.1 million for the year ended December 31, 2025 compared to $532.0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$11.3 million for the year ended December 31, 2025 to $160.4 million as compared to $171.7 million for the year ended December 31, 2024. The decrease in interest expense is related to a decrease in interest rates on the senior credit facility and Accounts Receivable Securitization Program.</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$0.2 million and $5.1 million for the years ended December 31, 2025 and 2024, respectively. The decrease of $4.9 million was primarily due to the sale of the Company’s equity interest in Vistar Media, Inc. in February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partially offset by the decrease in equity in earnings of investee, over the comparable period in 2024, resulted in a $246.9 million increase in net income before income taxes.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$21.3 million for the year ended December 31, 2025 as compared to income tax expense of $4.5 million for the same period in 2024. The $21.3 million equates to an effective tax rate for the year ended December 31, 2025 of approximately 3.5%,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year ended December 31, 2025 of $593.1 million, as compared to net income of $362.9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revenues results for the periods presented, we provide 2024 acquisition-adjusted net revenues, which adjusts our 2024 net revenues for the year ended December 31, 2024 by adding to or subtracting from it the net revenues generated by the acquired or divested assets prior to our acquisition or divestiture of these assets for the same time frame that those assets were owned in the year ended December 31, 2025.</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revenues to 2024 acquisition-adjusted net revenues for the year ended December 31, 2024 as well as a comparison of 2024 acquisition-adjusted net revenues to 2025 reported net revenues for the year ended December 31, 2025,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2,220,662</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1,058,243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2025 increased 2.4% to $1.06 billion. The increase in adjusted EBITDA was primarily attributable to the increase in our gross margin (net revenues less direct advertising expenses, exclusive of depreciation and amortization and capitalized contract fulfillment costs, net) of $40.0 million, partially offset by an increase in general and administrative and corporate expenses of $15.2 million, excluding the impact of stock-based compensation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(1,674)</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(4,396)</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1,058,243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1,033,158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25,085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year ended December 31, 2025 increased 2.4% to $1.06 billion. The increase in adjusted EBITDA was primarily attributable to the increase in our billboard advertising adjusted EBITDA of $31.2 million, offset by a decrease in other adjusted EBITDA of $1.7 million and an increase in corporate expenses of $4.4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846,678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818,989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year ended December 31, 2025 was $827.3 million as compared to FFO of $798.4 million for the same period in 2024. AFFO for the year ended December 31, 2025 increased 3.4% to $846.7 million as compared to $819.0 million for the same period in 2024. The increase in AFFO was primarily attributable to the increase in our gross margin (net revenues less direct advertising expenses, exclusive of depreciation and amortization and capitalized contract fulfillment costs, net) of $40.3 million, partially offset by an increase in total general and administrative and corporate expenses (excluding the effect of stock-based compensation expense) of $15.2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its senior credit facility and Accounts Receivable Securitization Program. The Company’s wholly owned subsidiary, Lamar Media Corp., is the principal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December 31, 2025 we had $807.0 million of total liquidity, which is comprised of $64.8 million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$742.2 million of availability under the revolving portion of the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21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a working capital deficit of $334.3 million and $353.2 million, respectively. The working capital deficit for the year ended December 31, 2025 is primarily related to the $249.6 million outstanding under the Accounts Receivable Securitization Program as well as $232.5 million in current operating lease liabilities which has a corresponding right of use asset recorded in long term assets.</w:t>
      </w:r>
    </w:p>
    <w:p>
      <w:pPr>
        <w:spacing w:after="0" w:line="20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years ended December 31, 2025 and 2024 our cash provided by operating activities was $864.0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$873.6 million, respectively. We expect to generate cash flows from operations during 2026 in excess of our cash needs for operations, capital expenditures and dividends, as described herein. We expect to have sufficient liquidity available under our revolving credit facility to meet our operating needs for the next twelve months.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Receivables Financing Agreement. The Sixth Amendment increased the Accounts Receivable Securitization Program from $175.0 million to $250.0 million. Additionally, the Sixth Amendment provides for the replacement of LIBOR-based interest rate mechanics with Term Secured Overnight Financing Rate ("Term SOFR") based interest rate mechanics for the Accounts Receivable Securitization Program.</w:t>
      </w:r>
    </w:p>
    <w:p>
      <w:pPr>
        <w:spacing w:after="0" w:line="20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7"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guarantee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$250.0 million of outstanding aggregate borrowings under the Accounts Receivable Securitization Program at a borrowing rate of approximately 4.7%. Lamar Media had noadditional availability under the Accounts Receivable Securitization Program as of December 31, 2025.</w:t>
      </w:r>
    </w:p>
    <w:p>
      <w:pPr>
        <w:spacing w:after="0" w:line="20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At-the-Marke</w:t>
      </w:r>
      <w:r>
        <w:rPr>
          <w:rFonts w:ascii="Times New Roman" w:cs="Times New Roman" w:eastAsia="Times New Roman" w:hAnsi="Times New Roman"/>
          <w:sz w:val="18"/>
          <w:szCs w:val="18"/>
          <w:color w:val="auto"/>
        </w:rPr>
        <w:t>t” Offering Program. On July 24, 2024, the Company entered into an equity distribution agreement, or At-the-Market Offering 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(the "2021 Sales Agreement").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conducted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the 2024 Sales Agreement during the years ended December 31, 2025 and 2024. The Company did not issue any shares under the 2021 Sales Agreement from inception through expiration.</w:t>
      </w:r>
    </w:p>
    <w:p>
      <w:pPr>
        <w:spacing w:after="0" w:line="212"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Statement. </w:t>
      </w:r>
      <w:r>
        <w:rPr>
          <w:rFonts w:ascii="Times New Roman" w:cs="Times New Roman" w:eastAsia="Times New Roman" w:hAnsi="Times New Roman"/>
          <w:sz w:val="18"/>
          <w:szCs w:val="18"/>
          <w:color w:val="auto"/>
        </w:rPr>
        <w:t>On July 24, 2024, the Company filed a new automatically effective shelf registration statement that allows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offer and sell an indeterminate amount of additional shares of its Class A common stock, which replaced a previous shelf registration statement. During the years ended December 31, 2025 and 2024, the Company did not issue any shares under the shelf registration statement.</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1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(as amended by the Amendments, as defined below) (the “senior credit facility”), consists of (i) a $750.0 million senior secured revolving credit facility which will mature on July 31, 2028, subject to certain conditions (see description of Amendment No. 4 below) (the “revolving credit facility”), (ii) a $700.0 million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calculated as described under “Restrictions under Senior Credit Facility” of 4.50 to 1.00, as well as certain other conditions, including lender approval.</w:t>
      </w:r>
    </w:p>
    <w:p>
      <w:pPr>
        <w:spacing w:after="0" w:line="21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No. 1"), to the Fourth Amended and Restated Credit Agreement. The Amendment No. 1 amends the definition of "Subsidiary" to exclude each of Lamar Partnering Sponsor LLC and Lamar Partnering Corporation and any of their subsidiaries (collectively, the "Lamar Partnering Entities") such that, after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No. 1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Lamar Media borrowed all $350.0 million in Term A loans on July 29, 2022 and proceeds from the Term A loans were used to repay outstanding balances on the revolving credit facility and a portion of the outstanding balance on our Accounts Receivable Securitization Program. The Term A loans were subsequently repaid in full on July 31, 2024.</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 million swingline as a sublimit of the revolving credit facility, which allows Lamar Media to borrow revolving loans on a same-day basis, in an aggregate outstanding principal amount of up to $75.0 million.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September 23, 2025, Lamar Media entered into Amendment No. 5 (the “Amendment No. 5”, and together with the Amendment, the Amendment No. 2, the Amendment No. 3 and the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 million in Term B loans on September 23, 2025. Proceeds from the Term B loans were used to repay $600.0 million in Term B loans previously outstanding, with the remainder used to repay a portion of the outstanding balance on the revolving credit facility. The Term B loans will mature on September 23, 2032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w:t>
      </w:r>
    </w:p>
    <w:p>
      <w:pPr>
        <w:spacing w:after="0" w:line="21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2025, the aggregate balance outstanding under the senior credit facility was $700.0 million, consisting of $700.0 million in Term B loans aggregate principal balance and nooutstanding borrowings under our revolving credit facility. Lamar Media had approximately $742.2 million of unused capacity under the revolving credit facility.</w:t>
      </w:r>
    </w:p>
    <w:p>
      <w:pPr>
        <w:spacing w:after="0" w:line="20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 Offering. </w:t>
      </w:r>
      <w:r>
        <w:rPr>
          <w:rFonts w:ascii="Times New Roman" w:cs="Times New Roman" w:eastAsia="Times New Roman" w:hAnsi="Times New Roman"/>
          <w:sz w:val="18"/>
          <w:szCs w:val="18"/>
          <w:color w:val="auto"/>
        </w:rPr>
        <w:t>On September 25, 2025, Lamar Media completed an institutional private placement of $400.0 million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 3/8% Senior Notes due 2033 (the “5 3/8% Notes”). The institutional private placement on September 25, 2025 resulted in net proceeds to Lamar Media of approximately $393.5 million. Lamar Media used the proceeds from this offering, together with borrowings on the Term B loans, to pay off the balance outstanding on the revolving credit facility as well as pay down a portion of the balance on the Accounts Receivable Securitization Program.</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2026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20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Currently, Lamar Media has outstanding the $600.0 million 3 3/4% Senior Notes issued February 2020, the $550.0 million 4% Senior Notes issued February 2020 and August 2020, the $400.0 million 4 7/8% Senior Notes issued in May 2020, the $550.0 million 3 5/8% Senior Notes issued in January 2021 and the $400.0 million 5 3/8% Senior Notes issued September 2025.</w:t>
      </w:r>
    </w:p>
    <w:p>
      <w:pPr>
        <w:spacing w:after="0" w:line="20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(and in the case of the 5 3/8% Notes, minus (z) unrestricted cash of Lamar Media and its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21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229" w:lineRule="exact"/>
        <w:rPr>
          <w:sz w:val="20"/>
          <w:szCs w:val="20"/>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30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As of December 31, 2025 we were, and currently we are, in compliance with all such tests under the senior credit facility.</w:t>
      </w:r>
    </w:p>
    <w:p>
      <w:pPr>
        <w:spacing w:after="0" w:line="20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S</w:t>
      </w:r>
      <w:r>
        <w:rPr>
          <w:rFonts w:ascii="Times New Roman" w:cs="Times New Roman" w:eastAsia="Times New Roman" w:hAnsi="Times New Roman"/>
          <w:sz w:val="18"/>
          <w:szCs w:val="18"/>
          <w:i w:val="1"/>
          <w:iCs w:val="1"/>
          <w:color w:val="auto"/>
        </w:rPr>
        <w:t>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Cash – Accounts Receivable Securitization Program)) </w:t>
      </w:r>
      <w:r>
        <w:rPr>
          <w:rFonts w:ascii="Times New Roman" w:cs="Times New Roman" w:eastAsia="Times New Roman" w:hAnsi="Times New Roman"/>
          <w:sz w:val="18"/>
          <w:szCs w:val="18"/>
          <w:color w:val="auto"/>
        </w:rPr>
        <w:t>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89"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1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21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54" w:lineRule="exact"/>
        <w:rPr>
          <w:sz w:val="20"/>
          <w:szCs w:val="20"/>
          <w:color w:val="auto"/>
        </w:rPr>
      </w:pPr>
    </w:p>
    <w:p>
      <w:pPr>
        <w:ind w:right="2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$180.8 million for the year ended December 31, 2025.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are categorized as growth or maintenance as described below.</w:t>
      </w:r>
    </w:p>
    <w:p>
      <w:pPr>
        <w:spacing w:after="0" w:line="185" w:lineRule="exact"/>
        <w:rPr>
          <w:sz w:val="20"/>
          <w:szCs w:val="20"/>
          <w:color w:val="auto"/>
        </w:rPr>
      </w:pPr>
    </w:p>
    <w:p>
      <w:pPr>
        <w:jc w:val="both"/>
        <w:ind w:left="1140" w:hanging="565"/>
        <w:spacing w:after="0" w:line="26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capital expenditures </w:t>
      </w:r>
      <w:r>
        <w:rPr>
          <w:rFonts w:ascii="Times New Roman" w:cs="Times New Roman" w:eastAsia="Times New Roman" w:hAnsi="Times New Roman"/>
          <w:sz w:val="18"/>
          <w:szCs w:val="18"/>
          <w:color w:val="auto"/>
        </w:rPr>
        <w:t>include discretionary capital expenditures incurred primarily for the expansion or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markets and construction of new advertising sites. Growth capital expenditures also include certain technology-related investments necessary to support and scale for future customer demand of our outdoor advertising services, and other capital projects. Growth capital expenditures were $111.8 million for the year ended December 31, 2025.</w:t>
      </w:r>
    </w:p>
    <w:p>
      <w:pPr>
        <w:spacing w:after="0" w:line="206" w:lineRule="exact"/>
        <w:rPr>
          <w:rFonts w:ascii="Times New Roman" w:cs="Times New Roman" w:eastAsia="Times New Roman" w:hAnsi="Times New Roman"/>
          <w:sz w:val="18"/>
          <w:szCs w:val="18"/>
          <w:color w:val="auto"/>
        </w:rPr>
      </w:pPr>
    </w:p>
    <w:p>
      <w:pPr>
        <w:jc w:val="both"/>
        <w:ind w:left="1140" w:hanging="565"/>
        <w:spacing w:after="0" w:line="267"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Maintenance capital expenditures </w:t>
      </w:r>
      <w:r>
        <w:rPr>
          <w:rFonts w:ascii="Times New Roman" w:cs="Times New Roman" w:eastAsia="Times New Roman" w:hAnsi="Times New Roman"/>
          <w:sz w:val="18"/>
          <w:szCs w:val="18"/>
          <w:color w:val="auto"/>
        </w:rPr>
        <w:t>include recurring capital expenditures not otherwise categorized as growth or other non-recurring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including costs incurred to enhance existing advertising sites, general asset improvements, and ordinary corporate capital expenditures. Maintenance capital expenditures were $57.3 million for the year ended December 31, 2025.</w:t>
      </w:r>
    </w:p>
    <w:p>
      <w:pPr>
        <w:spacing w:after="0" w:line="200" w:lineRule="exact"/>
        <w:rPr>
          <w:rFonts w:ascii="Times New Roman" w:cs="Times New Roman" w:eastAsia="Times New Roman" w:hAnsi="Times New Roman"/>
          <w:sz w:val="18"/>
          <w:szCs w:val="18"/>
          <w:color w:val="auto"/>
        </w:rPr>
      </w:pPr>
    </w:p>
    <w:p>
      <w:pPr>
        <w:jc w:val="both"/>
        <w:ind w:left="1140" w:hanging="565"/>
        <w:spacing w:after="0" w:line="267" w:lineRule="auto"/>
        <w:tabs>
          <w:tab w:leader="none" w:pos="11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non-recurring capital expenditures </w:t>
      </w:r>
      <w:r>
        <w:rPr>
          <w:rFonts w:ascii="Times New Roman" w:cs="Times New Roman" w:eastAsia="Times New Roman" w:hAnsi="Times New Roman"/>
          <w:sz w:val="18"/>
          <w:szCs w:val="18"/>
          <w:color w:val="auto"/>
        </w:rPr>
        <w:t>include capital expenditures to develop new non-revenue generating assets, such as office 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local markets and the costs to re-develop advertising sites impacted by hurricanes. Other non-recurring capital expenditures were $11.6 million for the year ended December 31, 2025.</w:t>
      </w:r>
    </w:p>
    <w:p>
      <w:pPr>
        <w:spacing w:after="0" w:line="202" w:lineRule="exact"/>
        <w:rPr>
          <w:rFonts w:ascii="Times New Roman" w:cs="Times New Roman" w:eastAsia="Times New Roman" w:hAnsi="Times New Roman"/>
          <w:sz w:val="18"/>
          <w:szCs w:val="18"/>
          <w:i w:val="1"/>
          <w:iCs w:val="1"/>
          <w:color w:val="auto"/>
        </w:rPr>
      </w:pPr>
    </w:p>
    <w:p>
      <w:pPr>
        <w:ind w:left="1140" w:hanging="565"/>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our 2026 total capital expenditures will be approximately $186 million.</w:t>
      </w:r>
    </w:p>
    <w:p>
      <w:pPr>
        <w:spacing w:after="0" w:line="25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year ended December 31, 2025, the Company completed over 50 acquisitions for a total cash purchase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$191.1 million. The acquisitions occurring during the year ended December 31, 2025 were financed using available cash on hand, borrowings under the revolving credit facility and borrowings under the Accounts Receivable Securitization Program.</w:t>
      </w:r>
    </w:p>
    <w:p>
      <w:pPr>
        <w:spacing w:after="0" w:line="20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During the year ended December 31, 2025, the Company declared and paid distributions of $655.9 million, or $6.45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During the year ended December 31, 2024, the Company declared and paid distributions of $578.8 million, or $5.65 per share of common stock. Subject to the approval of the Company’s Board of Directors, the Company expects aggregate quarterly distributions to stockholders in 2026 will be at least $6.40 per common share.</w:t>
      </w:r>
    </w:p>
    <w:p>
      <w:pPr>
        <w:spacing w:after="0" w:line="20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21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Prior to May 15, 2025, the Company’s Board of Directors had authorized the repurchase of up to $250.0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the Company’s Class A common stock. Additionally, the Board of Directors has authorized Lamar Media to repurchase up to $250.0 million in outstanding senior or senior subordinated notes and other indebtedness outstanding from time to time under its senior credit agreement. The repurchase programs are currently authorized through March 31, 2026. On May 15, 2025, the Company's Board of Directors approved the increase of the amount authorized under the Stock Repurchase Program by $150.0 million, bringing the total amount authorized under the Program to $400.0 million. The Company’s management may opt not to make any repurchases under the program, or may make aggregate purchases less than the total amount authorized. During the year ended December 31, 2025, the Company repurchased 1,388,091 shares of the Company's Class A common stock outstanding for a total purchase price of $150.0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ended December 31, 2026 and thereafter are comprised of contractual obligations, required annual distributions and other opportunistic expenditures.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4"/>
        </w:trPr>
        <w:tc>
          <w:tcPr>
            <w:tcW w:w="8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Debt maturities</w:t>
            </w:r>
            <w:r>
              <w:rPr>
                <w:rFonts w:ascii="Times New Roman" w:cs="Times New Roman" w:eastAsia="Times New Roman" w:hAnsi="Times New Roman"/>
                <w:sz w:val="28"/>
                <w:szCs w:val="28"/>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3,418.5</w:t>
            </w:r>
          </w:p>
        </w:tc>
      </w:tr>
      <w:tr>
        <w:trPr>
          <w:trHeight w:val="270"/>
        </w:trPr>
        <w:tc>
          <w:tcPr>
            <w:tcW w:w="84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Interest obligations on long-term debt</w:t>
            </w:r>
            <w:r>
              <w:rPr>
                <w:rFonts w:ascii="Times New Roman" w:cs="Times New Roman" w:eastAsia="Times New Roman" w:hAnsi="Times New Roman"/>
                <w:sz w:val="28"/>
                <w:szCs w:val="28"/>
                <w:color w:val="auto"/>
                <w:vertAlign w:val="superscript"/>
              </w:rPr>
              <w:t>(2)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r>
      <w:tr>
        <w:trPr>
          <w:trHeight w:val="237"/>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5,812.7</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2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6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7"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December 31, 2025 levels. See Item 7A, "Quantitative and Qualitative Disclosures About Market Risk" for further discussion on interest rate risk.</w:t>
      </w:r>
    </w:p>
    <w:p>
      <w:pPr>
        <w:spacing w:after="0" w:line="193" w:lineRule="exact"/>
        <w:rPr>
          <w:sz w:val="20"/>
          <w:szCs w:val="20"/>
          <w:color w:val="auto"/>
        </w:rPr>
      </w:pPr>
    </w:p>
    <w:p>
      <w:pPr>
        <w:jc w:val="both"/>
        <w:ind w:right="20"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 Our Board of Directors will continue to evaluate future dividends in order to continue to satisfy the requirements needed to maintain our REIT status.</w:t>
      </w:r>
    </w:p>
    <w:p>
      <w:pPr>
        <w:spacing w:after="0" w:line="20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Company’s cash flows provided by operating activities decreased $9.6 million from $873.6 million in 2024 to $864.0 million for the year ended December 31, 2025, primarily resulting from a decrease in the change in operating assets and liabilities in 2025 as compared to 2024.</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increased $79.7 million from $164.9 million in 2024 to $244.6 million in 2025 primarily due to a net increase in the amount of assets acquired through acquisitions and capital expenditures of $79.7 million, as compared to the same period in 2024.</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cash flows used in financing activities were $604.3 million for the year ended December 31, 2025 as compared to $703.4 million in 2024. This decrease in cash used in financing activities of $99.1 million for the year ended December 31, 2025 is primarily due to the proceeds received in the issuance of the 5 3/8% Senior Notes and net borrowings on the Term B loan, offset by an increase in cash paid for dividends and distributions, cash used for stock repurchases, and payments on the revolving credit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intangible assets, goodwill impairment and asset retirement obligations.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had an asset retirement obligation of $624.9 million as of December 31, 2025. This liability relates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obligation upon the termination or non-renewal of a lease to dismantle and remove its billboard structures from the leased land and to restore the site to its original condition. The Company records the present value of obligations 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21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This calculation includes 100% of the Company’s billboard structures on leased land (which currently consist of approximately 71,500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The Company accounts for transactions that meet the definition of a business combination and asset group purchases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 business,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allocates the purchase price to the assets acquired and the liabilities assumed at their estimated relative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2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20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Liabilities and Right of Use Assets. </w:t>
      </w:r>
      <w:r>
        <w:rPr>
          <w:rFonts w:ascii="Times New Roman" w:cs="Times New Roman" w:eastAsia="Times New Roman" w:hAnsi="Times New Roman"/>
          <w:sz w:val="18"/>
          <w:szCs w:val="18"/>
          <w:color w:val="auto"/>
        </w:rPr>
        <w:t>On January 1, 2019, the Company adopted ASU No. 2016-02,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 (Codified as ASC 842),”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resulted in recording operating lease liabilities and right of use assets on our consolidated balance sheet. Our operating lease liabilities (including short-term liabilities) and right of use asset balances were $1.49 billion and $1.50 billion as of December 31, 2025, respectively. The balances are recorded based on the present value of the remaining minimum rental payments under the leasing standard for our existing operating leases. The key estimates for our leases include (1) the discount rate used to discount the unpaid lease payments to present value and (2) lease term. Our leases generally do not include a readily determinable implicit rate, therefore, using a portfolio approach, we determine our collateralized incremental borrowing rate to discount the lease payments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AND REGULATORY UPDATE</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22, "New Accounting Pronouncements" to our consolidated financial statements included in Part II, Item 8 of this report for a discussion of our Accounting Standards and Regulatory Update.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years ended December 31, 2025 and 2024. This discussion should be read in conjunction with the consolidated financial statements of Lamar Media and the related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items in the Consolidated Statements of Income as a percentage of net revenues for the years ended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82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824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4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8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7"/>
        </w:trPr>
        <w:tc>
          <w:tcPr>
            <w:tcW w:w="8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$59.1 million or 2.7% to $2.27 billion for the year ended December 31, 2025 from $2.21 billion for the same period in 2024. This increase was attributable to an increase in billboard net revenues of $57.7 million and an increase in logo net revenues of $5.2 million over the prior year, offset by a decrease in transit net revenues of $3.7 million.</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for the year ended December 31, 2025, as compared to acquisition-adjusted net revenues for the comparable period in 2024, increased $45.6 million, or 2.1%. The $45.6 million increase in net revenues is due to a $47.8 million increase in billboard net revenues and an increase of $3.9 million in logo net revenues, offset by a $2.7 million decrease in transit net revenues. See “Reconciliations” below.</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$23.6 million, or 1.9% to $1.24 billion for the year ended December 31, 2025 from $1.22 billion in the same period in 2024. The $23.6 million increase over the prior year is primarily comprised of an increase in total direct, general and administrative and corporate expenses (excluding non-cash compensation expense) of $34.2 million primarily related to the operations of our outdoor advertising assets, offset by a decrease in non-cash compensation expense of $10.6 million.</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$136.6 million to $326.3 million for the year ended December 31, 2025 as compared to $463.0 million for the same period in 2024. The decrease is primarily due to the revision in the cost estimate included in the calculation of asset retirement obligations during 2024.</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Lamar Media recognized a gain on disposition of assets of $75.9 million as compared to a gain on disposition of assets of $6.1 million for the same period in 2024. The gain on disposition of assets for the year ended December 31, 2025 primarily resulted from the sale of its equity interest in Vistar Media, Inc., as well as transactions related to the sale billboard locations and displays.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$242.0 million to $774.6 million for the year ended December 31, 2025 compared to $532.6 million for the same period in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$11.3 million for the year ended December 31, 2025 to $160.4 million as compared to $171.7 million for the year ended December 31, 2024. The decrease in interest expense is related to the repayment of the Term A loans outstanding under the senior credit facility during the year ended December 31, 2024 as well as a decrease in the interest rate on the senior credit facility and Accounts Receivable Securitization Program.</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$0.2 million and $5.1 million for the years ended December 31, 2025 and 2024, respectively. The decrease of $4.9 million was primarily due to the sale of its equity interest in Vistar Media, Inc. in February 2025.</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partially offset by the decrease in equity in earnings of investee, over the comparable period in 2024, resulted in a $246.9 million increase in net income before income taxes.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 recorded income tax expense of $21.3 million for the year ended December 31, 2025 as compared to income tax expense of $4.5 million for the same period in 2024. The $21.3 million equates to an effective tax rate for the year ended December 31, 2025 of approximately 3.5%,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year ended December 31, 2025 of $593.6 million, as compared to net income of $363.5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revenues results for the periods presented, we provide 2024 acquisition-adjusted net revenues, which adjusts our 2024 net revenues for the year ended December 31, 2024 by adding to or subtracting from it the net revenues generated by the acquired or divested assets prior to our acquisition or divestiture of these assets for the same time frame that those assets were owned in the year ended December 31, 2025.</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revenues to 2024 acquisition-adjusted net revenues for the year ended December 31, 2024 as well as a comparison of 2024 acquisition-adjusted net revenues to 2025 reported net revenues for the year ended December 31, 2025,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2,220,662</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1,058,780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2025 increased 2.4% to $1.06 billion. The increase in adjusted EBITDA was primarily attributable to the increase in our gross margin (net revenues less direct advertising expenses, exclusive of depreciation and amortization and capitalized contract fulfillment costs, net) of $40.0 million, and was partially offset by an increase in general and administrative and corporate expenses of $15.2 million, excluding the impact of non-cash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8"/>
                <w:szCs w:val="18"/>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(1,674)</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(4,427)</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1,058,780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1,033,726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25,054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440" w:type="dxa"/>
            <w:vAlign w:val="bottom"/>
            <w:tcBorders>
              <w:bottom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3" w:lineRule="exact"/>
        <w:rPr>
          <w:rFonts w:ascii="Times New Roman" w:cs="Times New Roman" w:eastAsia="Times New Roman" w:hAnsi="Times New Roman"/>
          <w:sz w:val="16"/>
          <w:szCs w:val="16"/>
          <w:color w:val="auto"/>
        </w:rPr>
      </w:pPr>
    </w:p>
    <w:p>
      <w:pPr>
        <w:ind w:left="340" w:hanging="332"/>
        <w:spacing w:after="0" w:line="275"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year ended December 31, 2025 increased 2.4% to $1.06 billion. The increase in adjusted EBITDA was primarily attributable to the increase in our billboard advertising adjusted EBITDA of $31.2 million, offset by a decrease in other adjusted EBITDA of $1.7 million and an increase in corporate expenses of $4.4 million, excluding the impact of non-cash compensation expense.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9"/>
                <w:szCs w:val="19"/>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847,215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year ended December 31, 2025 was $827.9 million as compared to FFO of $799.0 million for the same period in 2024. AFFO for the year ended December 31, 2025 increased 3.4% to $847.2 million as compared to $819.6 million for the same period in 2024. The increase in AFFO was primarily attributable to the increase in our gross margin (net revenues less direct advertising expenses, exclusive of depreciation and amortization and capitalized contract fulfillment costs, net) of $40.0 million, partially offset by an increase in total general and administrative and corporate expenses (excluding the effect of non-cash compensation expense) of $15.2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2025, and should be read in conjunction with Note 9 of the Notes to the Company’s Consolidated Financial Statements.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Corp. has variable rate debt outstanding under the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December 31, 2025 there was approximately $948.3 million of indebtedness outstanding under the senior credit facility and Accounts Receivable Securitization Program, or approximately 27.5% of the Company’s outstanding long-term debt (including current maturities) on that date, bearing interest at variable rates. The aggregate interest expense for 2025 with respect to borrowings under the senior credit facility and the Accounts Receivable Securitization Program was $63.0 million, and the weighted average interest rate applicable to these borrowings during 2025 was 5.6%. Assuming that the weighted average interest rate was 200 basis points higher (that is 7.6% rather than 5.6%), then the Company’s 2025 interest expense would have increased by approximately $21.8 million for the year ended December 31, 2025.</w:t>
      </w:r>
    </w:p>
    <w:p>
      <w:pPr>
        <w:spacing w:after="0" w:line="21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06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790"/>
        </w:trPr>
        <w:tc>
          <w:tcPr>
            <w:tcW w:w="106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60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2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6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20" w:type="dxa"/>
            <w:vAlign w:val="bottom"/>
            <w:gridSpan w:val="8"/>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60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10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Internal Control Over Financial Reporting </w:t>
            </w:r>
            <w:r>
              <w:rPr>
                <w:rFonts w:ascii="Times New Roman" w:cs="Times New Roman" w:eastAsia="Times New Roman" w:hAnsi="Times New Roman"/>
                <w:sz w:val="18"/>
                <w:szCs w:val="18"/>
                <w:color w:val="000000"/>
              </w:rPr>
              <w:t>(KPMG LLP, Baton</w:t>
            </w:r>
          </w:p>
        </w:tc>
        <w:tc>
          <w:tcPr>
            <w:tcW w:w="6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4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Rouge, LA, Audit Firm ID: 185)</w:t>
            </w:r>
          </w:p>
        </w:tc>
        <w:tc>
          <w:tcPr>
            <w:tcW w:w="2180" w:type="dxa"/>
            <w:vAlign w:val="bottom"/>
            <w:gridSpan w:val="2"/>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20" w:type="dxa"/>
            <w:vAlign w:val="bottom"/>
          </w:tcPr>
          <w:p>
            <w:pPr>
              <w:spacing w:after="0"/>
              <w:rPr>
                <w:sz w:val="19"/>
                <w:szCs w:val="19"/>
                <w:color w:val="auto"/>
              </w:rPr>
            </w:pPr>
          </w:p>
        </w:tc>
        <w:tc>
          <w:tcPr>
            <w:tcW w:w="10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the Consolidated Financial Statements </w:t>
            </w:r>
            <w:r>
              <w:rPr>
                <w:rFonts w:ascii="Times New Roman" w:cs="Times New Roman" w:eastAsia="Times New Roman" w:hAnsi="Times New Roman"/>
                <w:sz w:val="18"/>
                <w:szCs w:val="18"/>
                <w:color w:val="000000"/>
              </w:rPr>
              <w:t>(KPMG LLP, Baton Rouge,</w:t>
            </w:r>
          </w:p>
        </w:tc>
        <w:tc>
          <w:tcPr>
            <w:tcW w:w="6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LA, Audit Firm ID: 185)</w:t>
            </w:r>
          </w:p>
        </w:tc>
        <w:tc>
          <w:tcPr>
            <w:tcW w:w="2420" w:type="dxa"/>
            <w:vAlign w:val="bottom"/>
            <w:gridSpan w:val="3"/>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0" w:type="dxa"/>
            <w:vAlign w:val="bottom"/>
          </w:tcPr>
          <w:p>
            <w:pPr>
              <w:spacing w:after="0"/>
              <w:rPr>
                <w:sz w:val="19"/>
                <w:szCs w:val="19"/>
                <w:color w:val="auto"/>
              </w:rPr>
            </w:pP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920" w:type="dxa"/>
            <w:vAlign w:val="bottom"/>
            <w:gridSpan w:val="8"/>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20" w:type="dxa"/>
            <w:vAlign w:val="bottom"/>
          </w:tcPr>
          <w:p>
            <w:pPr>
              <w:spacing w:after="0"/>
              <w:rPr>
                <w:sz w:val="21"/>
                <w:szCs w:val="21"/>
                <w:color w:val="auto"/>
              </w:rPr>
            </w:pPr>
          </w:p>
        </w:tc>
        <w:tc>
          <w:tcPr>
            <w:tcW w:w="8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2025, 2024 and 2023</w:t>
            </w:r>
          </w:p>
        </w:tc>
        <w:tc>
          <w:tcPr>
            <w:tcW w:w="1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20" w:type="dxa"/>
            <w:vAlign w:val="bottom"/>
          </w:tcPr>
          <w:p>
            <w:pPr>
              <w:spacing w:after="0"/>
              <w:rPr>
                <w:sz w:val="21"/>
                <w:szCs w:val="21"/>
                <w:color w:val="auto"/>
              </w:rPr>
            </w:pPr>
          </w:p>
        </w:tc>
        <w:tc>
          <w:tcPr>
            <w:tcW w:w="7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2980" w:type="dxa"/>
            <w:vAlign w:val="bottom"/>
            <w:gridSpan w:val="5"/>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20" w:type="dxa"/>
            <w:vAlign w:val="bottom"/>
          </w:tcPr>
          <w:p>
            <w:pPr>
              <w:spacing w:after="0"/>
              <w:rPr>
                <w:sz w:val="21"/>
                <w:szCs w:val="21"/>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660" w:type="dxa"/>
            <w:vAlign w:val="bottom"/>
            <w:gridSpan w:val="6"/>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20" w:type="dxa"/>
            <w:vAlign w:val="bottom"/>
            <w:gridSpan w:val="9"/>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20" w:type="dxa"/>
            <w:vAlign w:val="bottom"/>
          </w:tcPr>
          <w:p>
            <w:pPr>
              <w:spacing w:after="0"/>
              <w:rPr>
                <w:sz w:val="21"/>
                <w:szCs w:val="21"/>
                <w:color w:val="auto"/>
              </w:rPr>
            </w:pPr>
          </w:p>
        </w:tc>
        <w:tc>
          <w:tcPr>
            <w:tcW w:w="10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2025,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20" w:type="dxa"/>
            <w:vAlign w:val="bottom"/>
          </w:tcPr>
          <w:p>
            <w:pPr>
              <w:spacing w:after="0" w:line="20" w:lineRule="exact"/>
              <w:rPr>
                <w:sz w:val="1"/>
                <w:szCs w:val="1"/>
                <w:color w:val="auto"/>
              </w:rPr>
            </w:pPr>
          </w:p>
        </w:tc>
        <w:tc>
          <w:tcPr>
            <w:tcW w:w="7680" w:type="dxa"/>
            <w:vAlign w:val="bottom"/>
            <w:gridSpan w:val="7"/>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Schedule III — Schedule of Real Estate and Accumulated Depreciation as of December 31, 2025, 2024 and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8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Lamar Advertising’s management assessed the effectiveness of Lamar Advertising’s internal control over financial reporting as of December 31, 2025.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Lamar Advertising’s management has concluded that, as of December 31, 2025, Lamar Advertising’s internal control over financial reporting is effective based on those criteria. The effectiveness of Lamar Advertising’s internal control over financial reporting as of December 31, 2025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Lamar Advertising Company and subsidiaries'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and comprehensive income, stockholders’ equity, and cash flows for each of the years in the three-year period ended December 31, 2025, and the related notes and financial statement schedules II to III (collectively, the consolidated financial statements), and our report dated February 20, 2026 expressed an unqualified opinion on those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8233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Lamar Advertising Company and subsidiaries (the Company) as of December 31, 2025 and 2024, the related consolidated statements of income and comprehensive income, stockholders’ equity, and cash flows for each of the years in the three-year period ended December 31, 2025, and the related notes and financial statement schedules II to III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2026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 of the accounting lease term for the portfolio of billboard land leases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7 to the consolidated financial statements, a lessee determines the lease term at the commencement date by identifying the non-cancellable period of the lease and then adding any periods for which it is reasonably certain to exercise a renewal option (or not to exercise a termination option). The Company has approximately 71,500 billboard land leases for which they determined the lease term using a portfolio approach, in accordance with which the negotiated stated initial lease term for each billboard land lease was concluded to be the lease term under Accounting Standards Codification Topic 842, Leases (ASC 842).</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involved a high degree of subjectivity as to whether the lease term should or should not include renewal periods (including periods after an optional termination date), the evaluation of which required subjective auditor judgment.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billboard land lease process, including controls related to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8233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9"/>
        </w:trPr>
        <w:tc>
          <w:tcPr>
            <w:tcW w:w="86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600" w:type="dxa"/>
            <w:vAlign w:val="bottom"/>
            <w:shd w:val="clear" w:color="auto" w:fill="CFF0FC"/>
          </w:tcPr>
          <w:p>
            <w:pPr>
              <w:ind w:left="39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49,461</w:t>
            </w:r>
          </w:p>
        </w:tc>
        <w:tc>
          <w:tcPr>
            <w:tcW w:w="0" w:type="dxa"/>
            <w:vAlign w:val="bottom"/>
          </w:tcPr>
          <w:p>
            <w:pPr>
              <w:spacing w:after="0"/>
              <w:rPr>
                <w:sz w:val="1"/>
                <w:szCs w:val="1"/>
                <w:color w:val="auto"/>
              </w:rPr>
            </w:pPr>
          </w:p>
        </w:tc>
      </w:tr>
      <w:tr>
        <w:trPr>
          <w:trHeight w:val="23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$11,856 and $12,404 as of 2025 and 2024, respectively</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334,798</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459,723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425,268</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(note 5)</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4,766,872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4,574,894</w:t>
            </w:r>
          </w:p>
        </w:tc>
        <w:tc>
          <w:tcPr>
            <w:tcW w:w="0" w:type="dxa"/>
            <w:vAlign w:val="bottom"/>
          </w:tcPr>
          <w:p>
            <w:pPr>
              <w:spacing w:after="0"/>
              <w:rPr>
                <w:sz w:val="1"/>
                <w:szCs w:val="1"/>
                <w:color w:val="auto"/>
              </w:rPr>
            </w:pPr>
          </w:p>
        </w:tc>
      </w:tr>
      <w:tr>
        <w:trPr>
          <w:trHeight w:val="237"/>
        </w:trPr>
        <w:tc>
          <w:tcPr>
            <w:tcW w:w="8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(3,087,972)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(2,974,085)</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1,678,900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1,600,809</w:t>
            </w:r>
          </w:p>
        </w:tc>
        <w:tc>
          <w:tcPr>
            <w:tcW w:w="0" w:type="dxa"/>
            <w:vAlign w:val="bottom"/>
          </w:tcPr>
          <w:p>
            <w:pPr>
              <w:spacing w:after="0"/>
              <w:rPr>
                <w:sz w:val="1"/>
                <w:szCs w:val="1"/>
                <w:color w:val="auto"/>
              </w:rPr>
            </w:pPr>
          </w:p>
        </w:tc>
      </w:t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1,504,170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1,355,231</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8,331</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(note 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2,111,257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2,035,082</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(note 6)</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1,113,829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1,062,601</w:t>
            </w:r>
          </w:p>
        </w:tc>
        <w:tc>
          <w:tcPr>
            <w:tcW w:w="0" w:type="dxa"/>
            <w:vAlign w:val="bottom"/>
          </w:tcPr>
          <w:p>
            <w:pPr>
              <w:spacing w:after="0"/>
              <w:rPr>
                <w:sz w:val="1"/>
                <w:szCs w:val="1"/>
                <w:color w:val="auto"/>
              </w:rPr>
            </w:pPr>
          </w:p>
        </w:tc>
      </w:tr>
      <w:tr>
        <w:trPr>
          <w:trHeight w:val="23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58,597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99,227</w:t>
            </w:r>
          </w:p>
        </w:tc>
        <w:tc>
          <w:tcPr>
            <w:tcW w:w="0" w:type="dxa"/>
            <w:vAlign w:val="bottom"/>
          </w:tcPr>
          <w:p>
            <w:pPr>
              <w:spacing w:after="0"/>
              <w:rPr>
                <w:sz w:val="1"/>
                <w:szCs w:val="1"/>
                <w:color w:val="auto"/>
              </w:rPr>
            </w:pPr>
          </w:p>
        </w:tc>
      </w:tr>
      <w:tr>
        <w:trPr>
          <w:trHeight w:val="262"/>
        </w:trPr>
        <w:tc>
          <w:tcPr>
            <w:tcW w:w="8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6,931,954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6,586,549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4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$396 and $611 in 2025 and 2024, respectively (note 9)</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249,806</w:t>
            </w:r>
          </w:p>
        </w:tc>
        <w:tc>
          <w:tcPr>
            <w:tcW w:w="0" w:type="dxa"/>
            <w:vAlign w:val="bottom"/>
          </w:tcPr>
          <w:p>
            <w:pPr>
              <w:spacing w:after="0"/>
              <w:rPr>
                <w:sz w:val="1"/>
                <w:szCs w:val="1"/>
                <w:color w:val="auto"/>
              </w:rPr>
            </w:pPr>
          </w:p>
        </w:tc>
      </w:tr>
      <w:tr>
        <w:trPr>
          <w:trHeight w:val="23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 (note 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218,108</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financing lease liabilities (note 7)</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3"/>
        </w:trPr>
        <w:tc>
          <w:tcPr>
            <w:tcW w:w="8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expenses (note 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133,943</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155,067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153,700</w:t>
            </w:r>
          </w:p>
        </w:tc>
        <w:tc>
          <w:tcPr>
            <w:tcW w:w="0" w:type="dxa"/>
            <w:vAlign w:val="bottom"/>
          </w:tcPr>
          <w:p>
            <w:pPr>
              <w:spacing w:after="0"/>
              <w:rPr>
                <w:sz w:val="1"/>
                <w:szCs w:val="1"/>
                <w:color w:val="auto"/>
              </w:rPr>
            </w:pPr>
          </w:p>
        </w:tc>
      </w:tr>
      <w:tr>
        <w:trPr>
          <w:trHeight w:val="227"/>
        </w:trPr>
        <w:tc>
          <w:tcPr>
            <w:tcW w:w="8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778,474</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$29,517 and $22,826 in 2025 and 2024, respectively (note 9)</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3,168,863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2,961,058</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(note 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1,114,407</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 (note 7)</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0" w:type="dxa"/>
            <w:vAlign w:val="bottom"/>
          </w:tcPr>
          <w:p>
            <w:pPr>
              <w:spacing w:after="0"/>
              <w:rPr>
                <w:sz w:val="1"/>
                <w:szCs w:val="1"/>
                <w:color w:val="auto"/>
              </w:rPr>
            </w:pPr>
          </w:p>
        </w:tc>
      </w:tr>
      <w:tr>
        <w:trPr>
          <w:trHeight w:val="23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 (note 12)</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 (note 10)</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614,713</w:t>
            </w:r>
          </w:p>
        </w:tc>
        <w:tc>
          <w:tcPr>
            <w:tcW w:w="0" w:type="dxa"/>
            <w:vAlign w:val="bottom"/>
          </w:tcPr>
          <w:p>
            <w:pPr>
              <w:spacing w:after="0"/>
              <w:rPr>
                <w:sz w:val="1"/>
                <w:szCs w:val="1"/>
                <w:color w:val="auto"/>
              </w:rPr>
            </w:pPr>
          </w:p>
        </w:tc>
      </w:tr>
      <w:tr>
        <w:trPr>
          <w:trHeight w:val="237"/>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52,563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48,588</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5,907,175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5,538,529</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 (note 14):</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Series AA preferred stock, par value $0.001, $63.80 cumulative dividends, 5,720 shares authorized; 5,720 shares issued and</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outstanding at 2025 and 2024</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A common stock, par value $0.001, 362,500,000 shares authorized, 89,249,234 and 88,867,481 shares issued and</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0"/>
        </w:trPr>
        <w:tc>
          <w:tcPr>
            <w:tcW w:w="8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86,910,542 and 87,976,923 outstanding at 2025 and 2024, respectively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Class B common stock, par value $0.001, 37,500,000 shares authorized, 14,420,085 shares issued and outstanding at 2025 and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2,350,546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2,159,292</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3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(1,105,651)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(1,036,582)</w:t>
            </w:r>
          </w:p>
        </w:tc>
        <w:tc>
          <w:tcPr>
            <w:tcW w:w="0" w:type="dxa"/>
            <w:vAlign w:val="bottom"/>
          </w:tcPr>
          <w:p>
            <w:pPr>
              <w:spacing w:after="0"/>
              <w:rPr>
                <w:sz w:val="1"/>
                <w:szCs w:val="1"/>
                <w:color w:val="auto"/>
              </w:rPr>
            </w:pPr>
          </w:p>
        </w:tc>
      </w:tr>
      <w:tr>
        <w:trPr>
          <w:trHeight w:val="253"/>
        </w:trPr>
        <w:tc>
          <w:tcPr>
            <w:tcW w:w="8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shares held in treasury, 2,338,692 and 890,558 shares at 2025 and 2024, respectively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(72,688)</w:t>
            </w:r>
          </w:p>
        </w:tc>
        <w:tc>
          <w:tcPr>
            <w:tcW w:w="0" w:type="dxa"/>
            <w:vAlign w:val="bottom"/>
          </w:tcPr>
          <w:p>
            <w:pPr>
              <w:spacing w:after="0"/>
              <w:rPr>
                <w:sz w:val="1"/>
                <w:szCs w:val="1"/>
                <w:color w:val="auto"/>
              </w:rPr>
            </w:pPr>
          </w:p>
        </w:tc>
      </w:tr>
      <w:tr>
        <w:trPr>
          <w:trHeight w:val="236"/>
        </w:trPr>
        <w:tc>
          <w:tcPr>
            <w:tcW w:w="86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1,024,779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1,048,020</w:t>
            </w:r>
          </w:p>
        </w:tc>
        <w:tc>
          <w:tcPr>
            <w:tcW w:w="0" w:type="dxa"/>
            <w:vAlign w:val="bottom"/>
          </w:tcPr>
          <w:p>
            <w:pPr>
              <w:spacing w:after="0"/>
              <w:rPr>
                <w:sz w:val="1"/>
                <w:szCs w:val="1"/>
                <w:color w:val="auto"/>
              </w:rPr>
            </w:pPr>
          </w:p>
        </w:tc>
      </w:tr>
      <w:tr>
        <w:trPr>
          <w:trHeight w:val="230"/>
        </w:trPr>
        <w:tc>
          <w:tcPr>
            <w:tcW w:w="8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6,931,954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6,586,549</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 (note 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696,799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361,133</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344,780</w:t>
            </w:r>
          </w:p>
        </w:tc>
        <w:tc>
          <w:tcPr>
            <w:tcW w:w="0" w:type="dxa"/>
            <w:vAlign w:val="bottom"/>
          </w:tcPr>
          <w:p>
            <w:pPr>
              <w:spacing w:after="0"/>
              <w:rPr>
                <w:sz w:val="1"/>
                <w:szCs w:val="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(note 11)</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326,332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0" w:type="dxa"/>
            <w:vAlign w:val="bottom"/>
          </w:tcPr>
          <w:p>
            <w:pPr>
              <w:spacing w:after="0"/>
              <w:rPr>
                <w:sz w:val="1"/>
                <w:szCs w:val="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1,492,155</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1,675,063</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1,435,553</w:t>
            </w:r>
          </w:p>
        </w:tc>
        <w:tc>
          <w:tcPr>
            <w:tcW w:w="0" w:type="dxa"/>
            <w:vAlign w:val="bottom"/>
          </w:tcPr>
          <w:p>
            <w:pPr>
              <w:spacing w:after="0"/>
              <w:rPr>
                <w:sz w:val="1"/>
                <w:szCs w:val="1"/>
                <w:color w:val="auto"/>
              </w:rPr>
            </w:pPr>
          </w:p>
        </w:tc>
      </w:tr>
      <w:tr>
        <w:trPr>
          <w:trHeight w:val="237"/>
        </w:trPr>
        <w:tc>
          <w:tcPr>
            <w:tcW w:w="7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675,434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174,512</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168,816</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506,618</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(note 12)</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495,763</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495,398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101,554,181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102,258,760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101,920,268</w:t>
            </w:r>
          </w:p>
        </w:tc>
        <w:tc>
          <w:tcPr>
            <w:tcW w:w="0" w:type="dxa"/>
            <w:vAlign w:val="bottom"/>
          </w:tcPr>
          <w:p>
            <w:pPr>
              <w:spacing w:after="0"/>
              <w:rPr>
                <w:sz w:val="1"/>
                <w:szCs w:val="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101,634,142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102,561,151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102,106,647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497,067</w:t>
            </w:r>
          </w:p>
        </w:tc>
        <w:tc>
          <w:tcPr>
            <w:tcW w:w="0" w:type="dxa"/>
            <w:vAlign w:val="bottom"/>
          </w:tcPr>
          <w:p>
            <w:pPr>
              <w:spacing w:after="0"/>
              <w:rPr>
                <w:sz w:val="1"/>
                <w:szCs w:val="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587,260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920" w:type="dxa"/>
            <w:vAlign w:val="bottom"/>
          </w:tcPr>
          <w:p>
            <w:pPr>
              <w:spacing w:after="0"/>
              <w:rPr>
                <w:sz w:val="9"/>
                <w:szCs w:val="9"/>
                <w:color w:val="auto"/>
              </w:rPr>
            </w:pPr>
          </w:p>
        </w:tc>
        <w:tc>
          <w:tcPr>
            <w:tcW w:w="56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Class A</w:t>
            </w:r>
          </w:p>
        </w:tc>
        <w:tc>
          <w:tcPr>
            <w:tcW w:w="160" w:type="dxa"/>
            <w:vAlign w:val="bottom"/>
          </w:tcPr>
          <w:p>
            <w:pPr>
              <w:spacing w:after="0"/>
              <w:rPr>
                <w:sz w:val="9"/>
                <w:szCs w:val="9"/>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7"/>
              </w:rPr>
              <w:t>Class B</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920" w:type="dxa"/>
            <w:vAlign w:val="bottom"/>
          </w:tcPr>
          <w:p>
            <w:pPr>
              <w:spacing w:after="0"/>
              <w:rPr>
                <w:sz w:val="9"/>
                <w:szCs w:val="9"/>
                <w:color w:val="auto"/>
              </w:rPr>
            </w:pPr>
          </w:p>
        </w:tc>
        <w:tc>
          <w:tcPr>
            <w:tcW w:w="56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w w:val="93"/>
              </w:rPr>
              <w:t>PREF</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CMN</w:t>
            </w:r>
          </w:p>
        </w:tc>
        <w:tc>
          <w:tcPr>
            <w:tcW w:w="16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CMN</w:t>
            </w:r>
          </w:p>
        </w:tc>
        <w:tc>
          <w:tcPr>
            <w:tcW w:w="180" w:type="dxa"/>
            <w:vAlign w:val="bottom"/>
          </w:tcPr>
          <w:p>
            <w:pPr>
              <w:spacing w:after="0"/>
              <w:rPr>
                <w:sz w:val="9"/>
                <w:szCs w:val="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40" w:type="dxa"/>
            <w:vAlign w:val="bottom"/>
          </w:tcPr>
          <w:p>
            <w:pPr>
              <w:spacing w:after="0"/>
              <w:rPr>
                <w:sz w:val="9"/>
                <w:szCs w:val="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920" w:type="dxa"/>
            <w:vAlign w:val="bottom"/>
          </w:tcPr>
          <w:p>
            <w:pPr>
              <w:spacing w:after="0"/>
              <w:rPr>
                <w:sz w:val="10"/>
                <w:szCs w:val="10"/>
                <w:color w:val="auto"/>
              </w:rPr>
            </w:pPr>
          </w:p>
        </w:tc>
        <w:tc>
          <w:tcPr>
            <w:tcW w:w="56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6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Loss</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56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2,061,671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(804,382)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1,195,374</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10,323</w:t>
            </w:r>
          </w:p>
        </w:tc>
      </w:tr>
      <w:tr>
        <w:trPr>
          <w:trHeight w:val="29"/>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168,176 shares of common stock</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16,615</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60,385 shares of stock options</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w:t>
            </w:r>
          </w:p>
        </w:tc>
      </w:tr>
      <w:tr>
        <w:trPr>
          <w:trHeight w:val="29"/>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147,006 shares of common stock</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employee purchase plan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11,389</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57,239 shares of treasury stock</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r>
      <w:tr>
        <w:trPr>
          <w:trHeight w:val="29"/>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496,836</w:t>
            </w:r>
          </w:p>
        </w:tc>
      </w:tr>
      <w:tr>
        <w:trPr>
          <w:trHeight w:val="29"/>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r>
      <w:tr>
        <w:trPr>
          <w:trHeight w:val="157"/>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Dividends/distributions to common shareholders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($5.00 per common share)</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(510,251)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(511,307)</w:t>
            </w:r>
          </w:p>
        </w:tc>
      </w:tr>
      <w:tr>
        <w:trPr>
          <w:trHeight w:val="29"/>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($63.80 per preferred share)</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167"/>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6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2,103,282</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(819,235)</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1,216,788</w:t>
            </w:r>
          </w:p>
        </w:tc>
      </w:tr>
      <w:tr>
        <w:trPr>
          <w:trHeight w:val="29"/>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19,059</w:t>
            </w:r>
          </w:p>
        </w:tc>
      </w:tr>
      <w:tr>
        <w:trPr>
          <w:trHeight w:val="157"/>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Issuance of 143,002 shares of common stock</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16,990</w:t>
            </w:r>
          </w:p>
        </w:tc>
      </w:tr>
      <w:tr>
        <w:trPr>
          <w:trHeight w:val="29"/>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Exercise of 112,575 shares of stock options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9,090</w:t>
            </w:r>
          </w:p>
        </w:tc>
      </w:tr>
      <w:tr>
        <w:trPr>
          <w:trHeight w:val="157"/>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Issuance of 125,409 shares of common stock</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through employee purchase plan</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11,890</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 of 49,623 shares of treasury stock</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(5,341)</w:t>
            </w:r>
          </w:p>
        </w:tc>
      </w:tr>
      <w:tr>
        <w:trPr>
          <w:trHeight w:val="173"/>
        </w:trPr>
        <w:tc>
          <w:tcPr>
            <w:tcW w:w="29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361,867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362,939</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Dividends/distributions to common shareholders</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($5.65 per common share)</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(578,849)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(580,504)</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($63.80 per preferred share)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30"/>
        </w:trPr>
        <w:tc>
          <w:tcPr>
            <w:tcW w:w="2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56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2,159,292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(1,036,582)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1,048,020</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15,772</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174,913 shares of common stock</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22,903</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58,775 shares of stock options</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4,896</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126,065 shares of common stock</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employee purchase plan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12,790</w:t>
            </w:r>
          </w:p>
        </w:tc>
      </w:tr>
      <w:tr>
        <w:trPr>
          <w:trHeight w:val="157"/>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Issuance of 22,000 shares of common stock through</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redemption of common units of Lamar</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8"/>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Advertising Limited Partnership</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 of 1,448,134 shares of treasury stock</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(157,921)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(157,921)</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587,152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593,068</w:t>
            </w:r>
          </w:p>
        </w:tc>
      </w:tr>
      <w:tr>
        <w:trPr>
          <w:trHeight w:val="173"/>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Verde transaction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147,642</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9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Dividends/distributions to common shareholders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($6.45 per common share)</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(655,856)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(662,134)</w:t>
            </w:r>
          </w:p>
        </w:tc>
      </w:tr>
      <w:tr>
        <w:trPr>
          <w:trHeight w:val="30"/>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($63.80 per preferred share)</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167"/>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2025</w:t>
            </w:r>
          </w:p>
        </w:tc>
        <w:tc>
          <w:tcPr>
            <w:tcW w:w="56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(230,609)</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2,350,546</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(2,803)</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(1,105,651)</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13,193</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1,024,779</w:t>
            </w:r>
          </w:p>
        </w:tc>
      </w:tr>
      <w:tr>
        <w:trPr>
          <w:trHeight w:val="30"/>
        </w:trPr>
        <w:tc>
          <w:tcPr>
            <w:tcW w:w="29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2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6"/>
        </w:trPr>
        <w:tc>
          <w:tcPr>
            <w:tcW w:w="7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593,068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362,939</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496,836</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293,423</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w:t>
            </w:r>
          </w:p>
        </w:tc>
      </w:tr>
      <w:tr>
        <w:trPr>
          <w:trHeight w:val="193"/>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6,538</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7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w:t>
            </w:r>
          </w:p>
        </w:tc>
      </w:tr>
      <w:tr>
        <w:trPr>
          <w:trHeight w:val="193"/>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r>
      <w:tr>
        <w:trPr>
          <w:trHeight w:val="193"/>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tax (benefit)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12,737</w:t>
            </w:r>
          </w:p>
        </w:tc>
      </w:tr>
      <w:tr>
        <w:trPr>
          <w:trHeight w:val="193"/>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70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(28,744)</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70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r>
      <w:tr>
        <w:trPr>
          <w:trHeight w:val="193"/>
        </w:trPr>
        <w:tc>
          <w:tcPr>
            <w:tcW w:w="70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7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(Decrease) increase in: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93"/>
        </w:trPr>
        <w:tc>
          <w:tcPr>
            <w:tcW w:w="70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Trade accounts payable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r>
      <w:tr>
        <w:trPr>
          <w:trHeight w:val="193"/>
        </w:trPr>
        <w:tc>
          <w:tcPr>
            <w:tcW w:w="70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70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w:t>
            </w:r>
          </w:p>
        </w:tc>
      </w:tr>
      <w:tr>
        <w:trPr>
          <w:trHeight w:val="186"/>
        </w:trPr>
        <w:tc>
          <w:tcPr>
            <w:tcW w:w="70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864,049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873,610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783,613</w:t>
            </w:r>
          </w:p>
        </w:tc>
      </w:tr>
      <w:tr>
        <w:trPr>
          <w:trHeight w:val="37"/>
        </w:trPr>
        <w:tc>
          <w:tcPr>
            <w:tcW w:w="7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(178,271)</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(191,079)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(138,961)</w:t>
            </w: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127,176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7,051</w:t>
            </w:r>
          </w:p>
        </w:tc>
      </w:tr>
      <w:tr>
        <w:trPr>
          <w:trHeight w:val="186"/>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(244,634)</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(164,906)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(310,119)</w:t>
            </w:r>
          </w:p>
        </w:tc>
      </w:tr>
      <w:tr>
        <w:trPr>
          <w:trHeight w:val="37"/>
        </w:trPr>
        <w:tc>
          <w:tcPr>
            <w:tcW w:w="7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15,689</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used for purchase of treasury shares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(157,921)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w:t>
            </w: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403,000</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(378,000)</w:t>
            </w: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senior credit facility term loans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senior credit facility term loans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114,900</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(114,900)</w:t>
            </w: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Dividends/distributions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(656,221)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(510,616)</w:t>
            </w:r>
          </w:p>
        </w:tc>
      </w:tr>
      <w:tr>
        <w:trPr>
          <w:trHeight w:val="186"/>
        </w:trPr>
        <w:tc>
          <w:tcPr>
            <w:tcW w:w="7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(604,316)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(703,425)</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(481,635)</w:t>
            </w:r>
          </w:p>
        </w:tc>
      </w:tr>
      <w:tr>
        <w:trPr>
          <w:trHeight w:val="37"/>
        </w:trPr>
        <w:tc>
          <w:tcPr>
            <w:tcW w:w="7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15,351</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(8,014)</w:t>
            </w:r>
          </w:p>
        </w:tc>
      </w:tr>
      <w:tr>
        <w:trPr>
          <w:trHeight w:val="37"/>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52,619</w:t>
            </w:r>
          </w:p>
        </w:tc>
      </w:tr>
      <w:tr>
        <w:trPr>
          <w:trHeight w:val="18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64,812</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49,461</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44,605</w:t>
            </w:r>
          </w:p>
        </w:tc>
      </w:tr>
      <w:tr>
        <w:trPr>
          <w:trHeight w:val="37"/>
        </w:trPr>
        <w:tc>
          <w:tcPr>
            <w:tcW w:w="7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6"/>
        </w:trPr>
        <w:tc>
          <w:tcPr>
            <w:tcW w:w="70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3"/>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148,329</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168,011</w:t>
            </w:r>
          </w:p>
        </w:tc>
      </w:tr>
      <w:tr>
        <w:trPr>
          <w:trHeight w:val="37"/>
        </w:trPr>
        <w:tc>
          <w:tcPr>
            <w:tcW w:w="7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9"/>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state, federal, and foreign income taxes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21" w:right="359" w:bottom="109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9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Significant Accounting Policies</w:t>
      </w:r>
    </w:p>
    <w:p>
      <w:pPr>
        <w:spacing w:after="0" w:line="252" w:lineRule="exact"/>
        <w:rPr>
          <w:sz w:val="20"/>
          <w:szCs w:val="20"/>
          <w:color w:val="auto"/>
        </w:rPr>
      </w:pPr>
    </w:p>
    <w:p>
      <w:pPr>
        <w:ind w:left="560" w:hanging="552"/>
        <w:spacing w:after="0"/>
        <w:tabs>
          <w:tab w:leader="none" w:pos="5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Company (the Company) is engaged in the outdoor advertising business, operating approximately 159,300 billboard advertising displays in 45 states and Canada. The Company’s operating strategy is to be the leading provider of outdoor advertising services in the markets it serves.</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addition, the Company operates a logo sign business in 24 states throughout the United States and the province of Ontario, Canada and operates approximately 40,600 transit advertising displays in 23 states and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operates as a Real Estate Investment Trust (“REIT”) for U.S. federal income tax purposes and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Company's direct wholly owned subsidiary Lamar Media Corp. ("Lamar Media") is party to the Amended and Restated Limited Partnership Agreement of Lamar Advertising Limited Partnership (“Lamar LP”) as the initial limited partner, along with its wholly owned subsidiary, Lamar Advertising General Partner, LLC, as the general partner of Lamar LP (the "General Partner") and certain other limited partners. Lamar Media formed Lamar LP and contributed all of its assets to Lamar LP in connection with the Company's reorganization as a specific type of REIT known as an Umbrella Partnership Real Estate Investment Trust ("UPREIT") in July 2022.</w:t>
      </w:r>
    </w:p>
    <w:p>
      <w:pPr>
        <w:spacing w:after="0" w:line="21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each share of common stock the Company issues, Lamar LP issues a corresponding Common Unit to Lamar Media in exchange for the contributions of the proceeds from the stock issuance. At December 31, 2025, Lamar Media, together with the General Partner, owned 98.6% of the Common Units of Lamar LP. The remaining 1.4% of the Common Units are owned by unaffiliated investors and certain executives of the Company.</w:t>
      </w:r>
    </w:p>
    <w:p>
      <w:pPr>
        <w:spacing w:after="0" w:line="199" w:lineRule="exact"/>
        <w:rPr>
          <w:sz w:val="20"/>
          <w:szCs w:val="20"/>
          <w:color w:val="auto"/>
        </w:rPr>
      </w:pPr>
    </w:p>
    <w:p>
      <w:pPr>
        <w:ind w:left="560" w:hanging="552"/>
        <w:spacing w:after="0"/>
        <w:tabs>
          <w:tab w:leader="none" w:pos="56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Lamar Advertising Company, its wholly owned subsidiary, Lamar Media, and its majority-owned subsidiaries. All inter-company transactions and balances have been eliminated in consolidation.</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 operating segment is a component of an enterprise:</w:t>
      </w:r>
    </w:p>
    <w:p>
      <w:pPr>
        <w:spacing w:after="0" w:line="252" w:lineRule="exact"/>
        <w:rPr>
          <w:sz w:val="20"/>
          <w:szCs w:val="20"/>
          <w:color w:val="auto"/>
        </w:rPr>
      </w:pPr>
    </w:p>
    <w:p>
      <w:pPr>
        <w:ind w:left="1140" w:hanging="565"/>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engages in business activities from which it may earn revenues and incur expenses;</w:t>
      </w:r>
    </w:p>
    <w:p>
      <w:pPr>
        <w:spacing w:after="0" w:line="252"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operating results are regularly reviewed by the enterprise’s chief operating decision maker to make decisions about resources to be allocated to the segment and assess its performance; and</w:t>
      </w:r>
    </w:p>
    <w:p>
      <w:pPr>
        <w:spacing w:after="0" w:line="188"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w:t>
      </w:r>
    </w:p>
    <w:p>
      <w:pPr>
        <w:spacing w:after="0" w:line="25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define the term ‘chief operating decision maker’ to be our executive management group, which consists of our Executive Chairman, President and Chief Executive Officer, and Chief Financial Officer. Currently, all operations are reviewed on a consolidated basis for budget and business plan performance by our executive management group. Additionally, operational performance at the end of each reporting period is viewed in the aggregate by our management group. Any decisions related to changes in invested capital, personnel, operational improvement or training, or to allocate other company resources are made based on the combined results.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67"/>
        <w:spacing w:after="0" w:line="305" w:lineRule="auto"/>
        <w:rPr>
          <w:sz w:val="20"/>
          <w:szCs w:val="20"/>
          <w:color w:val="auto"/>
        </w:rPr>
      </w:pPr>
      <w:r>
        <w:rPr>
          <w:rFonts w:ascii="Times New Roman" w:cs="Times New Roman" w:eastAsia="Times New Roman" w:hAnsi="Times New Roman"/>
          <w:sz w:val="18"/>
          <w:szCs w:val="18"/>
          <w:color w:val="auto"/>
        </w:rPr>
        <w:t xml:space="preserve">We manage our business through three operating segments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billboard, logo and transit advertising. We rent advertising space on billboards, buses, shelters, benches, logo plates and in airport terminals.</w:t>
      </w:r>
    </w:p>
    <w:p>
      <w:pPr>
        <w:spacing w:after="0" w:line="162"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plant and equipment are stated at cost. Depreciation is calculated using the straight-line method over the estimated useful lives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30" w:lineRule="exact"/>
        <w:rPr>
          <w:sz w:val="20"/>
          <w:szCs w:val="20"/>
          <w:color w:val="auto"/>
        </w:rPr>
      </w:pPr>
    </w:p>
    <w:p>
      <w:pPr>
        <w:ind w:left="560" w:hanging="552"/>
        <w:spacing w:after="0"/>
        <w:tabs>
          <w:tab w:leader="none" w:pos="56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Goodwill is subject to an annual impairment test. The Company designated December 31 as the date of its annual goodwill impairment test. The Company is required to identify its reporting units and determine the carrying value of each reporting unit. The Company has identified three reporting units, billboard operations, transit operations and logo operations, by assigning the 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book an impairment loss.</w:t>
      </w:r>
    </w:p>
    <w:p>
      <w:pPr>
        <w:spacing w:after="0" w:line="21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conducts a qualitative assessment by examining relevant events and circumstances which could have a negative impact on the Company’s goodwill, which includes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industry and economic conditions deteriorate, the Company may be required to assess goodwill impairment before the next annual test, which could result in impairment charges.</w:t>
      </w:r>
    </w:p>
    <w:p>
      <w:pPr>
        <w:spacing w:after="0" w:line="21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measurement for impairment of the goodwill of its reporting units and concluded the fair value of each reporting unit exceeded its carrying amount at its annual impairment test date on December 31, 2025 and 2024; therefore, the Company was not required to recognize an impairment loss.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Intangible assets, consisting primarily of site locations (acquired permits and leasehold agreements), customer lists and contracts, and non-competition agreements are amortized using the straight-line method over the assets' estimated useful lives, generally from 2 to 15 years.</w:t>
      </w:r>
    </w:p>
    <w:p>
      <w:pPr>
        <w:spacing w:after="0" w:line="185"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plant and equipment, lease right of use assets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ind w:left="560" w:hanging="552"/>
        <w:spacing w:after="0"/>
        <w:tabs>
          <w:tab w:leader="none" w:pos="5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 accounts for transactions that meet the definition of a business and group asset purchases as 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proportionally allocates the purchase price to the assets based on relative fair value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203" w:lineRule="exact"/>
        <w:rPr>
          <w:sz w:val="20"/>
          <w:szCs w:val="20"/>
          <w:color w:val="auto"/>
        </w:rPr>
      </w:pPr>
    </w:p>
    <w:p>
      <w:pPr>
        <w:ind w:left="560" w:hanging="552"/>
        <w:spacing w:after="0"/>
        <w:tabs>
          <w:tab w:leader="none" w:pos="56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 Liabilities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Leases,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216"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20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210" w:lineRule="exact"/>
        <w:rPr>
          <w:sz w:val="20"/>
          <w:szCs w:val="20"/>
          <w:color w:val="auto"/>
        </w:rPr>
      </w:pPr>
    </w:p>
    <w:p>
      <w:pPr>
        <w:ind w:left="560" w:hanging="552"/>
        <w:spacing w:after="0"/>
        <w:tabs>
          <w:tab w:leader="none" w:pos="56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Income</w:t>
      </w:r>
    </w:p>
    <w:p>
      <w:pPr>
        <w:spacing w:after="0" w:line="256"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Deferred income consists principally of advertising revenue invoiced in advance. Deferred advertising revenue is recognized in income over the term of the contract.</w:t>
      </w:r>
    </w:p>
    <w:p>
      <w:pPr>
        <w:spacing w:after="0" w:line="185" w:lineRule="exact"/>
        <w:rPr>
          <w:sz w:val="20"/>
          <w:szCs w:val="20"/>
          <w:color w:val="auto"/>
        </w:rPr>
      </w:pPr>
    </w:p>
    <w:p>
      <w:pPr>
        <w:ind w:left="560" w:hanging="552"/>
        <w:spacing w:after="0"/>
        <w:tabs>
          <w:tab w:leader="none" w:pos="56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recognizes outdoor advertising revenue on an accrual basis ratably over the term of the contracts. Production revenue and the related expense for the advertising copy are recognized upon satisfaction of its performance obligation.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9,733</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5,414</w:t>
            </w:r>
          </w:p>
        </w:tc>
        <w:tc>
          <w:tcPr>
            <w:tcW w:w="100" w:type="dxa"/>
            <w:vAlign w:val="bottom"/>
          </w:tcPr>
          <w:p>
            <w:pPr>
              <w:spacing w:after="0"/>
              <w:rPr>
                <w:sz w:val="23"/>
                <w:szCs w:val="23"/>
                <w:color w:val="auto"/>
              </w:rPr>
            </w:pP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4,359</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r>
    </w:tbl>
    <w:p>
      <w:pPr>
        <w:spacing w:after="0" w:line="315" w:lineRule="exact"/>
        <w:rPr>
          <w:sz w:val="20"/>
          <w:szCs w:val="20"/>
          <w:color w:val="auto"/>
        </w:rPr>
      </w:pPr>
    </w:p>
    <w:p>
      <w:pPr>
        <w:ind w:left="560" w:hanging="552"/>
        <w:spacing w:after="0"/>
        <w:tabs>
          <w:tab w:leader="none" w:pos="56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 assets are held or where those operations are conducted, including those designated as Qualified REIT Subsidiaries, or QRSs, for federal income tax purposes.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211" w:lineRule="exact"/>
        <w:rPr>
          <w:sz w:val="20"/>
          <w:szCs w:val="20"/>
          <w:color w:val="auto"/>
        </w:rPr>
      </w:pPr>
    </w:p>
    <w:p>
      <w:pPr>
        <w:ind w:left="560" w:hanging="552"/>
        <w:spacing w:after="0"/>
        <w:tabs>
          <w:tab w:leader="none" w:pos="5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Dividends/Distributions</w:t>
      </w:r>
    </w:p>
    <w:p>
      <w:pPr>
        <w:spacing w:after="0" w:line="256"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During the years ended December 31, 2025, 2024 and 2023, the Company declared and paid distributions of its REIT taxable income of $655,856 or $6.45 per share, $578,849 or $5.65 per share and $510,251 or $5.00 per share, respectively.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its existing and future debt instruments, the Company’s ability to utilize net operating losses (“NOLs”)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During each of the years ended December 31, 2025, 2024 and 2023, the Company paid dividend distributions to holders of its Series AA Preferred Stock of $365 or $63.80 per share.</w:t>
      </w:r>
    </w:p>
    <w:p>
      <w:pPr>
        <w:spacing w:after="0" w:line="217" w:lineRule="exact"/>
        <w:rPr>
          <w:sz w:val="20"/>
          <w:szCs w:val="20"/>
          <w:color w:val="auto"/>
        </w:rPr>
      </w:pPr>
    </w:p>
    <w:p>
      <w:pPr>
        <w:ind w:left="560" w:hanging="552"/>
        <w:spacing w:after="0"/>
        <w:tabs>
          <w:tab w:leader="none" w:pos="5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No effect is shown for securities that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ind w:left="560" w:hanging="552"/>
        <w:spacing w:after="0"/>
        <w:tabs>
          <w:tab w:leader="none" w:pos="56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Compensation expense for share-based awards is recognized based on the grant date fair value of those awards. Stock based compensation expense includes an estimate for pre-vesting forfeitures and is recognized over the requisite service periods of the awards on a straight-line basis, which is generally commensurate with the vesting term. Non-cash compensation expense recognized during the years ended December 31, 2025, 2024, and 2023 was $33,959, $44,525 and $22,649, respectively. The $33,959 expensed during the year ended December 31, 2025 consists of (i) $5,940 related to stock options and the employee stock purchase plan, (ii) $17,444 related to stock grants made under the Company’s performance-based stock incentive program in 2025,</w:t>
      </w:r>
    </w:p>
    <w:p>
      <w:pPr>
        <w:spacing w:after="0" w:line="3" w:lineRule="exact"/>
        <w:rPr>
          <w:sz w:val="20"/>
          <w:szCs w:val="20"/>
          <w:color w:val="auto"/>
        </w:rPr>
      </w:pPr>
    </w:p>
    <w:p>
      <w:pPr>
        <w:ind w:right="20" w:firstLine="8"/>
        <w:spacing w:after="0" w:line="260" w:lineRule="auto"/>
        <w:tabs>
          <w:tab w:leader="none" w:pos="3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$9,830 related to LTIP Units issued to the Company's executive officers, and (iv) $745 related to restricted stock awards to directors. See Note 15 for information on the assumptions used to calculate the fair value of stock-based compensation.</w:t>
      </w:r>
    </w:p>
    <w:p>
      <w:pPr>
        <w:spacing w:after="0" w:line="204" w:lineRule="exact"/>
        <w:rPr>
          <w:sz w:val="20"/>
          <w:szCs w:val="20"/>
          <w:color w:val="auto"/>
        </w:rPr>
      </w:pPr>
    </w:p>
    <w:p>
      <w:pPr>
        <w:ind w:left="560" w:hanging="552"/>
        <w:spacing w:after="0"/>
        <w:tabs>
          <w:tab w:leader="none" w:pos="56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considers all highly-liquid investments with original maturities of three months or less to be cash equivalents.</w:t>
      </w:r>
    </w:p>
    <w:p>
      <w:pPr>
        <w:spacing w:after="0" w:line="248" w:lineRule="exact"/>
        <w:rPr>
          <w:rFonts w:ascii="Times New Roman" w:cs="Times New Roman" w:eastAsia="Times New Roman" w:hAnsi="Times New Roman"/>
          <w:sz w:val="18"/>
          <w:szCs w:val="18"/>
          <w:b w:val="1"/>
          <w:bCs w:val="1"/>
          <w:i w:val="1"/>
          <w:iCs w:val="1"/>
          <w:color w:val="auto"/>
        </w:rPr>
      </w:pPr>
    </w:p>
    <w:p>
      <w:pPr>
        <w:ind w:left="560" w:hanging="552"/>
        <w:spacing w:after="0"/>
        <w:tabs>
          <w:tab w:leader="none" w:pos="56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Losses</w:t>
      </w:r>
    </w:p>
    <w:p>
      <w:pPr>
        <w:spacing w:after="0" w:line="256"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Company estimates credit losses on financial instruments based on amounts expected to be collected. The allowance for doubtful accounts is estimated based on historical collections, accounts receivable aging, economic indicators, and expected future trends.</w:t>
      </w:r>
    </w:p>
    <w:p>
      <w:pPr>
        <w:spacing w:after="0" w:line="185" w:lineRule="exact"/>
        <w:rPr>
          <w:sz w:val="20"/>
          <w:szCs w:val="20"/>
          <w:color w:val="auto"/>
        </w:rPr>
      </w:pPr>
    </w:p>
    <w:p>
      <w:pPr>
        <w:ind w:left="560" w:hanging="552"/>
        <w:spacing w:after="0"/>
        <w:tabs>
          <w:tab w:leader="none" w:pos="56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Local currencies generally are considered the functional currencies outside the United States. Assets and liabilities for operations in local-currency environments are translated at year-end exchange rates. Income and expense items are translated at average rates of exchange prevailing during the year. Foreign currency translation adjustments are recorded as a component of other comprehensive income (loss) in the Consolidated Statements of Income and Comprehensive Income and as a component of accumulated comprehensive income (loss) in the Consolidated Statements of Stockholders’ Equity.</w:t>
      </w:r>
    </w:p>
    <w:p>
      <w:pPr>
        <w:spacing w:after="0" w:line="203" w:lineRule="exact"/>
        <w:rPr>
          <w:sz w:val="20"/>
          <w:szCs w:val="20"/>
          <w:color w:val="auto"/>
        </w:rPr>
      </w:pPr>
    </w:p>
    <w:p>
      <w:pPr>
        <w:ind w:left="560" w:hanging="552"/>
        <w:spacing w:after="0"/>
        <w:tabs>
          <w:tab w:leader="none" w:pos="56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required to record the fair value of obligations associated with the retirement of tangible long-lived assets in the period in which it is incurred. The liability is capitalized as part of the related long-lived asset’s carrying amount. Adjustments are made to the asset retirement obligation liability to reflect changes in the estimates of the retirement period and amount of expected cash flows, with an offsetting adjustment made to the related long-lived tangible asset. The significant assumptions used in estimating the Company's asset retirement obligations include the retirement period, cost of asset dismantlement, credit-adjusted risk-free interest rates, inflation and market risk.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leased properties.</w:t>
      </w:r>
    </w:p>
    <w:p>
      <w:pPr>
        <w:spacing w:after="0" w:line="212" w:lineRule="exact"/>
        <w:rPr>
          <w:sz w:val="20"/>
          <w:szCs w:val="20"/>
          <w:color w:val="auto"/>
        </w:rPr>
      </w:pPr>
    </w:p>
    <w:p>
      <w:pPr>
        <w:ind w:left="560" w:hanging="552"/>
        <w:spacing w:after="0"/>
        <w:tabs>
          <w:tab w:leader="none" w:pos="56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ind w:left="560" w:hanging="552"/>
        <w:spacing w:after="0"/>
        <w:tabs>
          <w:tab w:leader="none" w:pos="56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Comprehensive Income</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Total comprehensive income is presented in the Consolidated Statements of Income and Comprehensive Income and the components of accumulated comprehensive income (loss) are presented in the Consolidated Statements of Stockholders’ Equity. Comprehensive income is composed of foreign currency translation effects.</w:t>
      </w:r>
    </w:p>
    <w:p>
      <w:pPr>
        <w:spacing w:after="0" w:line="199" w:lineRule="exact"/>
        <w:rPr>
          <w:sz w:val="20"/>
          <w:szCs w:val="20"/>
          <w:color w:val="auto"/>
        </w:rPr>
      </w:pPr>
    </w:p>
    <w:p>
      <w:pPr>
        <w:ind w:left="560" w:hanging="552"/>
        <w:spacing w:after="0"/>
        <w:tabs>
          <w:tab w:leader="none" w:pos="56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56"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185" w:lineRule="exact"/>
        <w:rPr>
          <w:sz w:val="20"/>
          <w:szCs w:val="20"/>
          <w:color w:val="auto"/>
        </w:rPr>
      </w:pPr>
    </w:p>
    <w:p>
      <w:pPr>
        <w:ind w:left="560" w:hanging="552"/>
        <w:spacing w:after="0"/>
        <w:tabs>
          <w:tab w:leader="none" w:pos="56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Inc. ("Vistar"), a leading global provider of programmatic technology for the digital out-of-home sector. On February 3, 2025, T-Mobile USA, Inc. acquired 100% of Vistar (the "Sale"). In connection with the closing of the Sale, the Company received $115,881 in cash consideration for the sale of its 20% equity interest in Vistar. Up to an additional $14,317 of consideration for the Sale may be received by the Company in the future, upon release of the remaining purchase price for the Sale from escrow in connection with satisfaction of certain post-closing conditions. During the year ended December 31, 2025, the Company recognized a gain of $68,602 related to the transaction. An income tax expense of $13,381 was recorded during 2025 as a result of the Sale, of which $21,172 was related to current income tax expense offset by a deferred tax benefit of $7,791. For the years ended December 31, 2025, 2024 and 2023, related to this investment, the Company recorded $206, $5,298 and $4,107, respectively, in equity in earnings of investee on the Consolidated Statements of Income and Comprehensive Income.</w:t>
      </w:r>
    </w:p>
    <w:p>
      <w:pPr>
        <w:spacing w:after="0" w:line="211" w:lineRule="exact"/>
        <w:rPr>
          <w:sz w:val="20"/>
          <w:szCs w:val="20"/>
          <w:color w:val="auto"/>
        </w:rPr>
      </w:pPr>
    </w:p>
    <w:p>
      <w:pPr>
        <w:ind w:left="580" w:hanging="572"/>
        <w:spacing w:after="0"/>
        <w:tabs>
          <w:tab w:leader="none" w:pos="58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Non-controlling interest represent the share of consolidated entities owned by third parties. We recognize each non-controlling holder’s respective share of the estimated fair value of the net assets at the date of formation or acquisition. Non-controlling interests are subsequently adjusted for the non-controlling holder’s share of additional contributions, distributions and their share of the net income or losses of each respective consolidated entity. We allocate net income to non-controlling interests based on the weighted average ownership interest during the period. The net income that is not attributable to us is reflected in Net Income Attributable to Noncontrolling Interest on the consolidated statements of income and comprehensive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do not recognize a gain or loss on ownership transactions with a consolidated entity that do not result in a change in control and recognize the difference between the carrying amount of the non-controlling interest and the consideration paid or received as additional paid-in-capital.</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limited partnership interests, including OP units, are exchangeable into cash or sales of our Class A common stock, at our option. Common stock issued upon exchange of a holder’s non-controlling interest is accounted for at the carrying value of the surrendered limited partnership interest and the difference between the carrying value and the fair value of the common stock issued is recorded to additional paid-in-capital.</w:t>
      </w:r>
    </w:p>
    <w:p>
      <w:pPr>
        <w:spacing w:after="0" w:line="199" w:lineRule="exact"/>
        <w:rPr>
          <w:sz w:val="20"/>
          <w:szCs w:val="20"/>
          <w:color w:val="auto"/>
        </w:rPr>
      </w:pPr>
    </w:p>
    <w:p>
      <w:pPr>
        <w:ind w:left="580" w:hanging="572"/>
        <w:spacing w:after="0"/>
        <w:tabs>
          <w:tab w:leader="none" w:pos="58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rFonts w:ascii="Times New Roman" w:cs="Times New Roman" w:eastAsia="Times New Roman" w:hAnsi="Times New Roman"/>
          <w:sz w:val="18"/>
          <w:szCs w:val="18"/>
          <w:b w:val="1"/>
          <w:bCs w:val="1"/>
          <w:i w:val="1"/>
          <w:iCs w:val="1"/>
          <w:color w:val="auto"/>
        </w:rPr>
      </w:pPr>
    </w:p>
    <w:p>
      <w:pPr>
        <w:ind w:left="5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has performed an evaluation of subsequent events through the date on which the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5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that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accounted for under ASC 606, R</w:t>
      </w:r>
      <w:r>
        <w:rPr>
          <w:rFonts w:ascii="Times New Roman" w:cs="Times New Roman" w:eastAsia="Times New Roman" w:hAnsi="Times New Roman"/>
          <w:sz w:val="18"/>
          <w:szCs w:val="18"/>
          <w:i w:val="1"/>
          <w:iCs w:val="1"/>
          <w:color w:val="auto"/>
        </w:rPr>
        <w:t>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Consolidated Statements of Income and Comprehensive Income. During the years ended December 31, 2025 and 2024, we capitalized $27,310 and $28,003, respectively, of costs to fulfill contracts, which is included in other current assets on the Consolidated Balance Sheets, net of expensed costs of $27,144 and $27,686, respectively.</w:t>
      </w:r>
    </w:p>
    <w:p>
      <w:pPr>
        <w:spacing w:after="0" w:line="21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years ended December 31, 2025, 2024 and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2,013,850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1,956,176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1,877,823</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82,324</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150,840</w:t>
            </w:r>
          </w:p>
        </w:tc>
      </w:tr>
      <w:tr>
        <w:trPr>
          <w:trHeight w:val="26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tab/>
        <w:t>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2025</w:t>
      </w:r>
    </w:p>
    <w:p>
      <w:pPr>
        <w:spacing w:after="0" w:line="25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completed over 50 acquisitions of outdoor advertising assets for a total cash purchase price of $191,079. 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relative fair value estimates at the dates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6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89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89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5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8"/>
        </w:trPr>
        <w:tc>
          <w:tcPr>
            <w:tcW w:w="896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data)</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756"/>
        </w:trPr>
        <w:tc>
          <w:tcPr>
            <w:tcW w:w="8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63"/>
        </w:trPr>
        <w:tc>
          <w:tcPr>
            <w:tcW w:w="8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89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44"/>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42,548</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126,200</w:t>
            </w:r>
          </w:p>
        </w:tc>
      </w:tr>
      <w:tr>
        <w:trPr>
          <w:trHeight w:val="27"/>
        </w:trPr>
        <w:tc>
          <w:tcPr>
            <w:tcW w:w="8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17,528</w:t>
            </w:r>
          </w:p>
        </w:tc>
      </w:tr>
      <w:tr>
        <w:trPr>
          <w:trHeight w:val="27"/>
        </w:trPr>
        <w:tc>
          <w:tcPr>
            <w:tcW w:w="8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8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36,853</w:t>
            </w:r>
          </w:p>
        </w:tc>
      </w:tr>
      <w:tr>
        <w:trPr>
          <w:trHeight w:val="27"/>
        </w:trPr>
        <w:tc>
          <w:tcPr>
            <w:tcW w:w="8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w:t>
            </w: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9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89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191,079</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Verde Outdoor Acquisition. </w:t>
      </w:r>
      <w:r>
        <w:rPr>
          <w:rFonts w:ascii="Times New Roman" w:cs="Times New Roman" w:eastAsia="Times New Roman" w:hAnsi="Times New Roman"/>
          <w:sz w:val="18"/>
          <w:szCs w:val="18"/>
          <w:color w:val="auto"/>
        </w:rPr>
        <w:t>On July 2, 2025, Lamar LP, the subsidiary operating partnership of the Company and Lamar Media, acquired Verde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 at a value of $147,642 through the issuance of 1,187,500 Common Units of Lamar LP. The acquisition value is based on the Company's common stock price on July 2, 2025. Pursuant to the terms of the Limited Partnership Agreement of Lamar LP, the Common Units are redeemable by the holder after a holding period, which is generally twelve months, for a cash amount per Common Unit equal to the market value of an equivalent number of shares of common stock of the Company. At the Company’s option, in lieu of cash, the redemption obligation may be satisfied by issuing shares of Class A common stock of the Company in exchange for Common Units tendered for redemption. The acquisition of Verde Outdoor includes more than 1,500 billboard faces across ten states.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of the Verde Outdoor transaction.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90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76,066</w:t>
            </w:r>
          </w:p>
        </w:tc>
      </w:tr>
      <w:tr>
        <w:trPr>
          <w:trHeight w:val="27"/>
        </w:trPr>
        <w:tc>
          <w:tcPr>
            <w:tcW w:w="9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32,270</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9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w:t>
            </w:r>
          </w:p>
        </w:tc>
      </w:tr>
      <w:tr>
        <w:trPr>
          <w:trHeight w:val="27"/>
        </w:trPr>
        <w:tc>
          <w:tcPr>
            <w:tcW w:w="9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r>
      <w:tr>
        <w:trPr>
          <w:trHeight w:val="237"/>
        </w:trPr>
        <w:tc>
          <w:tcPr>
            <w:tcW w:w="906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147,642</w:t>
            </w:r>
          </w:p>
        </w:tc>
      </w:tr>
      <w:tr>
        <w:trPr>
          <w:trHeight w:val="27"/>
        </w:trPr>
        <w:tc>
          <w:tcPr>
            <w:tcW w:w="90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9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acquired intangible assets for the year ended December 31, 2025 were $268,804, of which $76,066 was assigned to goodwill. Goodwill is not amortized for financial statement purposes and no goodwill related to the 2025 acquisitions is expected to be deductible for tax purposes. The acquired intangible assets have a weighted average useful life of approximately 14 years. The intangible assets include customer lists and contracts of $31,828 (7 year weighted average useful life) and site locations of $158,470 (15 year weighted average useful life). The aggregate amortization expense related to the 2025 acquisitions for the year ended December 31, 2025 was $7,981.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2024</w:t>
      </w:r>
    </w:p>
    <w:p>
      <w:pPr>
        <w:spacing w:after="0" w:line="25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completed over 20 acquisitions of outdoor advertising assets for a total purchase price of $45,393.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relative fair value estimates at the dates of acquisition.</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9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28,346</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37"/>
        </w:trPr>
        <w:tc>
          <w:tcPr>
            <w:tcW w:w="99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45,393</w:t>
            </w:r>
          </w:p>
        </w:tc>
      </w:tr>
      <w:tr>
        <w:trPr>
          <w:trHeight w:val="27"/>
        </w:trPr>
        <w:tc>
          <w:tcPr>
            <w:tcW w:w="9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9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acquired intangible assets for the year ended December 31, 2024 were $30,210. The acquired intangible assets have a weighted average useful life of approximately 14 years. The intangible assets include customer lists and contracts of $1,302 (7 year weighted average useful life) and site locations of $28,346 (15 year weighted average useful life). The aggregate amortization expense related to the 2024 acquisitions for the year ended December 31, 2024 was $1,214.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Non-cash Financing and Investing Activities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Company had non-cash investing activities related to the acquisition of Verde Outdoor of $147,642. For the year ended December 31, 2024, the Company had non-cash investing activities that resulted in an increase to the asset retirement obligation balance and carrying value of the related property, plant and equipment in the amount of $215,899, related to the revision in estimate of the Company’s asset retirement obligation. For the years ended December 31, 2025, 2024 and 2023, there were non-cash investing and financing activities for the recognition of ROU assets and lease liabilities at lease commencement as disclosed in Note 7, “Leases”.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Major categories of property, plant and equipment at December 31, 2025 and 2024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7140" w:type="dxa"/>
            <w:vAlign w:val="bottom"/>
          </w:tcPr>
          <w:p>
            <w:pPr>
              <w:spacing w:after="0"/>
              <w:rPr>
                <w:sz w:val="17"/>
                <w:szCs w:val="17"/>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00" w:type="dxa"/>
            <w:vAlign w:val="bottom"/>
          </w:tcPr>
          <w:p>
            <w:pPr>
              <w:spacing w:after="0"/>
              <w:rPr>
                <w:sz w:val="17"/>
                <w:szCs w:val="17"/>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14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490,367</w:t>
            </w:r>
          </w:p>
        </w:tc>
      </w:tr>
      <w:tr>
        <w:trPr>
          <w:trHeight w:val="27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247,231</w:t>
            </w: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structures</w:t>
            </w:r>
          </w:p>
        </w:tc>
        <w:tc>
          <w:tcPr>
            <w:tcW w:w="140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5 — 15</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3,802,718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3,679,719</w:t>
            </w: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and other equipment</w:t>
            </w: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157,577</w:t>
            </w:r>
          </w:p>
        </w:tc>
      </w:tr>
      <w:tr>
        <w:trPr>
          <w:trHeight w:val="289"/>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4,766,872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4,574,894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3"/>
        </w:trPr>
        <w:tc>
          <w:tcPr>
            <w:tcW w:w="4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 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732,098</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 — 15</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3,141,624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 15</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4,032,337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2,918,508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3,839,323</w:t>
            </w:r>
          </w:p>
        </w:tc>
        <w:tc>
          <w:tcPr>
            <w:tcW w:w="10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2,288,618</w:t>
            </w: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1"/>
        </w:trPr>
        <w:tc>
          <w:tcPr>
            <w:tcW w:w="9880" w:type="dxa"/>
            <w:vAlign w:val="bottom"/>
            <w:gridSpan w:val="1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The changes in the gross carrying amount of goodwill for the years ended December 31, 2025 and 2024 are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2,364,793</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2025, 2024 and 2023 was $144,364, $141,892 and $140,033, respectively. The following is a summary of the estimated amortization expense for future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142,954</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138,962</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132,421</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123,883</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114,801</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460,808</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1,113,829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20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21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we had base operating lease costs of $333,436 and variable operating lease costs of $67,581, for a total operating lease cost of $401,017. During the year ended December 31, 2024, we had base operating lease costs of $319,058 and variable operating lease costs of $64,682, for a total operating lease cost of $383,740. During the year ended December 31, 2023, we had base operating lease costs of $311,640 and variable operating lease costs of $60,147, for a total operating lease cost of $371,787. Our operating lease costs are recorded in direct advertising expenses (exclusive of depreciation and amortization). Also, for the years ended December 31, 2025, 2024 and 2023, we recorded a gain of $456, $403 and $295, respectively, in gain on disposition of assets related to the amendment and termination of lease agreements. Cash payments of $324,787, $320,053 and $310,863 were made reducing our operating lease liabilities for the years ended December 31, 2025, 2024 and 2023, respectively, and are included in cash flows provided by operating activities in the Consolidated Statements of Cash Flows.</w:t>
      </w:r>
    </w:p>
    <w:p>
      <w:pPr>
        <w:spacing w:after="0" w:line="2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or lease liabilities for agreements with a term of twelve months or less. We recorded $10,438, $10,439 and $10,189 in direct advertising expenses (exclusive of depreciation and amortization) for these agreements during the years ended December 31, 2025, 2024 and 2023, respectively.</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12.8 years. The weighted-average discount rate of our operating leases is 5.3%. During the years ended December 31, 2025 and 2024, we obtained $79,350 and $24,627, respectively, of leased assets in exchange for new operating lease liabilities, which includes liabilities obtained through acquisitions. Lease terminations during the year resulted in a $7,454 and $5,068 reduction to operating lease liabilities for the years ended December 31, 2025 and 2024,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December 31, 2025:</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9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269,140</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219,040</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191,341</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168,266</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141,395</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1,068,457</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2,057,639</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(571,102)</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1,486,537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and 2024, we obtained no new leased assets in exchange for new financing lease liabilities. Our financing leases have a weighted-average remaining lease term of 1.92 years and a weighted-average discount rate of 3.1%. For the years ended December 31, 2025, 2024 and 2023, amortization expense of $2,853 was recorded within depreciation and amortization and interest expense of $423, $463 and $504 was recorded within interest expense, respectively, on the Consolidated Statements of Income and Comprehensive Income in relation to these financing lease liabilities. Cash payments of $1,331 were made reducing our financing lease liabilities for the years ended December 31, 2025, 2024 and 2023 and are included in cash flows used in financing activities in the Consolidated Statements of Cash Flows.</w:t>
      </w:r>
    </w:p>
    <w:p>
      <w:pPr>
        <w:spacing w:after="0" w:line="21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years ended December 31, 2025, 2024 and 2023, non-lease variable transit payments were $100,276, $97,099 and $87,688, respectively. These transit expenses are recorded in direct advertising expenses (exclusive of depreciation and amortization) on the Consolidated Statements of Income and Comprehensive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accrued expenses at December 31, 2025 and 2024:</w:t>
      </w:r>
    </w:p>
    <w:p>
      <w:pPr>
        <w:spacing w:after="0" w:line="300"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Payroll</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Insurance benefits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variable lease and contract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2025 and 2024:</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960"/>
        <w:spacing w:after="0"/>
        <w:tabs>
          <w:tab w:leader="none" w:pos="1680" w:val="left"/>
          <w:tab w:leader="none" w:pos="2380" w:val="left"/>
          <w:tab w:leader="none" w:pos="3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24,326</w:t>
        <w:tab/>
        <w:t>$</w:t>
      </w:r>
      <w:r>
        <w:rPr>
          <w:sz w:val="20"/>
          <w:szCs w:val="20"/>
          <w:color w:val="auto"/>
        </w:rPr>
        <w:tab/>
      </w:r>
      <w:r>
        <w:rPr>
          <w:rFonts w:ascii="Times New Roman" w:cs="Times New Roman" w:eastAsia="Times New Roman" w:hAnsi="Times New Roman"/>
          <w:sz w:val="17"/>
          <w:szCs w:val="17"/>
          <w:color w:val="auto"/>
        </w:rPr>
        <w:t>27,871</w:t>
      </w:r>
    </w:p>
    <w:p>
      <w:pPr>
        <w:spacing w:after="0" w:line="63" w:lineRule="exact"/>
        <w:rPr>
          <w:sz w:val="20"/>
          <w:szCs w:val="20"/>
          <w:color w:val="auto"/>
        </w:rPr>
      </w:pPr>
    </w:p>
    <w:p>
      <w:pPr>
        <w:ind w:left="1700"/>
        <w:spacing w:after="0"/>
        <w:tabs>
          <w:tab w:leader="none" w:pos="3120" w:val="left"/>
        </w:tabs>
        <w:rPr>
          <w:sz w:val="20"/>
          <w:szCs w:val="20"/>
          <w:color w:val="auto"/>
        </w:rPr>
      </w:pPr>
      <w:r>
        <w:rPr>
          <w:rFonts w:ascii="Times New Roman" w:cs="Times New Roman" w:eastAsia="Times New Roman" w:hAnsi="Times New Roman"/>
          <w:sz w:val="17"/>
          <w:szCs w:val="17"/>
          <w:color w:val="auto"/>
        </w:rPr>
        <w:t>28,704</w:t>
      </w:r>
      <w:r>
        <w:rPr>
          <w:sz w:val="20"/>
          <w:szCs w:val="20"/>
          <w:color w:val="auto"/>
        </w:rPr>
        <w:tab/>
      </w:r>
      <w:r>
        <w:rPr>
          <w:rFonts w:ascii="Times New Roman" w:cs="Times New Roman" w:eastAsia="Times New Roman" w:hAnsi="Times New Roman"/>
          <w:sz w:val="17"/>
          <w:szCs w:val="17"/>
          <w:color w:val="auto"/>
        </w:rPr>
        <w:t>22,837</w:t>
      </w:r>
    </w:p>
    <w:p>
      <w:pPr>
        <w:spacing w:after="0" w:line="75" w:lineRule="exact"/>
        <w:rPr>
          <w:sz w:val="20"/>
          <w:szCs w:val="20"/>
          <w:color w:val="auto"/>
        </w:rPr>
      </w:pPr>
    </w:p>
    <w:p>
      <w:pPr>
        <w:ind w:left="1700"/>
        <w:spacing w:after="0"/>
        <w:tabs>
          <w:tab w:leader="none" w:pos="3120" w:val="left"/>
        </w:tabs>
        <w:rPr>
          <w:sz w:val="20"/>
          <w:szCs w:val="20"/>
          <w:color w:val="auto"/>
        </w:rPr>
      </w:pPr>
      <w:r>
        <w:rPr>
          <w:rFonts w:ascii="Times New Roman" w:cs="Times New Roman" w:eastAsia="Times New Roman" w:hAnsi="Times New Roman"/>
          <w:sz w:val="17"/>
          <w:szCs w:val="17"/>
          <w:color w:val="auto"/>
        </w:rPr>
        <w:t>12,063</w:t>
      </w:r>
      <w:r>
        <w:rPr>
          <w:sz w:val="20"/>
          <w:szCs w:val="20"/>
          <w:color w:val="auto"/>
        </w:rPr>
        <w:tab/>
      </w:r>
      <w:r>
        <w:rPr>
          <w:rFonts w:ascii="Times New Roman" w:cs="Times New Roman" w:eastAsia="Times New Roman" w:hAnsi="Times New Roman"/>
          <w:sz w:val="17"/>
          <w:szCs w:val="17"/>
          <w:color w:val="auto"/>
        </w:rPr>
        <w:t>10,972</w:t>
      </w:r>
    </w:p>
    <w:p>
      <w:pPr>
        <w:spacing w:after="0" w:line="75" w:lineRule="exact"/>
        <w:rPr>
          <w:sz w:val="20"/>
          <w:szCs w:val="20"/>
          <w:color w:val="auto"/>
        </w:rPr>
      </w:pPr>
    </w:p>
    <w:p>
      <w:pPr>
        <w:ind w:left="1700"/>
        <w:spacing w:after="0"/>
        <w:tabs>
          <w:tab w:leader="none" w:pos="3120" w:val="left"/>
        </w:tabs>
        <w:rPr>
          <w:sz w:val="20"/>
          <w:szCs w:val="20"/>
          <w:color w:val="auto"/>
        </w:rPr>
      </w:pPr>
      <w:r>
        <w:rPr>
          <w:rFonts w:ascii="Times New Roman" w:cs="Times New Roman" w:eastAsia="Times New Roman" w:hAnsi="Times New Roman"/>
          <w:sz w:val="17"/>
          <w:szCs w:val="17"/>
          <w:color w:val="auto"/>
        </w:rPr>
        <w:t>32,898</w:t>
      </w:r>
      <w:r>
        <w:rPr>
          <w:sz w:val="20"/>
          <w:szCs w:val="20"/>
          <w:color w:val="auto"/>
        </w:rPr>
        <w:tab/>
      </w:r>
      <w:r>
        <w:rPr>
          <w:rFonts w:ascii="Times New Roman" w:cs="Times New Roman" w:eastAsia="Times New Roman" w:hAnsi="Times New Roman"/>
          <w:sz w:val="17"/>
          <w:szCs w:val="17"/>
          <w:color w:val="auto"/>
        </w:rPr>
        <w:t>34,416</w:t>
      </w:r>
    </w:p>
    <w:p>
      <w:pPr>
        <w:spacing w:after="0" w:line="75" w:lineRule="exact"/>
        <w:rPr>
          <w:sz w:val="20"/>
          <w:szCs w:val="20"/>
          <w:color w:val="auto"/>
        </w:rPr>
      </w:pPr>
    </w:p>
    <w:p>
      <w:pPr>
        <w:ind w:left="1700"/>
        <w:spacing w:after="0"/>
        <w:tabs>
          <w:tab w:leader="none" w:pos="3120" w:val="left"/>
        </w:tabs>
        <w:rPr>
          <w:sz w:val="20"/>
          <w:szCs w:val="20"/>
          <w:color w:val="auto"/>
        </w:rPr>
      </w:pPr>
      <w:r>
        <w:rPr>
          <w:rFonts w:ascii="Times New Roman" w:cs="Times New Roman" w:eastAsia="Times New Roman" w:hAnsi="Times New Roman"/>
          <w:sz w:val="17"/>
          <w:szCs w:val="17"/>
          <w:color w:val="auto"/>
        </w:rPr>
        <w:t>11,691</w:t>
      </w:r>
      <w:r>
        <w:rPr>
          <w:sz w:val="20"/>
          <w:szCs w:val="20"/>
          <w:color w:val="auto"/>
        </w:rPr>
        <w:tab/>
      </w:r>
      <w:r>
        <w:rPr>
          <w:rFonts w:ascii="Times New Roman" w:cs="Times New Roman" w:eastAsia="Times New Roman" w:hAnsi="Times New Roman"/>
          <w:sz w:val="17"/>
          <w:szCs w:val="17"/>
          <w:color w:val="auto"/>
        </w:rPr>
        <w:t>16,404</w:t>
      </w:r>
    </w:p>
    <w:p>
      <w:pPr>
        <w:spacing w:after="0" w:line="75" w:lineRule="exact"/>
        <w:rPr>
          <w:sz w:val="20"/>
          <w:szCs w:val="20"/>
          <w:color w:val="auto"/>
        </w:rPr>
      </w:pPr>
    </w:p>
    <w:p>
      <w:pPr>
        <w:ind w:left="1700"/>
        <w:spacing w:after="0"/>
        <w:tabs>
          <w:tab w:leader="none" w:pos="3120" w:val="left"/>
        </w:tabs>
        <w:rPr>
          <w:sz w:val="20"/>
          <w:szCs w:val="20"/>
          <w:color w:val="auto"/>
        </w:rPr>
      </w:pPr>
      <w:r>
        <w:rPr>
          <w:rFonts w:ascii="Times New Roman" w:cs="Times New Roman" w:eastAsia="Times New Roman" w:hAnsi="Times New Roman"/>
          <w:sz w:val="17"/>
          <w:szCs w:val="17"/>
          <w:color w:val="auto"/>
        </w:rPr>
        <w:t>28,993</w:t>
      </w:r>
      <w:r>
        <w:rPr>
          <w:sz w:val="20"/>
          <w:szCs w:val="20"/>
          <w:color w:val="auto"/>
        </w:rPr>
        <w:tab/>
      </w:r>
      <w:r>
        <w:rPr>
          <w:rFonts w:ascii="Times New Roman" w:cs="Times New Roman" w:eastAsia="Times New Roman" w:hAnsi="Times New Roman"/>
          <w:sz w:val="17"/>
          <w:szCs w:val="17"/>
          <w:color w:val="auto"/>
        </w:rPr>
        <w:t>21,443</w:t>
      </w:r>
    </w:p>
    <w:p>
      <w:pPr>
        <w:spacing w:after="0" w:line="88" w:lineRule="exact"/>
        <w:rPr>
          <w:sz w:val="20"/>
          <w:szCs w:val="20"/>
          <w:color w:val="auto"/>
        </w:rPr>
      </w:pPr>
    </w:p>
    <w:p>
      <w:pPr>
        <w:ind w:left="960"/>
        <w:spacing w:after="0"/>
        <w:tabs>
          <w:tab w:leader="none" w:pos="1600" w:val="left"/>
          <w:tab w:leader="none" w:pos="2380" w:val="left"/>
          <w:tab w:leader="none" w:pos="3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138,675</w:t>
        <w:tab/>
        <w:t>$</w:t>
      </w:r>
      <w:r>
        <w:rPr>
          <w:sz w:val="20"/>
          <w:szCs w:val="20"/>
          <w:color w:val="auto"/>
        </w:rPr>
        <w:tab/>
      </w:r>
      <w:r>
        <w:rPr>
          <w:rFonts w:ascii="Times New Roman" w:cs="Times New Roman" w:eastAsia="Times New Roman" w:hAnsi="Times New Roman"/>
          <w:sz w:val="17"/>
          <w:szCs w:val="17"/>
          <w:color w:val="auto"/>
        </w:rPr>
        <w:t>133,943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60325</wp:posOffset>
            </wp:positionV>
            <wp:extent cx="1748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41910</wp:posOffset>
            </wp:positionV>
            <wp:extent cx="26574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6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Debt, net of</w:t>
      </w:r>
    </w:p>
    <w:p>
      <w:pPr>
        <w:spacing w:after="0" w:line="19" w:lineRule="exact"/>
        <w:rPr>
          <w:sz w:val="20"/>
          <w:szCs w:val="20"/>
          <w:color w:val="auto"/>
        </w:rPr>
      </w:pPr>
    </w:p>
    <w:p>
      <w:pPr>
        <w:ind w:left="1300"/>
        <w:spacing w:after="0"/>
        <w:tabs>
          <w:tab w:leader="none" w:pos="2720" w:val="left"/>
        </w:tabs>
        <w:rPr>
          <w:sz w:val="20"/>
          <w:szCs w:val="20"/>
          <w:color w:val="auto"/>
        </w:rPr>
      </w:pPr>
      <w:r>
        <w:rPr>
          <w:rFonts w:ascii="Times New Roman" w:cs="Times New Roman" w:eastAsia="Times New Roman" w:hAnsi="Times New Roman"/>
          <w:sz w:val="14"/>
          <w:szCs w:val="14"/>
          <w:b w:val="1"/>
          <w:bCs w:val="1"/>
          <w:color w:val="auto"/>
        </w:rPr>
        <w:t>Deferred</w:t>
      </w:r>
      <w:r>
        <w:rPr>
          <w:sz w:val="20"/>
          <w:szCs w:val="20"/>
          <w:color w:val="auto"/>
        </w:rPr>
        <w:tab/>
      </w:r>
      <w:r>
        <w:rPr>
          <w:rFonts w:ascii="Times New Roman" w:cs="Times New Roman" w:eastAsia="Times New Roman" w:hAnsi="Times New Roman"/>
          <w:sz w:val="14"/>
          <w:szCs w:val="14"/>
          <w:b w:val="1"/>
          <w:bCs w:val="1"/>
          <w:color w:val="auto"/>
        </w:rPr>
        <w:t>deferred</w:t>
      </w:r>
    </w:p>
    <w:p>
      <w:pPr>
        <w:spacing w:after="0" w:line="1" w:lineRule="exact"/>
        <w:rPr>
          <w:sz w:val="20"/>
          <w:szCs w:val="20"/>
          <w:color w:val="auto"/>
        </w:rPr>
      </w:pPr>
    </w:p>
    <w:p>
      <w:pPr>
        <w:spacing w:after="0"/>
        <w:tabs>
          <w:tab w:leader="none" w:pos="1100" w:val="left"/>
          <w:tab w:leader="none" w:pos="2540" w:val="left"/>
        </w:tabs>
        <w:rPr>
          <w:sz w:val="20"/>
          <w:szCs w:val="20"/>
          <w:color w:val="auto"/>
        </w:rPr>
      </w:pPr>
      <w:r>
        <w:rPr>
          <w:rFonts w:ascii="Times New Roman" w:cs="Times New Roman" w:eastAsia="Times New Roman" w:hAnsi="Times New Roman"/>
          <w:sz w:val="14"/>
          <w:szCs w:val="14"/>
          <w:b w:val="1"/>
          <w:bCs w:val="1"/>
          <w:color w:val="auto"/>
        </w:rPr>
        <w:t>Debt</w:t>
      </w:r>
      <w:r>
        <w:rPr>
          <w:sz w:val="20"/>
          <w:szCs w:val="20"/>
          <w:color w:val="auto"/>
        </w:rPr>
        <w:tab/>
      </w:r>
      <w:r>
        <w:rPr>
          <w:rFonts w:ascii="Times New Roman" w:cs="Times New Roman" w:eastAsia="Times New Roman" w:hAnsi="Times New Roman"/>
          <w:sz w:val="14"/>
          <w:szCs w:val="14"/>
          <w:b w:val="1"/>
          <w:bCs w:val="1"/>
          <w:color w:val="auto"/>
        </w:rPr>
        <w:t>financing costs</w:t>
      </w:r>
      <w:r>
        <w:rPr>
          <w:sz w:val="20"/>
          <w:szCs w:val="20"/>
          <w:color w:val="auto"/>
        </w:rPr>
        <w:tab/>
      </w:r>
      <w:r>
        <w:rPr>
          <w:rFonts w:ascii="Times New Roman" w:cs="Times New Roman" w:eastAsia="Times New Roman" w:hAnsi="Times New Roman"/>
          <w:sz w:val="14"/>
          <w:szCs w:val="14"/>
          <w:b w:val="1"/>
          <w:bCs w:val="1"/>
          <w:color w:val="auto"/>
        </w:rPr>
        <w:t>financing costs</w:t>
      </w:r>
    </w:p>
    <w:p>
      <w:pPr>
        <w:spacing w:after="0" w:line="42"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688,641</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249,604</w:t>
            </w: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597,364</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545,376</w:t>
            </w: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3/8%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7"/>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3,448,820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3,418,907</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(250,044)</w:t>
            </w:r>
          </w:p>
        </w:tc>
      </w:tr>
      <w:tr>
        <w:trPr>
          <w:trHeight w:val="27"/>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3,198,380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3,168,863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0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549,595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2,983,884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Long-term debt contractual maturities are as follows:</w:t>
            </w: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0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0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1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(as amended by the Amendments, as defined below) (the “senior credit facility”), consists of (i) a $750,000 senior secured revolving credit facility which will mature on July 31, 2028, subject to certain conditions (see description of Amendment No. 4 below) (the “revolving credit facility”), (ii) a $700,000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of 4.50 to 1.00, as well as certain other conditions including lender approval.</w:t>
      </w:r>
    </w:p>
    <w:p>
      <w:pPr>
        <w:spacing w:after="0" w:line="21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Lamar Media borrowed all $350,000 in Term A loans on July 29, 2022 and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("Amendment No. 4"), to the Fourth Amended and Restated Credit Agreement with certain of Lamar Media's subsidiaries as guarantors, JPMorgan Chase Bank, N.A. as administrative agent and the lenders party thereto. Amendment No. 4 extends the maturity date of Lamar Media's $750,000 revolving credit facility such that the revolving credit facility matures July 31, 2028; provided, that, if on the date (a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September 23, 2025, Lamar Media entered into Amendment No. 5 (the “Amendment No. 5”, and together with the Amendment, the Amendment No. 2, the Amendment No. 3 and the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$700,000 in Term B loans on September 23, 2025. Proceeds from the Term B loans were used to repay $600,000 in Term B loans previously outstanding, with the remainder used to repay a portion of the outstanding balance on the revolving credit facility. The Term B loans will mature on September 23, 2032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w:t>
      </w:r>
    </w:p>
    <w:p>
      <w:pPr>
        <w:spacing w:after="0" w:line="21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no outstanding borrowings under the revolving credit facility. Availability under the revolving credit facility is reduced by the amount of any letters of credit outstanding. Lamar Media had $7,778 in letters of credit outstanding as of December 31, 2025 resulting in $742,222 of availability under the revolving credit facility. Revolving credit loans may be requested under the revolving credit facility at any time prior to its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229" w:lineRule="exact"/>
        <w:rPr>
          <w:sz w:val="20"/>
          <w:szCs w:val="20"/>
          <w:color w:val="auto"/>
        </w:rPr>
      </w:pPr>
    </w:p>
    <w:p>
      <w:pPr>
        <w:ind w:left="1140" w:hanging="56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9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the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Receivables Financing Agreement (the "Receivables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2025, there was $250,000 outstanding aggregate borrowings under the Accounts Receivable Securitization Program. Lamar Media had no additional availability for borrowing under the Accounts Receivable Securitization Program as of December 31, 2025. The commitment fees based on the amount of unused commitments under the Accounts Receivable Securitization Program were immaterial during the year ended December 31, 2025.</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Consolidated Balance Sheets, (ii) our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Consolidated Statements of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25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20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3/8% Senior Notes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September 25, 2025, Lamar Media completed an institutional private placement of $400,000 aggregate principal amount of 5 3/8% Senior Notes due 2033 (the “5 3/8% Notes”). The institutional private placement on September 25, 2025 resulted in net proceeds to Lamar Media of approximately $393,500. Lamar Media used the proceeds from this offering, together with borrowings on the Term B loans, to pay off the balance outstanding on the revolving credit facility as well as pay down a portion of the balance on the Accounts Receivable Securitization Program.</w:t>
      </w:r>
    </w:p>
    <w:p>
      <w:pPr>
        <w:spacing w:after="0" w:line="20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5 3/8% Notes, at any time and from time to time, at a price equal to 105.375% of the aggregate principal amount redeemed, plus accrued and unpaid interest thereon, with the net cash proceeds of certain public equity offerings completed before November 1, 2028, provided that following the redemption, at least 60% of the 5 3/8% Notes that were originally issued remain outstanding and any such redemption occurs within 120 days following the closing of any such public equity offering. At any time prior to November 1, 2028, Lamar Media may redeem some or all of the 5 3/8% Notes at a price equal to 100% of the aggregate principal amount, plus accrued and unpaid interest thereon and a make-whole premium. On or after November 1, 2028, Lamar Media may redeem the 5 3/8% Notes, in whole or in part, in cash at redemption prices specified in the 5 3/8% Notes. In addition, if the Company or Lamar Media undergoes a change of control and a rating of the 5 3/8% Notes is reduced, Lamar Media may be required to make an offer to purchase each holder's 5 3/8% Notes at a price equal to 101% of the principal amount of the 5 3/8% Notes, plus accrued and unpaid interest, up to but not including the repurchase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 Offers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October 2020, the Company completed a subsequent exchange offer with respect to each of the 4% Notes, 3 3/4% Notes, and 4 7/8% Notes, in each case, for substantially identical notes registered under the Securities Act of 1933, as amended. In September 2021, the Company completed a subsequent exchange offer with respect to the 3 5/8% Notes for substantially identical notes registered under the Securities Act of 1933, as amended. The Company will not complete a subsequent exchange offer with respect to the 5 3/8% Notes issued in September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254"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authorized Lamar Media to repurchase up to $250,000 in outstanding senior or senior subordinated notes and other indebtedness outstanding from time to time under its Fourth Amended and Restated Credit Agreement. On September 24, 2024, the Board of Directors authorized the extension of the repurchase program through March 31, 2026. There were no repurchases under the program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Asset Retirement Obligation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 includes the costs associated with the removal of its structures, resurfacing of the land and retirement costs, if applicable, related to the Company’s outdoor advertising portfolio. The following table reflects information related to our asset retirement obligations: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397,991</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Revision in estimates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215,899</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r>
      <w:tr>
        <w:trPr>
          <w:trHeight w:val="23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614,713</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r>
      <w:tr>
        <w:trPr>
          <w:trHeight w:val="23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624,925</w:t>
            </w:r>
          </w:p>
        </w:tc>
      </w:tr>
      <w:tr>
        <w:trPr>
          <w:trHeight w:val="27"/>
        </w:trPr>
        <w:tc>
          <w:tcPr>
            <w:tcW w:w="9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Revision in estimates in the year ended December 31, 2024 of $215,899 reflects changes in cost estimates to remove structures and resurface land for structures that reside on leased land in the Company’s outdoor advertising portfolio.</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Depreciation and Amortization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Consolidated Statements of Income and Comprehensive Income. The amounts of depreciation and amortization expense excluded from the following operating expenses in its Consolidated Statements of Income and Comprehensive Income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29"/>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299,226</w:t>
            </w:r>
          </w:p>
        </w:tc>
        <w:tc>
          <w:tcPr>
            <w:tcW w:w="480" w:type="dxa"/>
            <w:vAlign w:val="bottom"/>
            <w:tcBorders>
              <w:bottom w:val="single" w:sz="8" w:color="CFF0FC"/>
            </w:tcBorders>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439,933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273,297</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21,592</w:t>
            </w:r>
          </w:p>
        </w:tc>
        <w:tc>
          <w:tcPr>
            <w:tcW w:w="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r>
      <w:tr>
        <w:trPr>
          <w:trHeight w:val="237"/>
        </w:trPr>
        <w:tc>
          <w:tcPr>
            <w:tcW w:w="70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326,332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293,423</w:t>
            </w: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Commencing January 1, 2014, the Company began operating as a REIT for U.S. income tax purposes. Since operating as a REIT, the Company filed, and intends to continue to file, as a REIT, and its TRSs filed, and intend to continue to file, as C corporations. The Company also files tax returns in various states and countries. The Company’s state tax returns reflect different combinations of the Company’s subsidiaries and are dependent on the connection each subsidiary has with a particular state. The following information pertains to the Company’s income taxes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year ended December 31, 2025 includes an expense of $21,172 in current income tax expense and a benefit of $(7,791) in deferred income tax (benefit) related to the sale of our investment in Vistar Media, Inc.</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income taxes receivable of $1,329 and $2,104, respectively, which was recorded within other current assets on the Consolidated Balance Sheets. As of December 31, 2025 and 2024, the Company had income taxes payable of $742 and $199, respectively, which was recorded within accrued expenses on the Consolidated Balance Sheets.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U.S. and foreign components of earnings (loss) before income taxes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622,711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368,924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509,040</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7"/>
        </w:trPr>
        <w:tc>
          <w:tcPr>
            <w:tcW w:w="70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614,395</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367,470</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506,618</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 reconciliation of significant differences between the reported amount of income tax expense and the expected amount of income tax expense that would result from applying the U.S. federal statutory income tax rate of 21 percent to income before taxes for the December 31, 2025, 2024 and 2023 tax years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right"/>
              <w:ind w:right="1219"/>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22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2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7"/>
        </w:trPr>
        <w:tc>
          <w:tcPr>
            <w:tcW w:w="2240" w:type="dxa"/>
            <w:vAlign w:val="bottom"/>
            <w:tcBorders>
              <w:bottom w:val="single" w:sz="8" w:color="CCEEFF"/>
            </w:tcBorders>
          </w:tcPr>
          <w:p>
            <w:pPr>
              <w:spacing w:after="0"/>
              <w:rPr>
                <w:sz w:val="3"/>
                <w:szCs w:val="3"/>
                <w:color w:val="auto"/>
              </w:rPr>
            </w:pPr>
          </w:p>
        </w:tc>
        <w:tc>
          <w:tcPr>
            <w:tcW w:w="6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129,023</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7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0.21 %</w:t>
            </w:r>
          </w:p>
        </w:tc>
      </w:tr>
      <w:tr>
        <w:trPr>
          <w:trHeight w:val="250"/>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7"/>
        </w:trPr>
        <w:tc>
          <w:tcPr>
            <w:tcW w:w="2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43"/>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7"/>
        </w:trPr>
        <w:tc>
          <w:tcPr>
            <w:tcW w:w="2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3"/>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adjustment related to REIT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(111,318)</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43"/>
        </w:trPr>
        <w:tc>
          <w:tcPr>
            <w:tcW w:w="8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3"/>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2240" w:type="dxa"/>
            <w:vAlign w:val="bottom"/>
            <w:tcBorders>
              <w:bottom w:val="single" w:sz="8" w:color="auto"/>
            </w:tcBorders>
          </w:tcPr>
          <w:p>
            <w:pPr>
              <w:spacing w:after="0"/>
              <w:rPr>
                <w:sz w:val="13"/>
                <w:szCs w:val="13"/>
                <w:color w:val="auto"/>
              </w:rPr>
            </w:pPr>
          </w:p>
        </w:tc>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bl>
    <w:p>
      <w:pPr>
        <w:spacing w:after="0" w:line="63" w:lineRule="exact"/>
        <w:rPr>
          <w:sz w:val="20"/>
          <w:szCs w:val="20"/>
          <w:color w:val="auto"/>
        </w:rPr>
      </w:pPr>
    </w:p>
    <w:p>
      <w:pPr>
        <w:ind w:left="260" w:hanging="252"/>
        <w:spacing w:after="0" w:line="307" w:lineRule="auto"/>
        <w:tabs>
          <w:tab w:leader="none" w:pos="24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w:t>
      </w:r>
      <w:r>
        <w:rPr>
          <w:rFonts w:ascii="Times New Roman" w:cs="Times New Roman" w:eastAsia="Times New Roman" w:hAnsi="Times New Roman"/>
          <w:sz w:val="17"/>
          <w:szCs w:val="17"/>
          <w:color w:val="auto"/>
        </w:rPr>
        <w:t>year ended December 31, 2025,</w:t>
      </w:r>
      <w:r>
        <w:rPr>
          <w:rFonts w:ascii="Times New Roman" w:cs="Times New Roman" w:eastAsia="Times New Roman" w:hAnsi="Times New Roman"/>
          <w:sz w:val="16"/>
          <w:szCs w:val="16"/>
          <w:color w:val="auto"/>
        </w:rPr>
        <w:t xml:space="preserve"> state and local taxes in Texas, Louisiana, Oregon, Florida, and Wisconsin made up the majority (greater than 50%) of the tax effect in this category.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106,390</w:t>
            </w:r>
          </w:p>
        </w:tc>
      </w:tr>
      <w:tr>
        <w:trPr>
          <w:trHeight w:val="270"/>
        </w:trPr>
        <w:tc>
          <w:tcPr>
            <w:tcW w:w="84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Tax adjustment related to REIT</w:t>
            </w:r>
            <w:r>
              <w:rPr>
                <w:rFonts w:ascii="Times New Roman" w:cs="Times New Roman" w:eastAsia="Times New Roman" w:hAnsi="Times New Roman"/>
                <w:sz w:val="28"/>
                <w:szCs w:val="28"/>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(101,486)</w:t>
            </w: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Book expenses not deductible for tax purposes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70"/>
        </w:trPr>
        <w:tc>
          <w:tcPr>
            <w:tcW w:w="84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Valuation allowance</w:t>
            </w:r>
            <w:r>
              <w:rPr>
                <w:rFonts w:ascii="Times New Roman" w:cs="Times New Roman" w:eastAsia="Times New Roman" w:hAnsi="Times New Roman"/>
                <w:sz w:val="28"/>
                <w:szCs w:val="28"/>
                <w:color w:val="auto"/>
                <w:vertAlign w:val="superscript"/>
              </w:rPr>
              <w:t>(2)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70"/>
        </w:trPr>
        <w:tc>
          <w:tcPr>
            <w:tcW w:w="848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Undistributed earnings of foreign subsidiaries</w:t>
            </w:r>
            <w:r>
              <w:rPr>
                <w:rFonts w:ascii="Times New Roman" w:cs="Times New Roman" w:eastAsia="Times New Roman" w:hAnsi="Times New Roman"/>
                <w:sz w:val="28"/>
                <w:szCs w:val="28"/>
                <w:color w:val="auto"/>
                <w:vertAlign w:val="superscript"/>
              </w:rPr>
              <w:t>(3)</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Jurisdictional tax rate change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differences,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37"/>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r>
      <w:tr>
        <w:trPr>
          <w:trHeight w:val="27"/>
        </w:trPr>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2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2440" w:type="dxa"/>
            <w:vAlign w:val="bottom"/>
            <w:tcBorders>
              <w:bottom w:val="single" w:sz="8" w:color="auto"/>
            </w:tcBorders>
          </w:tcPr>
          <w:p>
            <w:pPr>
              <w:spacing w:after="0"/>
              <w:rPr>
                <w:sz w:val="13"/>
                <w:szCs w:val="13"/>
                <w:color w:val="auto"/>
              </w:rPr>
            </w:pPr>
          </w:p>
        </w:tc>
        <w:tc>
          <w:tcPr>
            <w:tcW w:w="6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81"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dividend paid deduction of $121,466 and $107,137 for the tax years ended December 31, 2024 and 2023, respectively.</w:t>
      </w:r>
    </w:p>
    <w:p>
      <w:pPr>
        <w:spacing w:after="0" w:line="23" w:lineRule="exact"/>
        <w:rPr>
          <w:rFonts w:ascii="Times New Roman" w:cs="Times New Roman" w:eastAsia="Times New Roman" w:hAnsi="Times New Roman"/>
          <w:sz w:val="16"/>
          <w:szCs w:val="16"/>
          <w:color w:val="auto"/>
        </w:rPr>
      </w:pPr>
    </w:p>
    <w:p>
      <w:pPr>
        <w:jc w:val="both"/>
        <w:ind w:left="340" w:right="20" w:hanging="332"/>
        <w:spacing w:after="0" w:line="253" w:lineRule="auto"/>
        <w:tabs>
          <w:tab w:leader="none" w:pos="3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a non-cash valuation allowance of $548 was recorded to income tax expense due to our limited ability to utilize Canada deferred tax assets in future years. For the year ended December 31, 2023, a non-cash valuation allowance of $875 was recorded to income tax expense due to our limited ability to utilize Puerto Rico and Canada deferred tax assets in future years.</w:t>
      </w:r>
    </w:p>
    <w:p>
      <w:pPr>
        <w:spacing w:after="0" w:line="1" w:lineRule="exact"/>
        <w:rPr>
          <w:rFonts w:ascii="Times New Roman" w:cs="Times New Roman" w:eastAsia="Times New Roman" w:hAnsi="Times New Roman"/>
          <w:sz w:val="16"/>
          <w:szCs w:val="16"/>
          <w:color w:val="auto"/>
        </w:rPr>
      </w:pPr>
    </w:p>
    <w:p>
      <w:pPr>
        <w:ind w:left="340" w:right="20" w:hanging="332"/>
        <w:spacing w:after="0" w:line="270" w:lineRule="auto"/>
        <w:tabs>
          <w:tab w:leader="none" w:pos="3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does not assert that the undistributed earnings of our Canadian subsidiaries will be permanently reinvested. For the years ended December 31, 2024 and 2023, we recognized a deferred tax benefit of $55 and $95, respectively, for future foreign withholding taxes related to undistributed earnings.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tax effect of temporary differences that give rise to significant portions of the deferred tax assets and liabilities are presented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not deducted for tax purposes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Classification in the consolidated balance sheet: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r>
      <w:tr>
        <w:trPr>
          <w:trHeight w:val="237"/>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2025, we have approximately $8,842 of U.S. net operating loss carryforwards to offset future taxable income. Of this amount, $8,627 is subject to Internal Revenue Code §382 limitation but will be available to be fully utilized by no later than 2027. These carry forwards expire between 2032 through 2037.</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have approximately $795 of U.S. tax credit carryforwards before valuation allowances available to offset future federal income tax. These federal tax credit carry forwards expire between 2026 through 2031.</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2025, we have approximately $1,130,403 of state net operating loss carryforwards before valuation allowances. These state net operating losses are available to reduce future taxable income and expire at various times and amounts. In addition, we have $29 of various credits available to offset future state income tax.</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$11,260 of Canadian net operating loss carry forwards before valuation allowances. These Canadian net operating losses are available to offset future taxable income. These carry forwards expire between 2027 and 2045.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the Company will not generate the minimum amount of future taxable income to support the realization of the deferred tax assets. As a result, management has determined that a valuation allowance related to Canada net operating loss carry forwards and other deferred tax assets is necessary. The valuation allowance for Canadian deferred tax assets as of December 31, 2025 and 2024 was $6,068 and $3,402, respectively. For this same reason, there was also a valuation allowance for U.S. deferred tax assets related to federal tax credits and state net operating loss carry forwards necessary as of December 31, 2025. As of December 31, 2025, the valuation allowance for U.S. deferred tax assets related to federal tax credits and state net operating loss carry forwards was $514 and $386, respectively. The net change in the total valuation allowance for the years ended December 31, 2025 and 2024 was an increase of $3,567 and a decrease of ($1,931), respectively. The amount of the deferred tax asset considered realizable, however, could be adjusted in the near term if estimates of future taxable income during the carry forward period increase.</w:t>
      </w:r>
    </w:p>
    <w:p>
      <w:pPr>
        <w:spacing w:after="0" w:line="21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accumulated undistributed earnings generated by our foreign subsidiaries of approximately $14,976. Management does not designate these earnings as permanently reinvested and has recognized a deferred tax liability of approximately $748 related to foreign withholding taxes on these earnings. We have recognized a current year tax expense of $6 related to December 31, 2025 earnings.</w:t>
      </w:r>
    </w:p>
    <w:p>
      <w:pPr>
        <w:spacing w:after="0" w:line="201" w:lineRule="exact"/>
        <w:rPr>
          <w:sz w:val="20"/>
          <w:szCs w:val="20"/>
          <w:color w:val="auto"/>
        </w:rPr>
      </w:pPr>
    </w:p>
    <w:p>
      <w:pPr>
        <w:jc w:val="both"/>
        <w:ind w:right="20" w:firstLine="567"/>
        <w:spacing w:after="0" w:line="284" w:lineRule="auto"/>
        <w:rPr>
          <w:sz w:val="20"/>
          <w:szCs w:val="20"/>
          <w:color w:val="auto"/>
        </w:rPr>
      </w:pPr>
      <w:r>
        <w:rPr>
          <w:rFonts w:ascii="Times New Roman" w:cs="Times New Roman" w:eastAsia="Times New Roman" w:hAnsi="Times New Roman"/>
          <w:sz w:val="18"/>
          <w:szCs w:val="18"/>
          <w:color w:val="auto"/>
        </w:rPr>
        <w:t xml:space="preserve">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3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7"/>
        </w:trPr>
        <w:tc>
          <w:tcPr>
            <w:tcW w:w="9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37"/>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7"/>
        </w:trPr>
        <w:tc>
          <w:tcPr>
            <w:tcW w:w="99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of December 31, 2025, 2024 and 2023, there are $1,122, $2,626, and $4,432 of unrecognized tax benefits that, if recognized would impact our effective tax rate. The Company recognizes interest accrued related to unrecognized tax benefits in interest expense and penalties in operating expenses. During the year ended December 31, 2025, we recognized a benefit to interest and penalties of $677. During the year ended December 31, 2024, we recognized a benefit to interest and penalties of $71. During the year ended December 31, 2023, we recognized $76 of expense in interest and penalties. The Company had $648 and $1,325 of interest and penalties accrued at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U.S. and nearly all states. In addition, the Company is subject to income taxes in Canada and was subject to income taxes in the Commonwealth of Puerto Rico prior to the year ended December 31, 2025. We are no longer subject to U.S. federal income tax examinations by tax authorities for years prior to 2022, or for any U.S. state income tax audit prior to 2021. With respect to Canada and Puerto Rico, we are no longer subject to income tax audits for years before 2022 and 2021, respectively.</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of January 1, 2024, we and our subsidiaries are subject to the OECD Pillar Two Rules. The Pillar Two Rules can potentially lead to additional taxes when the effective tax rate (as defined by the Pillar Two Rules) in a jurisdiction is below 15%. While it is uncertain whether the U.S. will enact Pillar Two legislation, Canada, where the Company operates, has enacted Pillar Two legislation. The Pillar Two Rules, however, do not apply to “Excluded Entities” considered “Real Estate Investment Vehicles” and certain subsidiaries of Excluded Entities. The majority of our entities qualify as excluded entities.</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those entities not considered Excluded Entities, Pillar Two did not have a material impact on the Company’s effective tax rate or the Company’s Consolidated Statements of Operations and Comprehensive Loss.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Income taxes paid (net of refunds received) are presented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9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 - 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7"/>
        </w:trPr>
        <w:tc>
          <w:tcPr>
            <w:tcW w:w="9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 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6"/>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29,102</w:t>
            </w:r>
          </w:p>
        </w:tc>
      </w:tr>
      <w:tr>
        <w:trPr>
          <w:trHeight w:val="27"/>
        </w:trPr>
        <w:tc>
          <w:tcPr>
            <w:tcW w:w="9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Affiliates, as used within these statements, are persons or entities that are affiliated with Lamar Advertising Company or its subsidiaries through common ownership and directorate control.</w:t>
      </w:r>
    </w:p>
    <w:p>
      <w:pPr>
        <w:spacing w:after="0" w:line="18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RTC Holdings, LLC (“RTC”), a telecommunications company, is 100% owned by entities owned by members of the Reilly family. Entities owned by Sean E. Reilly, President and Chief Executive Officer of the Company; Kevin P. Reilly, Jr., Executive Chairman of the Board of Directors; and members of their respective immediate families hold a majority stake in RTC of approximately 89%. The Reilly Family, LLC, which is owned by Sean E. Reilly, Kevin P. Reilly, Jr., members of our Board of Directors, Anna Reilly and Wendell Reilly, and entities owned by each of them and members of their respective immediate families, holds the remaining minority stake in RTC of approximately 11%. On May 31, 2019, RTC acquired EATELCORP, LLC (“EATEL”) and its subsidiaries. EATEL provides phone and internet services to consumers and businesses in Louisiana. EATEL also provides data back-up and recovery services to businesses. During the years ended December 31, 2025 and 2024, the Company was a customer of EATEL for data back-up and recovery services. The aggregate amount paid by the Company to EATEL for such services was $38 and $23 for the years ended December 31, 2025 and 2024, respectively. The Company was also contracted by EATEL to provide advertising services in the aggregate amount of $261 and $230 for the years ended December 31, 2025 and 2024, respectively.</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had $370 and $162 receivables from employees or executive officers at December 31, 2025 and 2024, respectively.</w:t>
      </w:r>
    </w:p>
    <w:p>
      <w:pPr>
        <w:spacing w:after="0" w:line="25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a leading global developer of programmatic technology for the digital out-of-home sector. For the years ended December 31, 2025, 2024 and 2023, the Company recognized revenue of $26,069, $25,333 and $12,050, respectively, from advertisements generated through Vistar's programmatic technology platform. We also incurred expenses of $2,523, $2,499 and $1,134 related to these advertisements for the years ended December 31, 2025, 2024 and 2023, respectively. See Note 1, "Description of the Business and Significant Accounting Policies" for additional information regarding the Company's interest in Vistar.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16, 1999, the Board of Directors designated 5,720 shares of the 1,000,000 shares of previously undesignated preferred stock, par value $.001, as Series AA preferred stock, which shares were subsequently exchanged on a one for one basis in the REIT conversion. The Series AA preferred stock ranks senior to the Class A common stock and Class B common stock with respect to dividends and upon liquidation. Holders of Series AA preferred stock are entitled to receive, on a pari passu basis, dividends at the rate of $15.95 per share per quarter when, as and if declared by the Board of Directors. The Series AA preferred stock is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2025 was $3,649. The Series AA preferred stock is entitled to one vote per share.</w:t>
      </w:r>
    </w:p>
    <w:p>
      <w:pPr>
        <w:spacing w:after="0" w:line="21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 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2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 common stock upon the sale or transfer to persons other than permitted transferees (as defined in the Company’s certificate of incorporation, as amended).</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July 24, 2024, the Company entered into an equity distribution agreement, or At-the-Market Offering 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which expired by its terms on June 21, 2024. Under the terms of the 2024 Sales Agreement, the Company may, from time to time, issue and sell shares of its Class A common stock, having an aggregate offering price of up to $400,000, through the Sales Agents as either agents or principals.</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2025, no shares of our Class A common stock have been sold under the 2024 Sales Agreement or were sold under the prior Sales Agreement and accordingly $400,000 remained available to be sold under the 2024 Sales Agreement as of December 31, 2025.</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July 24, 2024, the Company filed an automatically effective shelf registration statement that allows Lamar Advertising to offer and sell an indeterminate amount of additional shares of its Class A common stock. The shelf registration statement replaced a prior shelf registration statement which expired. As of December 31, 2025, the Company did not issue any shares under this shelf registration.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9"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Prior to May 15, 2025, the Company’s Board of Directors had authorized the repurchase of up to $250,000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On May 15, 2025, the Company's Board of Directors approved the increase of the amount authorized under the Stock Repurchase Program by $150,000, bringing the total amount authorized under the Program to $400,000. The Stock Repurchase Program is in effect through March 31, 2026. There were no repurchases under the program as of December 31, 2024. During the year ended December 31, 2025, the Company repurchased 1,388,091 shares of the Company's Class A common stock outstanding for a total purchase price of $150,000. The Company currently has $250,000 remaining under its current share repurchase authorization.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 Compensation Plans</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Lamar's 1996 Equity Incentive Plan, as amended, (the “1996 Plan”) has reserved 17.5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and LTIP Unit program. Options granted under the 1996 Plan expire ten years from the grant date with vesting terms ranging from three to five years which primarily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21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In February 2013, the 1996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is required to classify the awards affected by the amendment as liability-classified awards at fair value each period prior to their settlement. As of December 31, 2025 and 2024, the Company recorded a liability, in accrued expenses, of $11,691 and $16,404, respectively, related to its equity incentive awards affected by this amendment.</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highly subjective assumptions, including expected term and 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21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5%.</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estimate option forfeitures at the time of grant and periodically revise those estimates in subsequent periods if actual forfeitures differ from those estimates. We record stock based compensation expense only for those awards expected to vest using an estimated forfeiture rate based on our historical forfeiture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option-pricing model with the following weighted-average assumptions used: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r>
      <w:tr>
        <w:trPr>
          <w:trHeight w:val="19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r>
      <w:tr>
        <w:trPr>
          <w:trHeight w:val="37"/>
        </w:trPr>
        <w:tc>
          <w:tcPr>
            <w:tcW w:w="55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5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r>
    </w:tbl>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Information regarding stock options under the 1996 Plan for the year ended December 31, 2025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7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7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90"/>
        </w:trPr>
        <w:tc>
          <w:tcPr>
            <w:tcW w:w="7060" w:type="dxa"/>
            <w:vAlign w:val="bottom"/>
          </w:tcPr>
          <w:p>
            <w:pPr>
              <w:spacing w:after="0"/>
              <w:rPr>
                <w:sz w:val="16"/>
                <w:szCs w:val="16"/>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37"/>
        </w:trPr>
        <w:tc>
          <w:tcPr>
            <w:tcW w:w="706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end of year</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362,865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7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9"/>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At December 31, 2025 there was $3,840 of unrecognized compensation cost related to stock options granted which is expected to be recognized over a weighted-average period of 1.93 years.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Shares available for future stock option, LTIP Units and restricted share grants to employees and directors under existing plans were 1,130,304 at December 31, 2025. The aggregate intrinsic value of options outstanding as of December 31, 2025 was $9,165 and the aggregate intrinsic value of options exercisable was $7,417. Total intrinsic value of options exercised was $2,417 for the year ended December 31, 2025.</w:t>
      </w:r>
    </w:p>
    <w:p>
      <w:pPr>
        <w:spacing w:after="0" w:line="201"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Class A common stock available for issuance under the 2019 ESPP was automatically increased by 87,976 shares on January 1, 2025 pursuant to the automatic increase provisions of the 2019 ESPP.</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year ended December 31, 2025:</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7"/>
        </w:trPr>
        <w:tc>
          <w:tcPr>
            <w:tcW w:w="99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2025</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204,528</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87,976</w:t>
            </w:r>
          </w:p>
        </w:tc>
      </w:tr>
      <w:tr>
        <w:trPr>
          <w:trHeight w:val="27"/>
        </w:trPr>
        <w:tc>
          <w:tcPr>
            <w:tcW w:w="9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(126,065)</w:t>
            </w:r>
          </w:p>
        </w:tc>
      </w:tr>
      <w:tr>
        <w:trPr>
          <w:trHeight w:val="236"/>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December 31, 2025</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166,439</w:t>
            </w:r>
          </w:p>
        </w:tc>
      </w:tr>
      <w:tr>
        <w:trPr>
          <w:trHeight w:val="27"/>
        </w:trPr>
        <w:tc>
          <w:tcPr>
            <w:tcW w:w="9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Performance-based compensation. </w:t>
      </w:r>
      <w:r>
        <w:rPr>
          <w:rFonts w:ascii="Times New Roman" w:cs="Times New Roman" w:eastAsia="Times New Roman" w:hAnsi="Times New Roman"/>
          <w:sz w:val="18"/>
          <w:szCs w:val="18"/>
          <w:color w:val="auto"/>
        </w:rPr>
        <w:t>Unrestricted shares of our Class A common stock may be awarded to key officers, employees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1996 Plan based on certain Company performance measures for fiscal year 2025. The number of shares to be issued, if any, are generally dependent on the level of achievement of these performance measures as determined by the Company’s Compensation Committee based on our 2025 results and are issued in the first quarter of 2026. The shares subject to these awards generally can range from a minimum of 0% to a maximum of 120% of the target number of shares depending on the level at which the goals are attained. Under the 1996 Plan, the Company's Compensation Committee may also award additional shares in its discretion based on other factors, which awards, if any, for 2026, will also be issued in the first quarter of 2026. Based on the Company’s performance measures achieved through December 31, 2025, the Company recorded $17,444, $24,711 and $11,677 as stock-based compensation expense related to these agreements for the years ended December 31, 2025, 2024 and 2023, respectively.</w:t>
      </w:r>
    </w:p>
    <w:p>
      <w:pPr>
        <w:spacing w:after="0" w:line="21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LTIP Units. </w:t>
      </w:r>
      <w:r>
        <w:rPr>
          <w:rFonts w:ascii="Times New Roman" w:cs="Times New Roman" w:eastAsia="Times New Roman" w:hAnsi="Times New Roman"/>
          <w:sz w:val="18"/>
          <w:szCs w:val="18"/>
          <w:color w:val="auto"/>
        </w:rPr>
        <w:t>In addition to stock compensation, the Company may issue LTIP Units of Lamar LP, a subsidiary of the Company and Lamar Media,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officers, employees and directors under the 1996 Plan. Such LTIP Units are subject to vesting and forfeiture conditions based on performance criteria approved by the Compensation Committee, which generally mirrors the performance criteria applicable to the Company’s performance-based compensation, as described above. The Compensation Committee may also make discretionary grants of LTIP Units based on other factors. LTIP Units are a class of units intended to qualify as "profits interests" of Lamar LP. The LTIP Units convert into Common Units of Lamar LP upon the occurrence of certain events. Common Units are redeemable by the holder for a cash amount per Common Unit equal to the market value of an equivalent number of shares of common stock of the Company. At the Company’s option, in lieu of cash, the redemption obligation may be satisfied by issuing shares of the Company's Class A common stock in exchange for Common Units tendered for redemption. During the year ended December 31, 2025, 22,000 Common Units (which had originally been issued as LTIP Units) were converted to the Company’s Class A common stock. As of December 31, 2025, Lamar LP has a total of 358,800 LTIP Units issued and outstanding to the Company's executive officers, of which 238,800 LTIP units have vested. For the years ended December 31, 2025 and 2024, the Company recorded $9,830 and $13,996, respectively, as stock-based compensation expense related to these LTIP Units.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information regarding LTIP Units activity under the 1996 Plan for the year ended December 31,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60" w:type="dxa"/>
            <w:vAlign w:val="bottom"/>
          </w:tcPr>
          <w:p>
            <w:pPr>
              <w:spacing w:after="0"/>
              <w:rPr>
                <w:sz w:val="15"/>
                <w:szCs w:val="15"/>
                <w:color w:val="auto"/>
              </w:rPr>
            </w:pPr>
          </w:p>
        </w:tc>
        <w:tc>
          <w:tcPr>
            <w:tcW w:w="1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Unvested LTIP</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84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204"/>
        </w:trPr>
        <w:tc>
          <w:tcPr>
            <w:tcW w:w="8460" w:type="dxa"/>
            <w:vAlign w:val="bottom"/>
          </w:tcPr>
          <w:p>
            <w:pPr>
              <w:spacing w:after="0"/>
              <w:rPr>
                <w:sz w:val="17"/>
                <w:szCs w:val="17"/>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7"/>
                <w:szCs w:val="17"/>
                <w:color w:val="auto"/>
              </w:rPr>
            </w:pPr>
          </w:p>
        </w:tc>
        <w:tc>
          <w:tcPr>
            <w:tcW w:w="11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84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320" w:type="dxa"/>
            <w:vAlign w:val="bottom"/>
            <w:tcBorders>
              <w:bottom w:val="single" w:sz="8" w:color="CCEEFF"/>
            </w:tcBorders>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0" w:type="dxa"/>
            <w:vAlign w:val="bottom"/>
          </w:tcPr>
          <w:p>
            <w:pPr>
              <w:spacing w:after="0"/>
              <w:rPr>
                <w:sz w:val="1"/>
                <w:szCs w:val="1"/>
                <w:color w:val="auto"/>
              </w:rPr>
            </w:pPr>
          </w:p>
        </w:tc>
      </w:tr>
      <w:tr>
        <w:trPr>
          <w:trHeight w:val="243"/>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center"/>
              <w:ind w:left="516"/>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Borders>
              <w:bottom w:val="single" w:sz="8" w:color="CCEEFF"/>
            </w:tcBorders>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w w:val="99"/>
              </w:rPr>
              <w:t>(120,000)</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0" w:type="dxa"/>
            <w:vAlign w:val="bottom"/>
          </w:tcPr>
          <w:p>
            <w:pPr>
              <w:spacing w:after="0"/>
              <w:rPr>
                <w:sz w:val="1"/>
                <w:szCs w:val="1"/>
                <w:color w:val="auto"/>
              </w:rPr>
            </w:pPr>
          </w:p>
        </w:tc>
      </w:tr>
      <w:tr>
        <w:trPr>
          <w:trHeight w:val="264"/>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20" w:type="dxa"/>
            <w:vAlign w:val="bottom"/>
            <w:tcBorders>
              <w:top w:val="single" w:sz="8" w:color="auto"/>
              <w:bottom w:val="single" w:sz="8" w:color="auto"/>
            </w:tcBorders>
          </w:tcPr>
          <w:p>
            <w:pPr>
              <w:jc w:val="center"/>
              <w:ind w:left="516"/>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At December 31, 2025 there was $1,539 of unrecognized compensation cost related to LTIP Units granted which is expected to be recognized in the first quarter of 2026.</w:t>
      </w:r>
    </w:p>
    <w:p>
      <w:pPr>
        <w:spacing w:after="0" w:line="18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fair value of LTIP Units granted and vested as of December 31, 2025 was $39,356 and $25,344, respectively, based on the weighted average grant date fair value per unit.</w:t>
      </w:r>
    </w:p>
    <w:p>
      <w:pPr>
        <w:spacing w:after="0" w:line="187"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election or re-election. The awards vest 50% on the grant date and 50% on the last day of the directors' one year term. For the years ended December 31, 2025 and 2024, the Company recorded $746 for each period in stock-based compensation expense related to these awards.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Benefit Plans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are included in accrued expenses in the accompanying consolidated financial statements. As of December 31, 2025, the Company maintained $5,537 in letters of credit with a bank to meet requirements of the Company’s workers’ compensation and general liability insurance carrier.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and Profit Sharing Plan</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The Lamar Corporation Savings and Profit Sharing Plan covering eligible employees who have completed 1 year of service and are at least 21 years of age. The Company has the option to match 50% of employees’ contributions up to 6% of eligible compensation. Employees can contribute up to 100% of compensation. Full vesting on the Company’s matched contributions occurs after 3 years for contributions made after January 1, 2002. Annually, at the Company’s discretion, an additional profit sharing contribution may be made on behalf of each eligible employee. The Company matched contributions of $9,974, $8,130 and $7,265 for the years ended December 31, 2025, 2024 and 2023,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a Deferred Compensation Plan for the benefit of certain of its board-elected officers who meet specific age and years of service and other criteria.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 equal to the fair market value of the assets in the employee’s deferred compensation account. For the years ended December 31, 2025, 2024 and 2023, the Company contributed $2,775, $2,223 and $1,880, respectively.</w:t>
      </w:r>
    </w:p>
    <w:p>
      <w:pPr>
        <w:spacing w:after="0" w:line="21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Effective January 1, 2025, the Company amended the Lamar Deferred Compensation Plan to amend certain eligibility criteria and to make changes in the administration of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off balance sheet commitments consist of guaranteed minimum payments to local transit municipalities and airport authorities for agreements which entitle us to rent advertising space to customers, in airports and on buses, benches or shelters. Also included are other contractual agreements that occur in the ordinary course of business which do not meet the criteria of a lease under ASC 842. The following is a summary of the minimum payments related to these agreements.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44,133</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31,305</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20,406</w:t>
            </w: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32,458</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5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Distribution Restrictions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the senior credit facility. As of December 31, 2025 and 2024, Lamar Media was permitted under the terms of its outstanding senior subordinated and senior notes to make transfers to Lamar Advertising in the form of cash dividends, loans or advances in amounts up to $4,719,610 and $4,677,837, respectively.</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December 31, 2025, the senior credit facility allows Lamar Media to make transfers to Lamar Advertising in any taxable year up to the amount of Lamar Advertising’s taxable income (without any deduction for dividends paid). In addition, as of December 31, 2025, transfers to Lamar Advertising are permitted under the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December 31, 2025 and 2024, the total debt ratio was less than 7.0 to 1 and Lamar Media’s secured debt ratio was less than 4.5 to 1, and the available cumulative credit was $3,470,089 and $3,428,317,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Fair Value of Financial Instruments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At December 31, 2025 and 2024,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 are reported at fair values. Fair values for investments held at cost are not readily available, but are estimated to approximate fair value. The estimated fair value of the Company’s long-term debt (including current maturities) was $3,376,708, which is less than both the gross and carrying amount of $3,448,820 as of December 31, 2025. The majority of the fair value is determined using observed prices of publicly traded debt (level 1 in the fair value hierarchy) and the remaining is valued based on quoted prices for similar debt (level 2 in the fair value hierarchy).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Information about Geographic Areas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$26,253, $36,465 and $30,568 for the years ended December 31, 2025, 2024 and 2023, respectively. Net carrying value of long-lived assets located in foreign countries totaled $9,653 and $13,972 as of December 31, 2025 and 2024, respectively. All other revenues from external customers and long-lived assets relate to domestic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Reporting</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revised its segment information to reflect the adoption of ASU 2023-07 and certain changes resulting from our periodic review of factors relevant to how the chief operating decision maker (CODM) assesses performance and allocates resources in accordance with FASB ASC 280, Segment Reporting. As described in Note 1, we currently manage our operations through three operating segments - billboard, logo, and transit advertising. Logo and transit advertising do not meet the criteria to be reportable segments, and accordingly, are included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We define the term CODM to be our executive management group, which consists of our Executive Chairman, President and Chief Executive Officer, and Chief Financial Officer. Net revenues, advertising expenses and segmented adjusted EBITDA are used to monitor expected versus actual results. Total advertising expenses is the expense category regularly provided to the CODM. There are no other expenses regularly provided to the CODM that are used to manage the segment's operations. Total advertising expenses are defined as direct advertising expenses and general and administrative expenses excluding stock-based compensation expense and capitalized contract fulfillment costs. Segment Adjusted EBITDA is the profitability metric reported to the Company's CODM for purposes of assessing the performance of each operating segment as well as to make decisions related to invested capital, personnel, operational improvement or training, or to allocate other company resources. 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Segment information for total assets is not presented as this information is not used by the Company’s CODM in measuring segment performance or allocating resources between segments.</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440" w:type="dxa"/>
            <w:vAlign w:val="bottom"/>
            <w:tcBorders>
              <w:bottom w:val="single" w:sz="8" w:color="CCEEFF"/>
            </w:tcBorders>
          </w:tcPr>
          <w:p>
            <w:pPr>
              <w:spacing w:after="0"/>
              <w:rPr>
                <w:sz w:val="3"/>
                <w:szCs w:val="3"/>
                <w:color w:val="auto"/>
              </w:rPr>
            </w:pPr>
          </w:p>
        </w:tc>
        <w:tc>
          <w:tcPr>
            <w:tcW w:w="4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2,013,850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1,877,823</w:t>
            </w:r>
          </w:p>
        </w:tc>
      </w:tr>
      <w:tr>
        <w:trPr>
          <w:trHeight w:val="27"/>
        </w:trPr>
        <w:tc>
          <w:tcPr>
            <w:tcW w:w="2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233,164</w:t>
            </w:r>
          </w:p>
        </w:tc>
      </w:tr>
      <w:tr>
        <w:trPr>
          <w:trHeight w:val="237"/>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r>
      <w:tr>
        <w:trPr>
          <w:trHeight w:val="27"/>
        </w:trPr>
        <w:tc>
          <w:tcPr>
            <w:tcW w:w="2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2440" w:type="dxa"/>
            <w:vAlign w:val="bottom"/>
            <w:shd w:val="clear" w:color="auto" w:fill="CCEEFF"/>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852,912</w:t>
            </w:r>
          </w:p>
        </w:tc>
      </w:tr>
      <w:tr>
        <w:trPr>
          <w:trHeight w:val="24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176,985</w:t>
            </w:r>
          </w:p>
        </w:tc>
      </w:tr>
      <w:tr>
        <w:trPr>
          <w:trHeight w:val="27"/>
        </w:trPr>
        <w:tc>
          <w:tcPr>
            <w:tcW w:w="24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1,029,897</w:t>
            </w:r>
          </w:p>
        </w:tc>
      </w:tr>
      <w:tr>
        <w:trPr>
          <w:trHeight w:val="257"/>
        </w:trPr>
        <w:tc>
          <w:tcPr>
            <w:tcW w:w="244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1,116,702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1,024,911</w:t>
            </w:r>
          </w:p>
        </w:tc>
      </w:tr>
      <w:tr>
        <w:trPr>
          <w:trHeight w:val="27"/>
        </w:trPr>
        <w:tc>
          <w:tcPr>
            <w:tcW w:w="2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56,179</w:t>
            </w:r>
          </w:p>
        </w:tc>
      </w:tr>
      <w:tr>
        <w:trPr>
          <w:trHeight w:val="270"/>
        </w:trPr>
        <w:tc>
          <w:tcPr>
            <w:tcW w:w="69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(95,366)</w:t>
            </w:r>
          </w:p>
        </w:tc>
      </w:tr>
      <w:tr>
        <w:trPr>
          <w:trHeight w:val="288"/>
        </w:trPr>
        <w:tc>
          <w:tcPr>
            <w:tcW w:w="69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1,058,243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1,033,158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985,724</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2440" w:type="dxa"/>
            <w:vAlign w:val="bottom"/>
            <w:tcBorders>
              <w:bottom w:val="single" w:sz="8" w:color="auto"/>
            </w:tcBorders>
          </w:tcPr>
          <w:p>
            <w:pPr>
              <w:spacing w:after="0"/>
              <w:rPr>
                <w:sz w:val="13"/>
                <w:szCs w:val="13"/>
                <w:color w:val="auto"/>
              </w:rPr>
            </w:pPr>
          </w:p>
        </w:tc>
        <w:tc>
          <w:tcPr>
            <w:tcW w:w="4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985,724</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(293,423)</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(172,397)</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7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614,395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506,618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New Accounting Pronouncements</w:t>
      </w:r>
    </w:p>
    <w:p>
      <w:pPr>
        <w:spacing w:after="0" w:line="254"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Disclosures, which requires companies to disclose disaggregated information related to the effective tax rate reconciliation and income taxes paid. This guidance is effective for public entities for fiscal years beginning after December 15, 2024. The Company has adopted this guidance effective for the year ended December 31, 2025.</w:t>
      </w:r>
    </w:p>
    <w:p>
      <w:pPr>
        <w:spacing w:after="0" w:line="20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about specific types of expenses included in expense captions presented on the face of the Consolidated Statement of Income and Comprehensive Income. This guidance is effective for public entities for fiscal years beginning after December 15, 2026. The Company is currently reviewing this guidance and its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1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15"/>
                <w:szCs w:val="15"/>
                <w:color w:val="auto"/>
              </w:rPr>
            </w:pPr>
          </w:p>
        </w:tc>
        <w:tc>
          <w:tcPr>
            <w:tcW w:w="11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0" w:type="dxa"/>
            <w:vAlign w:val="bottom"/>
          </w:tcPr>
          <w:p>
            <w:pPr>
              <w:spacing w:after="0"/>
              <w:rPr>
                <w:sz w:val="1"/>
                <w:szCs w:val="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0" w:type="dxa"/>
            <w:vAlign w:val="bottom"/>
          </w:tcPr>
          <w:p>
            <w:pPr>
              <w:spacing w:after="0"/>
              <w:rPr>
                <w:sz w:val="1"/>
                <w:szCs w:val="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23"/>
                <w:szCs w:val="23"/>
                <w:b w:val="1"/>
                <w:bCs w:val="1"/>
                <w:color w:val="auto"/>
                <w:vertAlign w:val="superscript"/>
              </w:rPr>
              <w:t>(1)</w:t>
            </w:r>
          </w:p>
        </w:tc>
        <w:tc>
          <w:tcPr>
            <w:tcW w:w="100" w:type="dxa"/>
            <w:vAlign w:val="bottom"/>
            <w:vMerge w:val="restart"/>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Initial Cost</w:t>
            </w:r>
            <w:r>
              <w:rPr>
                <w:rFonts w:ascii="Times New Roman" w:cs="Times New Roman" w:eastAsia="Times New Roman" w:hAnsi="Times New Roman"/>
                <w:sz w:val="23"/>
                <w:szCs w:val="23"/>
                <w:b w:val="1"/>
                <w:bCs w:val="1"/>
                <w:color w:val="auto"/>
                <w:vertAlign w:val="superscript"/>
              </w:rPr>
              <w:t>(2)</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7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10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tcPr>
          <w:p>
            <w:pPr>
              <w:jc w:val="center"/>
              <w:ind w:right="42"/>
              <w:spacing w:after="0" w:line="256" w:lineRule="exact"/>
              <w:rPr>
                <w:sz w:val="20"/>
                <w:szCs w:val="20"/>
                <w:color w:val="auto"/>
              </w:rPr>
            </w:pPr>
            <w:r>
              <w:rPr>
                <w:rFonts w:ascii="Times New Roman" w:cs="Times New Roman" w:eastAsia="Times New Roman" w:hAnsi="Times New Roman"/>
                <w:sz w:val="14"/>
                <w:szCs w:val="14"/>
                <w:b w:val="1"/>
                <w:bCs w:val="1"/>
                <w:color w:val="auto"/>
                <w:w w:val="95"/>
              </w:rPr>
              <w:t>Amount</w:t>
            </w:r>
            <w:r>
              <w:rPr>
                <w:rFonts w:ascii="Times New Roman" w:cs="Times New Roman" w:eastAsia="Times New Roman" w:hAnsi="Times New Roman"/>
                <w:sz w:val="23"/>
                <w:szCs w:val="23"/>
                <w:b w:val="1"/>
                <w:bCs w:val="1"/>
                <w:color w:val="auto"/>
                <w:w w:val="95"/>
                <w:vertAlign w:val="superscript"/>
              </w:rPr>
              <w:t>(3)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37"/>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360,791 Displays</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4,332,192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(2,893,554)</w:t>
            </w: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5 to 15 years</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asset exceeded 5% of the total gross carrying amount at December 31, 2025</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omitted, as it would be impracticable to compile such information on a site-by-site basis</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sites under construction</w:t>
      </w:r>
    </w:p>
    <w:p>
      <w:pPr>
        <w:spacing w:after="0" w:line="239"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Company’s real estate assets, which consists of advertising displays and the related accumulated depreciation.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440" w:type="dxa"/>
            <w:vAlign w:val="bottom"/>
            <w:tcBorders>
              <w:bottom w:val="single" w:sz="8" w:color="CCEEFF"/>
            </w:tcBorders>
          </w:tcPr>
          <w:p>
            <w:pPr>
              <w:spacing w:after="0"/>
              <w:rPr>
                <w:sz w:val="3"/>
                <w:szCs w:val="3"/>
                <w:color w:val="auto"/>
              </w:rPr>
            </w:pPr>
          </w:p>
        </w:tc>
        <w:tc>
          <w:tcPr>
            <w:tcW w:w="4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 estate 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4,170,086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3,883,556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3,745,006</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on new advertising displays</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80,241</w:t>
            </w:r>
          </w:p>
        </w:tc>
      </w:tr>
      <w:tr>
        <w:trPr>
          <w:trHeight w:val="243"/>
        </w:trPr>
        <w:tc>
          <w:tcPr>
            <w:tcW w:w="7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expenditures on improvements/redevelopments of new/existing advertising displays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other recurring</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w:t>
            </w:r>
          </w:p>
        </w:tc>
      </w:tr>
      <w:tr>
        <w:trPr>
          <w:trHeight w:val="243"/>
        </w:trPr>
        <w:tc>
          <w:tcPr>
            <w:tcW w:w="7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Land acquisitions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advertising displays</w:t>
            </w:r>
            <w:r>
              <w:rPr>
                <w:rFonts w:ascii="Times New Roman" w:cs="Times New Roman" w:eastAsia="Times New Roman" w:hAnsi="Times New Roman"/>
                <w:sz w:val="23"/>
                <w:szCs w:val="23"/>
                <w:color w:val="auto"/>
                <w:vertAlign w:val="superscript"/>
              </w:rPr>
              <w:t>(6)</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r>
      <w:tr>
        <w:trPr>
          <w:trHeight w:val="243"/>
        </w:trPr>
        <w:tc>
          <w:tcPr>
            <w:tcW w:w="7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7"/>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4,332,192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4,170,086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3,883,556</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7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2,440,956</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124,072</w:t>
            </w:r>
          </w:p>
        </w:tc>
      </w:tr>
      <w:tr>
        <w:trPr>
          <w:trHeight w:val="243"/>
        </w:trPr>
        <w:tc>
          <w:tcPr>
            <w:tcW w:w="7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7"/>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2,893,554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2,797,682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2,529,560</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4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2440" w:type="dxa"/>
            <w:vAlign w:val="bottom"/>
            <w:tcBorders>
              <w:bottom w:val="single" w:sz="8" w:color="auto"/>
            </w:tcBorders>
          </w:tcPr>
          <w:p>
            <w:pPr>
              <w:spacing w:after="0"/>
              <w:rPr>
                <w:sz w:val="13"/>
                <w:szCs w:val="13"/>
                <w:color w:val="auto"/>
              </w:rPr>
            </w:pPr>
          </w:p>
        </w:tc>
        <w:tc>
          <w:tcPr>
            <w:tcW w:w="4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81"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$1,424, $377 and $1,138 at December 31, 2025, 2024 and 2023, respectively</w:t>
      </w:r>
    </w:p>
    <w:p>
      <w:pPr>
        <w:spacing w:after="0" w:line="26" w:lineRule="exact"/>
        <w:rPr>
          <w:rFonts w:ascii="Times New Roman" w:cs="Times New Roman" w:eastAsia="Times New Roman" w:hAnsi="Times New Roman"/>
          <w:sz w:val="16"/>
          <w:szCs w:val="16"/>
          <w:color w:val="auto"/>
        </w:rPr>
      </w:pPr>
    </w:p>
    <w:p>
      <w:pPr>
        <w:ind w:left="340" w:hanging="332"/>
        <w:spacing w:after="0" w:line="253" w:lineRule="auto"/>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$11, $211,246 and $1,186 at December 31, 2025, 2024 and 2023, respectively. The 2024 amount relates to the revision in cost estimate included in the calculation of asset retirement obligations.</w:t>
      </w:r>
    </w:p>
    <w:p>
      <w:pPr>
        <w:ind w:left="340" w:hanging="332"/>
        <w:spacing w:after="0"/>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$5,802, $72 and $3,052 at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0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7360" w:type="dxa"/>
            <w:vAlign w:val="bottom"/>
            <w:gridSpan w:val="9"/>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LAMAR MEDIA CORP.</w:t>
            </w:r>
          </w:p>
        </w:tc>
        <w:tc>
          <w:tcPr>
            <w:tcW w:w="6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6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64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Internal Control Over Financial Reporting </w:t>
            </w:r>
            <w:r>
              <w:rPr>
                <w:rFonts w:ascii="Times New Roman" w:cs="Times New Roman" w:eastAsia="Times New Roman" w:hAnsi="Times New Roman"/>
                <w:sz w:val="18"/>
                <w:szCs w:val="18"/>
                <w:color w:val="000000"/>
              </w:rPr>
              <w:t>(KPMG LLP, Baton</w:t>
            </w:r>
          </w:p>
        </w:tc>
        <w:tc>
          <w:tcPr>
            <w:tcW w:w="64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4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Rouge, LA, Audit Firm ID: 185)</w:t>
            </w:r>
          </w:p>
        </w:tc>
        <w:tc>
          <w:tcPr>
            <w:tcW w:w="2120" w:type="dxa"/>
            <w:vAlign w:val="bottom"/>
            <w:gridSpan w:val="2"/>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20" w:type="dxa"/>
            <w:vAlign w:val="bottom"/>
          </w:tcPr>
          <w:p>
            <w:pPr>
              <w:spacing w:after="0"/>
              <w:rPr>
                <w:sz w:val="19"/>
                <w:szCs w:val="19"/>
                <w:color w:val="auto"/>
              </w:rPr>
            </w:pPr>
          </w:p>
        </w:tc>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the Consolidated Financial Statements </w:t>
            </w:r>
            <w:r>
              <w:rPr>
                <w:rFonts w:ascii="Times New Roman" w:cs="Times New Roman" w:eastAsia="Times New Roman" w:hAnsi="Times New Roman"/>
                <w:sz w:val="18"/>
                <w:szCs w:val="18"/>
                <w:color w:val="000000"/>
              </w:rPr>
              <w:t>(KPMG LLP, Baton Rouge,</w:t>
            </w:r>
          </w:p>
        </w:tc>
        <w:tc>
          <w:tcPr>
            <w:tcW w:w="6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LA, Audit Firm ID: 185)</w:t>
            </w:r>
          </w:p>
        </w:tc>
        <w:tc>
          <w:tcPr>
            <w:tcW w:w="2360" w:type="dxa"/>
            <w:vAlign w:val="bottom"/>
            <w:gridSpan w:val="3"/>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20" w:type="dxa"/>
            <w:vAlign w:val="bottom"/>
          </w:tcPr>
          <w:p>
            <w:pPr>
              <w:spacing w:after="0"/>
              <w:rPr>
                <w:sz w:val="19"/>
                <w:szCs w:val="19"/>
                <w:color w:val="auto"/>
              </w:rPr>
            </w:pP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860" w:type="dxa"/>
            <w:vAlign w:val="bottom"/>
            <w:gridSpan w:val="8"/>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50"/>
        </w:trPr>
        <w:tc>
          <w:tcPr>
            <w:tcW w:w="20" w:type="dxa"/>
            <w:vAlign w:val="bottom"/>
          </w:tcPr>
          <w:p>
            <w:pPr>
              <w:spacing w:after="0"/>
              <w:rPr>
                <w:sz w:val="21"/>
                <w:szCs w:val="21"/>
                <w:color w:val="auto"/>
              </w:rPr>
            </w:pPr>
          </w:p>
        </w:tc>
        <w:tc>
          <w:tcPr>
            <w:tcW w:w="8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2025, 2024 and 2023</w:t>
            </w:r>
          </w:p>
        </w:tc>
        <w:tc>
          <w:tcPr>
            <w:tcW w:w="18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0"/>
        </w:trPr>
        <w:tc>
          <w:tcPr>
            <w:tcW w:w="20" w:type="dxa"/>
            <w:vAlign w:val="bottom"/>
          </w:tcPr>
          <w:p>
            <w:pPr>
              <w:spacing w:after="0"/>
              <w:rPr>
                <w:sz w:val="21"/>
                <w:szCs w:val="21"/>
                <w:color w:val="auto"/>
              </w:rPr>
            </w:pPr>
          </w:p>
        </w:tc>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50"/>
        </w:trPr>
        <w:tc>
          <w:tcPr>
            <w:tcW w:w="20" w:type="dxa"/>
            <w:vAlign w:val="bottom"/>
          </w:tcPr>
          <w:p>
            <w:pPr>
              <w:spacing w:after="0"/>
              <w:rPr>
                <w:sz w:val="21"/>
                <w:szCs w:val="21"/>
                <w:color w:val="auto"/>
              </w:rPr>
            </w:pPr>
          </w:p>
        </w:tc>
        <w:tc>
          <w:tcPr>
            <w:tcW w:w="6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660" w:type="dxa"/>
            <w:vAlign w:val="bottom"/>
            <w:tcBorders>
              <w:top w:val="single" w:sz="8" w:color="0000FF"/>
            </w:tcBorders>
          </w:tcPr>
          <w:p>
            <w:pPr>
              <w:spacing w:after="0"/>
              <w:rPr>
                <w:sz w:val="21"/>
                <w:szCs w:val="21"/>
                <w:color w:val="auto"/>
              </w:rPr>
            </w:pPr>
          </w:p>
        </w:tc>
        <w:tc>
          <w:tcPr>
            <w:tcW w:w="294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6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20" w:type="dxa"/>
            <w:vAlign w:val="bottom"/>
          </w:tcPr>
          <w:p>
            <w:pPr>
              <w:spacing w:after="0"/>
              <w:rPr>
                <w:sz w:val="21"/>
                <w:szCs w:val="21"/>
                <w:color w:val="auto"/>
              </w:rPr>
            </w:pPr>
          </w:p>
        </w:tc>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2025,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7680" w:type="dxa"/>
            <w:vAlign w:val="bottom"/>
            <w:gridSpan w:val="7"/>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Schedule III — Schedule of Real Estate and Accumulated Depreciation as of December 31, 2025,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8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Lamar Media Corp.’s management assessed the effectiveness of Lamar Media Corp.’s internal control over financial reporting as of December 31, 2025.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Based on this assessment, Lamar Media Corp.’s management has concluded that, as of December 31, 2025, Lamar Media Corp.’s internal control over financial reporting is effective based on those criteria. The effectiveness of Lamar Media Corp.’s internal control over financial reporting as of December 31, 2025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Corp.: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Lamar Media Corp. and subsidiaries'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and comprehensive income, stockholder’s equity, and cash flows for each of the years in the three-year period ended December 31, 2025, and the related notes and financial statement schedules II to III (collectively, the consolidated financial statements), and our report dated February 20, 2026 expressed an unqualified opinion on those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944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Corp.: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Lamar Media Corp. and subsidiaries (the Company) as of December 31, 2025 and 2024, the related consolidated statements of income and comprehensive income, stockholder’s equity, and cash flows for each of the years in the three-year period ended December 31, 2025, and the related notes and financial statement schedules II to III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2026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 of the accounting lease term for the portfolio of billboard land leases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which refers to Note 7 to the consolidated financial statements of Lamar Advertising Company, a lessee determines the lease term at the commencement date by identifying the non-cancellable period of the lease and then adding any periods for which it is reasonably certain to exercise a renewal option (or not to exercise a termination option). The Company has approximately 71,500 billboard land leases for which they determined the lease term using a portfolio approach, in accordance with which the negotiated stated initial lease term for each billboard land lease was concluded to be the lease term under Accounting Standards Codification Topic 842, Leases (ASC 842).</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involved a high degree of subjectivity as to whether the lease term should or should not include renewal periods (including periods after an optional termination date), the evaluation of which required subjective auditor judgment.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billboard land lease process, including controls related to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94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9"/>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48,961</w:t>
            </w:r>
          </w:p>
        </w:tc>
        <w:tc>
          <w:tcPr>
            <w:tcW w:w="0" w:type="dxa"/>
            <w:vAlign w:val="bottom"/>
          </w:tcPr>
          <w:p>
            <w:pPr>
              <w:spacing w:after="0"/>
              <w:rPr>
                <w:sz w:val="1"/>
                <w:szCs w:val="1"/>
                <w:color w:val="auto"/>
              </w:rPr>
            </w:pPr>
          </w:p>
        </w:tc>
      </w:tr>
      <w:tr>
        <w:trPr>
          <w:trHeight w:val="23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$11,856 and $12,404 as of 2025 and 2024, respectively</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334,798</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53,689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459,223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424,768</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4,766,872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4,574,894</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(3,087,972)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(2,974,085)</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1,678,900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1,600,809</w:t>
            </w:r>
          </w:p>
        </w:tc>
        <w:tc>
          <w:tcPr>
            <w:tcW w:w="0" w:type="dxa"/>
            <w:vAlign w:val="bottom"/>
          </w:tcPr>
          <w:p>
            <w:pPr>
              <w:spacing w:after="0"/>
              <w:rPr>
                <w:sz w:val="1"/>
                <w:szCs w:val="1"/>
                <w:color w:val="auto"/>
              </w:rPr>
            </w:pPr>
          </w:p>
        </w:tc>
      </w:tr>
      <w:tr>
        <w:trPr>
          <w:trHeight w:val="227"/>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1,504,170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1,355,231</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8,331</w:t>
            </w:r>
          </w:p>
        </w:tc>
        <w:tc>
          <w:tcPr>
            <w:tcW w:w="0" w:type="dxa"/>
            <w:vAlign w:val="bottom"/>
          </w:tcPr>
          <w:p>
            <w:pPr>
              <w:spacing w:after="0"/>
              <w:rPr>
                <w:sz w:val="1"/>
                <w:szCs w:val="1"/>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(note 3)</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2,101,105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2,024,931</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(note 3)</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1,113,361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1,062,133</w:t>
            </w:r>
          </w:p>
        </w:tc>
        <w:tc>
          <w:tcPr>
            <w:tcW w:w="0" w:type="dxa"/>
            <w:vAlign w:val="bottom"/>
          </w:tcPr>
          <w:p>
            <w:pPr>
              <w:spacing w:after="0"/>
              <w:rPr>
                <w:sz w:val="1"/>
                <w:szCs w:val="1"/>
                <w:color w:val="auto"/>
              </w:rPr>
            </w:pPr>
          </w:p>
        </w:tc>
      </w:tr>
      <w:tr>
        <w:trPr>
          <w:trHeight w:val="23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52,974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93,604</w:t>
            </w:r>
          </w:p>
        </w:tc>
        <w:tc>
          <w:tcPr>
            <w:tcW w:w="0" w:type="dxa"/>
            <w:vAlign w:val="bottom"/>
          </w:tcPr>
          <w:p>
            <w:pPr>
              <w:spacing w:after="0"/>
              <w:rPr>
                <w:sz w:val="1"/>
                <w:szCs w:val="1"/>
                <w:color w:val="auto"/>
              </w:rPr>
            </w:pPr>
          </w:p>
        </w:tc>
      </w:tr>
      <w:tr>
        <w:trPr>
          <w:trHeight w:val="262"/>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6,915,211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3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$396 and $611 in 2025 and 2024, respectively (note 5)</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249,806</w:t>
            </w:r>
          </w:p>
        </w:tc>
        <w:tc>
          <w:tcPr>
            <w:tcW w:w="0" w:type="dxa"/>
            <w:vAlign w:val="bottom"/>
          </w:tcPr>
          <w:p>
            <w:pPr>
              <w:spacing w:after="0"/>
              <w:rPr>
                <w:sz w:val="1"/>
                <w:szCs w:val="1"/>
                <w:color w:val="auto"/>
              </w:rPr>
            </w:pPr>
          </w:p>
        </w:tc>
      </w:tr>
      <w:tr>
        <w:trPr>
          <w:trHeight w:val="23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218,108</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(note 4)</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123,282</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155,067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153,700</w:t>
            </w:r>
          </w:p>
        </w:tc>
        <w:tc>
          <w:tcPr>
            <w:tcW w:w="0" w:type="dxa"/>
            <w:vAlign w:val="bottom"/>
          </w:tcPr>
          <w:p>
            <w:pPr>
              <w:spacing w:after="0"/>
              <w:rPr>
                <w:sz w:val="1"/>
                <w:szCs w:val="1"/>
                <w:color w:val="auto"/>
              </w:rPr>
            </w:pPr>
          </w:p>
        </w:tc>
      </w:tr>
      <w:tr>
        <w:trPr>
          <w:trHeight w:val="227"/>
        </w:trPr>
        <w:tc>
          <w:tcPr>
            <w:tcW w:w="8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767,813</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$29,517 and $22,826 in 2025 and 2024, respectively (note 5)</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3,168,863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2,961,058</w:t>
            </w:r>
          </w:p>
        </w:tc>
        <w:tc>
          <w:tcPr>
            <w:tcW w:w="0" w:type="dxa"/>
            <w:vAlign w:val="bottom"/>
          </w:tcPr>
          <w:p>
            <w:pPr>
              <w:spacing w:after="0"/>
              <w:rPr>
                <w:sz w:val="1"/>
                <w:szCs w:val="1"/>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1,114,407</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0" w:type="dxa"/>
            <w:vAlign w:val="bottom"/>
          </w:tcPr>
          <w:p>
            <w:pPr>
              <w:spacing w:after="0"/>
              <w:rPr>
                <w:sz w:val="1"/>
                <w:szCs w:val="1"/>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614,713</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52,563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48,588</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5,895,611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5,527,868</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$0.01 par value, 3,000 shares authorized; 100 shares issued and outstanding at 2025 and 2024</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3,421,052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3,229,799</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33"/>
        </w:trPr>
        <w:tc>
          <w:tcPr>
            <w:tcW w:w="8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(2,411,842)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(2,185,755)</w:t>
            </w:r>
          </w:p>
        </w:tc>
        <w:tc>
          <w:tcPr>
            <w:tcW w:w="0" w:type="dxa"/>
            <w:vAlign w:val="bottom"/>
          </w:tcPr>
          <w:p>
            <w:pPr>
              <w:spacing w:after="0"/>
              <w:rPr>
                <w:sz w:val="1"/>
                <w:szCs w:val="1"/>
                <w:color w:val="auto"/>
              </w:rPr>
            </w:pPr>
          </w:p>
        </w:tc>
      </w:tr>
      <w:tr>
        <w:trPr>
          <w:trHeight w:val="253"/>
        </w:trPr>
        <w:tc>
          <w:tcPr>
            <w:tcW w:w="8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1,019,600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1,041,939</w:t>
            </w:r>
          </w:p>
        </w:tc>
        <w:tc>
          <w:tcPr>
            <w:tcW w:w="0" w:type="dxa"/>
            <w:vAlign w:val="bottom"/>
          </w:tcPr>
          <w:p>
            <w:pPr>
              <w:spacing w:after="0"/>
              <w:rPr>
                <w:sz w:val="1"/>
                <w:szCs w:val="1"/>
                <w:color w:val="auto"/>
              </w:rPr>
            </w:pPr>
          </w:p>
        </w:tc>
      </w:tr>
      <w:tr>
        <w:trPr>
          <w:trHeight w:val="261"/>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6,915,211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696,799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344,780</w:t>
            </w: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1,435,056</w:t>
            </w:r>
          </w:p>
        </w:tc>
        <w:tc>
          <w:tcPr>
            <w:tcW w:w="0" w:type="dxa"/>
            <w:vAlign w:val="bottom"/>
          </w:tcPr>
          <w:p>
            <w:pPr>
              <w:spacing w:after="0"/>
              <w:rPr>
                <w:sz w:val="1"/>
                <w:szCs w:val="1"/>
                <w:color w:val="auto"/>
              </w:rPr>
            </w:pPr>
          </w:p>
        </w:tc>
      </w:tr>
      <w:tr>
        <w:trPr>
          <w:trHeight w:val="237"/>
        </w:trPr>
        <w:tc>
          <w:tcPr>
            <w:tcW w:w="7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675,931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43"/>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0" w:type="dxa"/>
            <w:vAlign w:val="bottom"/>
          </w:tcPr>
          <w:p>
            <w:pPr>
              <w:spacing w:after="0"/>
              <w:rPr>
                <w:sz w:val="1"/>
                <w:szCs w:val="1"/>
                <w:color w:val="auto"/>
              </w:rPr>
            </w:pPr>
          </w:p>
        </w:tc>
      </w:tr>
      <w:tr>
        <w:trPr>
          <w:trHeight w:val="236"/>
        </w:trPr>
        <w:tc>
          <w:tcPr>
            <w:tcW w:w="7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168,816</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507,115</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587,689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362,435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7"/>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497,564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37"/>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587,797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359,909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496,491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(517,296)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37"/>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(585,847)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1,041,939</w:t>
            </w:r>
          </w:p>
        </w:tc>
        <w:tc>
          <w:tcPr>
            <w:tcW w:w="0" w:type="dxa"/>
            <w:vAlign w:val="bottom"/>
          </w:tcPr>
          <w:p>
            <w:pPr>
              <w:spacing w:after="0"/>
              <w:rPr>
                <w:sz w:val="1"/>
                <w:szCs w:val="1"/>
                <w:color w:val="auto"/>
              </w:rPr>
            </w:pPr>
          </w:p>
        </w:tc>
      </w:tr>
      <w:tr>
        <w:trPr>
          <w:trHeight w:val="237"/>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9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Verde Outdoor transaction</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147,642</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98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593,605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(820,054)</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98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3,421,052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(2,411,842)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8"/>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6"/>
        </w:trPr>
        <w:tc>
          <w:tcPr>
            <w:tcW w:w="7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593,605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363,507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497,333</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293,423</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Non-cash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w:t>
            </w:r>
          </w:p>
        </w:tc>
        <w:tc>
          <w:tcPr>
            <w:tcW w:w="0" w:type="dxa"/>
            <w:vAlign w:val="bottom"/>
          </w:tcPr>
          <w:p>
            <w:pPr>
              <w:spacing w:after="0"/>
              <w:rPr>
                <w:sz w:val="1"/>
                <w:szCs w:val="1"/>
                <w:color w:val="auto"/>
              </w:rPr>
            </w:pPr>
          </w:p>
        </w:tc>
      </w:tr>
      <w:tr>
        <w:trPr>
          <w:trHeight w:val="193"/>
        </w:trPr>
        <w:tc>
          <w:tcPr>
            <w:tcW w:w="7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0" w:type="dxa"/>
            <w:vAlign w:val="bottom"/>
          </w:tcPr>
          <w:p>
            <w:pPr>
              <w:spacing w:after="0"/>
              <w:rPr>
                <w:sz w:val="1"/>
                <w:szCs w:val="1"/>
                <w:color w:val="auto"/>
              </w:rPr>
            </w:pPr>
          </w:p>
        </w:tc>
      </w:tr>
      <w:tr>
        <w:trPr>
          <w:trHeight w:val="193"/>
        </w:trPr>
        <w:tc>
          <w:tcPr>
            <w:tcW w:w="7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0" w:type="dxa"/>
            <w:vAlign w:val="bottom"/>
          </w:tcPr>
          <w:p>
            <w:pPr>
              <w:spacing w:after="0"/>
              <w:rPr>
                <w:sz w:val="1"/>
                <w:szCs w:val="1"/>
                <w:color w:val="auto"/>
              </w:rPr>
            </w:pPr>
          </w:p>
        </w:tc>
      </w:tr>
      <w:tr>
        <w:trPr>
          <w:trHeight w:val="193"/>
        </w:trPr>
        <w:tc>
          <w:tcPr>
            <w:tcW w:w="7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Deferred income (benefit)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12,737</w:t>
            </w:r>
          </w:p>
        </w:tc>
        <w:tc>
          <w:tcPr>
            <w:tcW w:w="0" w:type="dxa"/>
            <w:vAlign w:val="bottom"/>
          </w:tcPr>
          <w:p>
            <w:pPr>
              <w:spacing w:after="0"/>
              <w:rPr>
                <w:sz w:val="1"/>
                <w:szCs w:val="1"/>
                <w:color w:val="auto"/>
              </w:rPr>
            </w:pPr>
          </w:p>
        </w:tc>
      </w:tr>
      <w:tr>
        <w:trPr>
          <w:trHeight w:val="193"/>
        </w:trPr>
        <w:tc>
          <w:tcPr>
            <w:tcW w:w="7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(28,744)</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193"/>
        </w:trPr>
        <w:tc>
          <w:tcPr>
            <w:tcW w:w="7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(Decrease) increase in: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Trade accounts payable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0" w:type="dxa"/>
            <w:vAlign w:val="bottom"/>
          </w:tcPr>
          <w:p>
            <w:pPr>
              <w:spacing w:after="0"/>
              <w:rPr>
                <w:sz w:val="1"/>
                <w:szCs w:val="1"/>
                <w:color w:val="auto"/>
              </w:rPr>
            </w:pPr>
          </w:p>
        </w:tc>
      </w:tr>
      <w:tr>
        <w:trPr>
          <w:trHeight w:val="193"/>
        </w:trPr>
        <w:tc>
          <w:tcPr>
            <w:tcW w:w="70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(39,154)</w:t>
            </w:r>
          </w:p>
        </w:tc>
        <w:tc>
          <w:tcPr>
            <w:tcW w:w="0" w:type="dxa"/>
            <w:vAlign w:val="bottom"/>
          </w:tcPr>
          <w:p>
            <w:pPr>
              <w:spacing w:after="0"/>
              <w:rPr>
                <w:sz w:val="1"/>
                <w:szCs w:val="1"/>
                <w:color w:val="auto"/>
              </w:rPr>
            </w:pPr>
          </w:p>
        </w:tc>
      </w:tr>
      <w:tr>
        <w:trPr>
          <w:trHeight w:val="186"/>
        </w:trPr>
        <w:tc>
          <w:tcPr>
            <w:tcW w:w="70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825,009</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837,199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756,310</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(178,271)</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(138,961)</w:t>
            </w: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7,051</w:t>
            </w:r>
          </w:p>
        </w:tc>
        <w:tc>
          <w:tcPr>
            <w:tcW w:w="0" w:type="dxa"/>
            <w:vAlign w:val="bottom"/>
          </w:tcPr>
          <w:p>
            <w:pPr>
              <w:spacing w:after="0"/>
              <w:rPr>
                <w:sz w:val="1"/>
                <w:szCs w:val="1"/>
                <w:color w:val="auto"/>
              </w:rPr>
            </w:pPr>
          </w:p>
        </w:tc>
      </w:tr>
      <w:tr>
        <w:trPr>
          <w:trHeight w:val="186"/>
        </w:trPr>
        <w:tc>
          <w:tcPr>
            <w:tcW w:w="70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(244,634)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(164,906)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(310,119)</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403,000</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(378,000)</w:t>
            </w: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senior credit facility term loans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698,250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on senior credit facility term loans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114,900</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(114,900)</w:t>
            </w: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Dividends to parent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(813,776)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(584,192)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(516,240)</w:t>
            </w:r>
          </w:p>
        </w:tc>
        <w:tc>
          <w:tcPr>
            <w:tcW w:w="0" w:type="dxa"/>
            <w:vAlign w:val="bottom"/>
          </w:tcPr>
          <w:p>
            <w:pPr>
              <w:spacing w:after="0"/>
              <w:rPr>
                <w:sz w:val="1"/>
                <w:szCs w:val="1"/>
                <w:color w:val="auto"/>
              </w:rPr>
            </w:pPr>
          </w:p>
        </w:tc>
      </w:tr>
      <w:tr>
        <w:trPr>
          <w:trHeight w:val="193"/>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42,627</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(454,332)</w:t>
            </w:r>
          </w:p>
        </w:tc>
        <w:tc>
          <w:tcPr>
            <w:tcW w:w="0" w:type="dxa"/>
            <w:vAlign w:val="bottom"/>
          </w:tcPr>
          <w:p>
            <w:pPr>
              <w:spacing w:after="0"/>
              <w:rPr>
                <w:sz w:val="1"/>
                <w:szCs w:val="1"/>
                <w:color w:val="auto"/>
              </w:rPr>
            </w:pPr>
          </w:p>
        </w:tc>
      </w:tr>
      <w:tr>
        <w:trPr>
          <w:trHeight w:val="18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0" w:type="dxa"/>
            <w:vAlign w:val="bottom"/>
          </w:tcPr>
          <w:p>
            <w:pPr>
              <w:spacing w:after="0"/>
              <w:rPr>
                <w:sz w:val="1"/>
                <w:szCs w:val="1"/>
                <w:color w:val="auto"/>
              </w:rPr>
            </w:pPr>
          </w:p>
        </w:tc>
      </w:tr>
      <w:tr>
        <w:trPr>
          <w:trHeight w:val="19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52,119</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168,011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Cash paid for state, federal, and foreign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60" w:type="dxa"/>
            <w:vAlign w:val="bottom"/>
            <w:vMerge w:val="continue"/>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29,102</w:t>
            </w:r>
          </w:p>
        </w:tc>
        <w:tc>
          <w:tcPr>
            <w:tcW w:w="10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w:t>
            </w: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082"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82"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Significant Accounting Policies</w:t>
      </w:r>
    </w:p>
    <w:p>
      <w:pPr>
        <w:spacing w:after="0" w:line="252" w:lineRule="exact"/>
        <w:rPr>
          <w:sz w:val="20"/>
          <w:szCs w:val="20"/>
          <w:color w:val="auto"/>
        </w:rPr>
      </w:pPr>
    </w:p>
    <w:p>
      <w:pPr>
        <w:ind w:left="560" w:hanging="552"/>
        <w:spacing w:after="0"/>
        <w:tabs>
          <w:tab w:leader="none" w:pos="56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 Corp. (“Lamar Media”) is a wholly owned subsidiary of Lamar Advertising Company. Lamar Media is engaged in the outdoor advertising business operating approximately 159,300 outdoor advertising displays in 45 states and Canada. Lamar Media’s operating strategy is to be the leading provider of outdoor advertising services in the markets it serves.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addition, Lamar Media operates a logo sign business in 24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is party to the Amended and Restated Limited Partnership Agreement of Lamar LP as the initial limited partner, along with its wholly owned subsidiary, Lamar Advertising General Partner, LLC, as the general partner of Lamar LP (the "General Partner") and certain other limited partners. Lamar Media formed Lamar LP and contributed all of its assets to Lamar LP in connection with the Company's reorganization as a specific type of REIT known as an UPREIT in July 2022.</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each share of common stock the Company issues, Lamar LP issues a corresponding Common Unit to Lamar Media in exchange for the contributions of the proceeds from the stock issuance. At December 31, 2025, Lamar Media, together with the General Partner, owned 98.6% of the Common Units of Lamar LP. The remaining 1.4% of the Common Units are owned by unaffiliated investors and certain executives of the Company.</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footnotes are not provided for the accompanying financial statements as the information in notes 2, 3, 5, 7, 10, 11, 12, 13, 14, 15, 16, 17, 18, 19, 20 and 22 and portions of note 1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203" w:lineRule="exact"/>
        <w:rPr>
          <w:sz w:val="20"/>
          <w:szCs w:val="20"/>
          <w:color w:val="auto"/>
        </w:rPr>
      </w:pPr>
    </w:p>
    <w:p>
      <w:pPr>
        <w:ind w:left="560" w:hanging="552"/>
        <w:spacing w:after="0"/>
        <w:tabs>
          <w:tab w:leader="none" w:pos="5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Lamar Media, its subsidiary, Lamar Advertising Limited Partnership, and Lamar Advertising Limited Partnership’s wholly owned subsidiaries, The Lamar Company, L.L.C., Lamar Central Outdoor, LLC, Lamar TRS Holdings, LLC, Lamar Advertising Southwest, LLC, Interstate Logos, L.L.C., Lamar Obie Company, LLC, Lamar Canadian Outdoor Company, Lamar QRS Receivables, LLC, Ashby Street Outdoor Holdings, LLC, Lamar-Fairway Blocker 1, LLC, Lamar-Fairway Blocker 2, LLC, Lamar Partnering Sponsor, LLC, SkyHigh Murals-Colossal Media, LLC and their majority-owned subsidiaries. All inter-company transactions and balances have been eliminated in 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Non-cash Financing and Investing Activities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the Company had non-cash investing activities related to the acquisition of Verde Outdoor of $147,642. For the year ended December 31, 2024, the Company had non-cash investing activities that resulted in an increase to the asset retirement obligation balance and carrying value of the related property, plant and equipment in the amount of $215,899, related to the revision in estimate of the Company’s asset retirement obligation. For the years ended December 31, 2025, 2024 and 2023, there were non-cash investing and financing activities for the recognition of ROU assets and lease liabilities at lease commencement as disclosed in Note 7,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Other Intangible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spacing w:after="0"/>
              <w:rPr>
                <w:sz w:val="16"/>
                <w:szCs w:val="16"/>
                <w:color w:val="auto"/>
              </w:rPr>
            </w:pPr>
          </w:p>
        </w:tc>
      </w:tr>
      <w:tr>
        <w:trPr>
          <w:trHeight w:val="37"/>
        </w:trPr>
        <w:tc>
          <w:tcPr>
            <w:tcW w:w="4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1"/>
        </w:trPr>
        <w:tc>
          <w:tcPr>
            <w:tcW w:w="4200" w:type="dxa"/>
            <w:vAlign w:val="bottom"/>
          </w:tcPr>
          <w:p>
            <w:pPr>
              <w:spacing w:after="0"/>
              <w:rPr>
                <w:sz w:val="14"/>
                <w:szCs w:val="14"/>
                <w:color w:val="auto"/>
              </w:rPr>
            </w:pPr>
          </w:p>
        </w:tc>
        <w:tc>
          <w:tcPr>
            <w:tcW w:w="156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0"/>
        </w:trPr>
        <w:tc>
          <w:tcPr>
            <w:tcW w:w="4200" w:type="dxa"/>
            <w:vAlign w:val="bottom"/>
          </w:tcPr>
          <w:p>
            <w:pPr>
              <w:spacing w:after="0"/>
              <w:rPr>
                <w:sz w:val="16"/>
                <w:szCs w:val="16"/>
                <w:color w:val="auto"/>
              </w:rPr>
            </w:pPr>
          </w:p>
        </w:tc>
        <w:tc>
          <w:tcPr>
            <w:tcW w:w="156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4200" w:type="dxa"/>
            <w:vAlign w:val="bottom"/>
            <w:tcBorders>
              <w:bottom w:val="single" w:sz="8" w:color="CFF0FC"/>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r>
      <w:tr>
        <w:trPr>
          <w:trHeight w:val="243"/>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665,095</w:t>
            </w:r>
          </w:p>
        </w:tc>
      </w:tr>
      <w:tr>
        <w:trPr>
          <w:trHeight w:val="27"/>
        </w:trPr>
        <w:tc>
          <w:tcPr>
            <w:tcW w:w="4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66,894</w:t>
            </w:r>
          </w:p>
        </w:tc>
      </w:tr>
      <w:tr>
        <w:trPr>
          <w:trHeight w:val="243"/>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2,002,272</w:t>
            </w:r>
          </w:p>
        </w:tc>
      </w:tr>
      <w:tr>
        <w:trPr>
          <w:trHeight w:val="27"/>
        </w:trPr>
        <w:tc>
          <w:tcPr>
            <w:tcW w:w="4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43,456</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42,383</w:t>
            </w:r>
          </w:p>
        </w:tc>
      </w:tr>
      <w:tr>
        <w:trPr>
          <w:trHeight w:val="237"/>
        </w:trPr>
        <w:tc>
          <w:tcPr>
            <w:tcW w:w="420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4,031,791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2,918,430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3,838,777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2,776,644</w:t>
            </w:r>
          </w:p>
        </w:tc>
      </w:tr>
      <w:tr>
        <w:trPr>
          <w:trHeight w:val="27"/>
        </w:trPr>
        <w:tc>
          <w:tcPr>
            <w:tcW w:w="4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2,353,771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2,277,597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252,666</w:t>
            </w:r>
          </w:p>
        </w:tc>
      </w:tr>
    </w:tbl>
    <w:p>
      <w:pPr>
        <w:spacing w:after="0" w:line="3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changes in the gross carrying amount of goodwill for the years ended December 31, 2025 and 2024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2,277,786</w:t>
            </w:r>
          </w:p>
        </w:tc>
        <w:tc>
          <w:tcPr>
            <w:tcW w:w="0" w:type="dxa"/>
            <w:vAlign w:val="bottom"/>
          </w:tcPr>
          <w:p>
            <w:pPr>
              <w:spacing w:after="0"/>
              <w:rPr>
                <w:sz w:val="1"/>
                <w:szCs w:val="1"/>
                <w:color w:val="auto"/>
              </w:rPr>
            </w:pPr>
          </w:p>
        </w:tc>
      </w:tr>
      <w:tr>
        <w:trPr>
          <w:trHeight w:val="243"/>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2,277,597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6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2,353,771</w:t>
            </w:r>
          </w:p>
        </w:tc>
        <w:tc>
          <w:tcPr>
            <w:tcW w:w="0" w:type="dxa"/>
            <w:vAlign w:val="bottom"/>
          </w:tcPr>
          <w:p>
            <w:pPr>
              <w:spacing w:after="0"/>
              <w:rPr>
                <w:sz w:val="1"/>
                <w:szCs w:val="1"/>
                <w:color w:val="auto"/>
              </w:rPr>
            </w:pPr>
          </w:p>
        </w:tc>
      </w:tr>
      <w:tr>
        <w:trPr>
          <w:trHeight w:val="21"/>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accrued expenses at December 31, 2025 and 2024:</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8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27,871</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Benefits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lease and contract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127,111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Debt, net of deferred</w:t>
            </w: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6"/>
                <w:szCs w:val="16"/>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37"/>
        </w:trPr>
        <w:tc>
          <w:tcPr>
            <w:tcW w:w="7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688,641</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597,364</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545,376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3/8%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393,833</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3,418,907</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(250,044)</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3,198,380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3,168,863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7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Debt, net of deferred</w:t>
            </w:r>
          </w:p>
        </w:tc>
        <w:tc>
          <w:tcPr>
            <w:tcW w:w="0" w:type="dxa"/>
            <w:vAlign w:val="bottom"/>
          </w:tcPr>
          <w:p>
            <w:pPr>
              <w:spacing w:after="0"/>
              <w:rPr>
                <w:sz w:val="1"/>
                <w:szCs w:val="1"/>
                <w:color w:val="auto"/>
              </w:rPr>
            </w:pPr>
          </w:p>
        </w:tc>
      </w:tr>
      <w:tr>
        <w:trPr>
          <w:trHeight w:val="204"/>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7"/>
                <w:szCs w:val="17"/>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37"/>
        </w:trPr>
        <w:tc>
          <w:tcPr>
            <w:tcW w:w="7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877,851</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596,198</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544,560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544,741</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3,210,864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(249,806)</w:t>
            </w:r>
          </w:p>
        </w:tc>
        <w:tc>
          <w:tcPr>
            <w:tcW w:w="0" w:type="dxa"/>
            <w:vAlign w:val="bottom"/>
          </w:tcPr>
          <w:p>
            <w:pPr>
              <w:spacing w:after="0"/>
              <w:rPr>
                <w:sz w:val="1"/>
                <w:szCs w:val="1"/>
                <w:color w:val="auto"/>
              </w:rPr>
            </w:pPr>
          </w:p>
        </w:tc>
      </w:tr>
      <w:tr>
        <w:trPr>
          <w:trHeight w:val="237"/>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2,983,884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2,961,058</w:t>
            </w:r>
          </w:p>
        </w:tc>
        <w:tc>
          <w:tcPr>
            <w:tcW w:w="0" w:type="dxa"/>
            <w:vAlign w:val="bottom"/>
          </w:tcPr>
          <w:p>
            <w:pPr>
              <w:spacing w:after="0"/>
              <w:rPr>
                <w:sz w:val="1"/>
                <w:szCs w:val="1"/>
                <w:color w:val="auto"/>
              </w:rPr>
            </w:pPr>
          </w:p>
        </w:tc>
      </w:tr>
      <w:tr>
        <w:trPr>
          <w:trHeight w:val="27"/>
        </w:trPr>
        <w:tc>
          <w:tcPr>
            <w:tcW w:w="70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Long-term debt contractual maturities are as follows: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Debt, net of deferred</w:t>
            </w: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6"/>
                <w:szCs w:val="16"/>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37"/>
        </w:trPr>
        <w:tc>
          <w:tcPr>
            <w:tcW w:w="7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250,346</w:t>
            </w:r>
          </w:p>
        </w:tc>
        <w:tc>
          <w:tcPr>
            <w:tcW w:w="100" w:type="dxa"/>
            <w:vAlign w:val="bottom"/>
          </w:tcPr>
          <w:p>
            <w:pPr>
              <w:spacing w:after="0"/>
              <w:rPr>
                <w:sz w:val="21"/>
                <w:szCs w:val="21"/>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249,950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595,064</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397,595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1,648,361</w:t>
            </w:r>
          </w:p>
        </w:tc>
        <w:tc>
          <w:tcPr>
            <w:tcW w:w="100" w:type="dxa"/>
            <w:vAlign w:val="bottom"/>
          </w:tcPr>
          <w:p>
            <w:pPr>
              <w:spacing w:after="0"/>
              <w:rPr>
                <w:sz w:val="21"/>
                <w:szCs w:val="21"/>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Affiliates, as used within these statements, are persons or entities that are affiliated with Lamar Media Corp. or its subsidiaries through common ownership and directorate control.</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was a receivable to Lamar Advertising Company, its parent, in the amount of $825 and a payable of $77, respectively.</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Effective December 31, 2025 and 2024, Lamar Advertising Company contributed $56,360 and $57,028, respectively, to Lamar Media which resulted in an increase in Lamar Media’s additional paid-in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Summarized Financial Information of Subsidiaries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5"/>
                <w:szCs w:val="15"/>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52,917</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FF0FC"/>
              <w:right w:val="single" w:sz="8" w:color="CCEEFF"/>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57,033</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FF0FC"/>
              <w:right w:val="single" w:sz="8" w:color="CCEEFF"/>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349,273</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459,223</w:t>
            </w:r>
          </w:p>
        </w:tc>
        <w:tc>
          <w:tcPr>
            <w:tcW w:w="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4,470,971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6,704,177</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288,193</w:t>
            </w: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(5,007,353)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6,455,988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462,330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267,118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782,479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1,881,921</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414,928</w:t>
            </w: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5,113,132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13,691</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700" w:type="dxa"/>
            <w:vAlign w:val="bottom"/>
          </w:tcPr>
          <w:p>
            <w:pPr>
              <w:spacing w:after="0"/>
              <w:rPr>
                <w:sz w:val="24"/>
                <w:szCs w:val="24"/>
                <w:color w:val="auto"/>
              </w:rPr>
            </w:pPr>
          </w:p>
        </w:tc>
        <w:tc>
          <w:tcPr>
            <w:tcW w:w="5780" w:type="dxa"/>
            <w:vAlign w:val="bottom"/>
            <w:gridSpan w:val="8"/>
          </w:tcPr>
          <w:p>
            <w:pPr>
              <w:jc w:val="right"/>
              <w:ind w:right="777"/>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270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38,950</w:t>
            </w:r>
          </w:p>
        </w:tc>
        <w:tc>
          <w:tcPr>
            <w:tcW w:w="2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52,617</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CEEFF"/>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333,201</w:t>
            </w: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4,302,475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6,368,402</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297,831</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(4,823,669)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6,145,039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50,707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444,841</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272,265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3,249,628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1,738,404</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384,695</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4,760,055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1,770</w:t>
            </w: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Corp.</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587,689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587,689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8460" w:type="dxa"/>
            <w:vAlign w:val="bottom"/>
            <w:gridSpan w:val="1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2024</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Corp.</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9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362,435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61"/>
        </w:trPr>
        <w:tc>
          <w:tcPr>
            <w:tcW w:w="20" w:type="dxa"/>
            <w:vAlign w:val="bottom"/>
          </w:tcPr>
          <w:p>
            <w:pPr>
              <w:spacing w:after="0"/>
              <w:rPr>
                <w:sz w:val="24"/>
                <w:szCs w:val="24"/>
                <w:color w:val="auto"/>
              </w:rPr>
            </w:pPr>
          </w:p>
        </w:tc>
        <w:tc>
          <w:tcPr>
            <w:tcW w:w="8460" w:type="dxa"/>
            <w:vAlign w:val="bottom"/>
            <w:gridSpan w:val="12"/>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2023</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9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Reporting</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440" w:type="dxa"/>
            <w:vAlign w:val="bottom"/>
            <w:tcBorders>
              <w:bottom w:val="single" w:sz="8" w:color="CCEEFF"/>
            </w:tcBorders>
          </w:tcPr>
          <w:p>
            <w:pPr>
              <w:spacing w:after="0"/>
              <w:rPr>
                <w:sz w:val="3"/>
                <w:szCs w:val="3"/>
                <w:color w:val="auto"/>
              </w:rPr>
            </w:pPr>
          </w:p>
        </w:tc>
        <w:tc>
          <w:tcPr>
            <w:tcW w:w="4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2,013,850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1,877,823</w:t>
            </w:r>
          </w:p>
        </w:tc>
      </w:tr>
      <w:tr>
        <w:trPr>
          <w:trHeight w:val="27"/>
        </w:trPr>
        <w:tc>
          <w:tcPr>
            <w:tcW w:w="2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233,164</w:t>
            </w:r>
          </w:p>
        </w:tc>
      </w:tr>
      <w:tr>
        <w:trPr>
          <w:trHeight w:val="237"/>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2,266,214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r>
      <w:tr>
        <w:trPr>
          <w:trHeight w:val="27"/>
        </w:trPr>
        <w:tc>
          <w:tcPr>
            <w:tcW w:w="2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2440" w:type="dxa"/>
            <w:vAlign w:val="bottom"/>
            <w:shd w:val="clear" w:color="auto" w:fill="CCEEFF"/>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852,912</w:t>
            </w:r>
          </w:p>
        </w:tc>
      </w:tr>
      <w:tr>
        <w:trPr>
          <w:trHeight w:val="24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176,985</w:t>
            </w:r>
          </w:p>
        </w:tc>
      </w:tr>
      <w:tr>
        <w:trPr>
          <w:trHeight w:val="27"/>
        </w:trPr>
        <w:tc>
          <w:tcPr>
            <w:tcW w:w="24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1,029,897</w:t>
            </w:r>
          </w:p>
        </w:tc>
      </w:tr>
      <w:tr>
        <w:trPr>
          <w:trHeight w:val="257"/>
        </w:trPr>
        <w:tc>
          <w:tcPr>
            <w:tcW w:w="244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1,116,702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1,024,911</w:t>
            </w:r>
          </w:p>
        </w:tc>
      </w:tr>
      <w:tr>
        <w:trPr>
          <w:trHeight w:val="27"/>
        </w:trPr>
        <w:tc>
          <w:tcPr>
            <w:tcW w:w="2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56,179</w:t>
            </w:r>
          </w:p>
        </w:tc>
      </w:tr>
      <w:tr>
        <w:trPr>
          <w:trHeight w:val="270"/>
        </w:trPr>
        <w:tc>
          <w:tcPr>
            <w:tcW w:w="69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(94,869)</w:t>
            </w:r>
          </w:p>
        </w:tc>
      </w:tr>
      <w:tr>
        <w:trPr>
          <w:trHeight w:val="244"/>
        </w:trPr>
        <w:tc>
          <w:tcPr>
            <w:tcW w:w="69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986,221</w:t>
            </w:r>
          </w:p>
        </w:tc>
      </w:tr>
      <w:tr>
        <w:trPr>
          <w:trHeight w:val="175"/>
        </w:trPr>
        <w:tc>
          <w:tcPr>
            <w:tcW w:w="244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986,221</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(293,423)</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(172,397)</w:t>
            </w: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7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614,932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368,038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Charged to Costs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Balance at End of</w:t>
            </w:r>
          </w:p>
        </w:tc>
      </w:tr>
      <w:tr>
        <w:trPr>
          <w:trHeight w:val="190"/>
        </w:trPr>
        <w:tc>
          <w:tcPr>
            <w:tcW w:w="560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6"/>
                <w:szCs w:val="16"/>
                <w:color w:val="auto"/>
              </w:rPr>
            </w:pPr>
          </w:p>
        </w:tc>
        <w:tc>
          <w:tcPr>
            <w:tcW w:w="12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37"/>
        </w:trPr>
        <w:tc>
          <w:tcPr>
            <w:tcW w:w="5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w:t>
            </w: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7"/>
        </w:trPr>
        <w:tc>
          <w:tcPr>
            <w:tcW w:w="5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Schedule of Real Estate and Accumulated Depreciation</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23"/>
                <w:szCs w:val="23"/>
                <w:b w:val="1"/>
                <w:bCs w:val="1"/>
                <w:color w:val="auto"/>
                <w:vertAlign w:val="superscript"/>
              </w:rPr>
              <w:t>(1)</w:t>
            </w:r>
          </w:p>
        </w:tc>
        <w:tc>
          <w:tcPr>
            <w:tcW w:w="120" w:type="dxa"/>
            <w:vAlign w:val="bottom"/>
            <w:vMerge w:val="restart"/>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Initial Cost</w:t>
            </w:r>
            <w:r>
              <w:rPr>
                <w:rFonts w:ascii="Times New Roman" w:cs="Times New Roman" w:eastAsia="Times New Roman" w:hAnsi="Times New Roman"/>
                <w:sz w:val="23"/>
                <w:szCs w:val="23"/>
                <w:b w:val="1"/>
                <w:bCs w:val="1"/>
                <w:color w:val="auto"/>
                <w:vertAlign w:val="superscript"/>
              </w:rPr>
              <w:t>(2)</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7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120" w:type="dxa"/>
            <w:vAlign w:val="bottom"/>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tcPr>
          <w:p>
            <w:pPr>
              <w:jc w:val="center"/>
              <w:ind w:right="42"/>
              <w:spacing w:after="0" w:line="256" w:lineRule="exact"/>
              <w:rPr>
                <w:sz w:val="20"/>
                <w:szCs w:val="20"/>
                <w:color w:val="auto"/>
              </w:rPr>
            </w:pPr>
            <w:r>
              <w:rPr>
                <w:rFonts w:ascii="Times New Roman" w:cs="Times New Roman" w:eastAsia="Times New Roman" w:hAnsi="Times New Roman"/>
                <w:sz w:val="14"/>
                <w:szCs w:val="14"/>
                <w:b w:val="1"/>
                <w:bCs w:val="1"/>
                <w:color w:val="auto"/>
                <w:w w:val="95"/>
              </w:rPr>
              <w:t>Amount</w:t>
            </w:r>
            <w:r>
              <w:rPr>
                <w:rFonts w:ascii="Times New Roman" w:cs="Times New Roman" w:eastAsia="Times New Roman" w:hAnsi="Times New Roman"/>
                <w:sz w:val="23"/>
                <w:szCs w:val="23"/>
                <w:b w:val="1"/>
                <w:bCs w:val="1"/>
                <w:color w:val="auto"/>
                <w:w w:val="95"/>
                <w:vertAlign w:val="superscript"/>
              </w:rPr>
              <w:t>(3)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Construction Date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37"/>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360,791 Displays</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4,332,192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(2,893,554)</w:t>
            </w: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5 to 15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430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asset exceeded 5% of the total gross carrying amount at December 31, 2025</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omitted, as it would be impracticable to compile such information on a site-by-site basis</w:t>
      </w:r>
    </w:p>
    <w:p>
      <w:pPr>
        <w:spacing w:after="0" w:line="1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sites under construction</w:t>
      </w:r>
    </w:p>
    <w:p>
      <w:pPr>
        <w:spacing w:after="0" w:line="226"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Company’s real estate assets, which consists of advertising displays and the related accumulated depreciation.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2440" w:type="dxa"/>
            <w:vAlign w:val="bottom"/>
            <w:tcBorders>
              <w:bottom w:val="single" w:sz="8" w:color="CCEEFF"/>
            </w:tcBorders>
          </w:tcPr>
          <w:p>
            <w:pPr>
              <w:spacing w:after="0"/>
              <w:rPr>
                <w:sz w:val="3"/>
                <w:szCs w:val="3"/>
                <w:color w:val="auto"/>
              </w:rPr>
            </w:pPr>
          </w:p>
        </w:tc>
        <w:tc>
          <w:tcPr>
            <w:tcW w:w="4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 estate 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4,170,086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3,883,556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3,745,006</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on new advertising displays</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80,241</w:t>
            </w:r>
          </w:p>
        </w:tc>
      </w:tr>
      <w:tr>
        <w:trPr>
          <w:trHeight w:val="243"/>
        </w:trPr>
        <w:tc>
          <w:tcPr>
            <w:tcW w:w="7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expenditures on improvements/redevelopments of new/existing advertising displays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other recurring</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w:t>
            </w:r>
          </w:p>
        </w:tc>
      </w:tr>
      <w:tr>
        <w:trPr>
          <w:trHeight w:val="243"/>
        </w:trPr>
        <w:tc>
          <w:tcPr>
            <w:tcW w:w="7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Land acquisitions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advertising displays</w:t>
            </w:r>
            <w:r>
              <w:rPr>
                <w:rFonts w:ascii="Times New Roman" w:cs="Times New Roman" w:eastAsia="Times New Roman" w:hAnsi="Times New Roman"/>
                <w:sz w:val="23"/>
                <w:szCs w:val="23"/>
                <w:color w:val="auto"/>
                <w:vertAlign w:val="superscript"/>
              </w:rPr>
              <w:t>(6)</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w:t>
            </w:r>
          </w:p>
        </w:tc>
      </w:tr>
      <w:tr>
        <w:trPr>
          <w:trHeight w:val="243"/>
        </w:trPr>
        <w:tc>
          <w:tcPr>
            <w:tcW w:w="7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7"/>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4,332,192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4,170,086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3,883,556</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7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2,440,956</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124,072</w:t>
            </w:r>
          </w:p>
        </w:tc>
      </w:tr>
      <w:tr>
        <w:trPr>
          <w:trHeight w:val="243"/>
        </w:trPr>
        <w:tc>
          <w:tcPr>
            <w:tcW w:w="7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7"/>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2,893,554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2,797,682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2,529,560</w:t>
            </w:r>
          </w:p>
        </w:tc>
      </w:tr>
      <w:tr>
        <w:trPr>
          <w:trHeight w:val="27"/>
        </w:trPr>
        <w:tc>
          <w:tcPr>
            <w:tcW w:w="2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24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8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$1,424, $377 and $1,138 at December 31, 2025, 2024 and 2023, respectively</w:t>
      </w:r>
    </w:p>
    <w:p>
      <w:pPr>
        <w:spacing w:after="0" w:line="23" w:lineRule="exact"/>
        <w:rPr>
          <w:rFonts w:ascii="Times New Roman" w:cs="Times New Roman" w:eastAsia="Times New Roman" w:hAnsi="Times New Roman"/>
          <w:sz w:val="16"/>
          <w:szCs w:val="16"/>
          <w:color w:val="auto"/>
        </w:rPr>
      </w:pPr>
    </w:p>
    <w:p>
      <w:pPr>
        <w:ind w:left="340" w:hanging="332"/>
        <w:spacing w:after="0" w:line="255" w:lineRule="auto"/>
        <w:tabs>
          <w:tab w:leader="none" w:pos="3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$11, $211,246 and $1,186 at December 31, 2025, 2024 and 2023, respectively. The 2024 amount relates to the revision in cost estimate included in the calculation of asset retirement obligations.</w:t>
      </w:r>
    </w:p>
    <w:p>
      <w:pPr>
        <w:ind w:left="340" w:hanging="332"/>
        <w:spacing w:after="0"/>
        <w:tabs>
          <w:tab w:leader="none" w:pos="3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$5,802, $72 and $3,052 at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040"/>
        <w:spacing w:after="0" w:line="534"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 Lamar Advertising Company</w:t>
      </w:r>
    </w:p>
    <w:p>
      <w:pPr>
        <w:spacing w:after="0" w:line="1" w:lineRule="exact"/>
        <w:rPr>
          <w:sz w:val="20"/>
          <w:szCs w:val="20"/>
          <w:color w:val="auto"/>
        </w:rPr>
      </w:pPr>
    </w:p>
    <w:p>
      <w:pPr>
        <w:jc w:val="center"/>
        <w:ind w:right="9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96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2025,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 xml:space="preserve">The Company’s Management Report on Internal Control Over Financial Reporting is set forth on page </w:t>
      </w:r>
      <w:r>
        <w:rPr>
          <w:rFonts w:ascii="Times New Roman" w:cs="Times New Roman" w:eastAsia="Times New Roman" w:hAnsi="Times New Roman"/>
          <w:sz w:val="18"/>
          <w:szCs w:val="18"/>
          <w:u w:val="single" w:color="auto"/>
          <w:color w:val="0000FF"/>
        </w:rPr>
        <w:t>48</w:t>
      </w:r>
      <w:r>
        <w:rPr>
          <w:rFonts w:ascii="Times New Roman" w:cs="Times New Roman" w:eastAsia="Times New Roman" w:hAnsi="Times New Roman"/>
          <w:sz w:val="18"/>
          <w:szCs w:val="18"/>
          <w:color w:val="auto"/>
        </w:rPr>
        <w:t xml:space="preserve"> of this combined Annual Report and is incorporated herein by reference.</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 xml:space="preserve">Lamar Media’s Management Report on Internal Control Over Financial Reporting is set forth on page </w:t>
      </w:r>
      <w:r>
        <w:rPr>
          <w:rFonts w:ascii="Times New Roman" w:cs="Times New Roman" w:eastAsia="Times New Roman" w:hAnsi="Times New Roman"/>
          <w:sz w:val="18"/>
          <w:szCs w:val="18"/>
          <w:u w:val="single" w:color="auto"/>
          <w:color w:val="0000FF"/>
        </w:rPr>
        <w:t>90</w:t>
      </w:r>
      <w:r>
        <w:rPr>
          <w:rFonts w:ascii="Times New Roman" w:cs="Times New Roman" w:eastAsia="Times New Roman" w:hAnsi="Times New Roman"/>
          <w:sz w:val="18"/>
          <w:szCs w:val="18"/>
          <w:color w:val="auto"/>
        </w:rPr>
        <w:t xml:space="preserve"> of this combined Annual Report and is incorporated herein by reference.</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have materially affected, or are reasonably likely to materially affect, the Company’s or Lamar Media’s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56" w:lineRule="exact"/>
        <w:rPr>
          <w:sz w:val="20"/>
          <w:szCs w:val="20"/>
          <w:color w:val="auto"/>
        </w:rPr>
      </w:pPr>
    </w:p>
    <w:p>
      <w:pPr>
        <w:jc w:val="center"/>
        <w:ind w:right="8559"/>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857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right="1919"/>
        <w:spacing w:after="0" w:line="534" w:lineRule="auto"/>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 Lamar Advertising Company</w:t>
      </w:r>
    </w:p>
    <w:p>
      <w:pPr>
        <w:spacing w:after="0" w:line="1" w:lineRule="exact"/>
        <w:rPr>
          <w:sz w:val="20"/>
          <w:szCs w:val="20"/>
          <w:color w:val="auto"/>
        </w:rPr>
      </w:pPr>
    </w:p>
    <w:p>
      <w:pPr>
        <w:jc w:val="center"/>
        <w:ind w:right="8559"/>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857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2026 Annual Meeting of Stockholders to be filed with the SEC within 120 days after the end of the fiscal year ended December 31, 2025.</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waiver, including any implicit waiver, from a provision of the code to any of our executive officers or directors, we will disclose the nature of such amendment or waiver in a report on Form 8-K.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2026 Annual Meeting of Stockholders to be filed with the SEC within 120 days after the end of the fiscal year ended December 31, 2025.</w:t>
      </w:r>
    </w:p>
    <w:p>
      <w:pPr>
        <w:spacing w:after="0" w:line="18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2026 Annual Meeting of Stockholders to be filed with the SEC within 120 days after the end of the fiscal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2026 Annual Meeting of Stockholders to be filed with the SEC within 120 days after the end of the fiscal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2026 Annual Meeting of Stockholders to be filed with the SEC within 120 days after the end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54" w:lineRule="exact"/>
        <w:rPr>
          <w:sz w:val="20"/>
          <w:szCs w:val="20"/>
          <w:color w:val="auto"/>
        </w:rPr>
      </w:pPr>
    </w:p>
    <w:p>
      <w:pPr>
        <w:ind w:left="860" w:hanging="285"/>
        <w:spacing w:after="0"/>
        <w:tabs>
          <w:tab w:leader="none" w:pos="8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hanging="185"/>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hanging="185"/>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54"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report are listed on the Exhibit Index immediately preceding the signature page hereto, which Exhibit Index is incorporated herein by reference.</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Exhibits required by Item 601 of Regulation S-K are listed on the Exhibit Index immediately preceding the signature page hereto.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20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8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bl>
    <w:p>
      <w:pPr>
        <w:spacing w:after="0" w:line="90"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Agreement and Plan of Merger by and between Lamar Advertising</w:t>
            </w:r>
          </w:p>
        </w:tc>
      </w:tr>
      <w:tr>
        <w:trPr>
          <w:trHeight w:val="216"/>
        </w:trPr>
        <w:tc>
          <w:tcPr>
            <w:tcW w:w="800" w:type="dxa"/>
            <w:vAlign w:val="bottom"/>
          </w:tcPr>
          <w:p>
            <w:pPr>
              <w:spacing w:after="0"/>
              <w:rPr>
                <w:sz w:val="18"/>
                <w:szCs w:val="18"/>
                <w:color w:val="auto"/>
              </w:rPr>
            </w:pP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Company (the “Company”) and Lamar Advertising REIT</w:t>
            </w:r>
          </w:p>
        </w:tc>
      </w:tr>
      <w:tr>
        <w:trPr>
          <w:trHeight w:val="234"/>
        </w:trPr>
        <w:tc>
          <w:tcPr>
            <w:tcW w:w="800" w:type="dxa"/>
            <w:vAlign w:val="bottom"/>
          </w:tcPr>
          <w:p>
            <w:pPr>
              <w:spacing w:after="0"/>
              <w:rPr>
                <w:sz w:val="20"/>
                <w:szCs w:val="20"/>
                <w:color w:val="auto"/>
              </w:rPr>
            </w:pP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Company dated August 27, 2014.</w:t>
            </w:r>
          </w:p>
        </w:tc>
      </w:tr>
      <w:tr>
        <w:trPr>
          <w:trHeight w:val="30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w:t>
            </w:r>
          </w:p>
        </w:tc>
      </w:tr>
      <w:tr>
        <w:trPr>
          <w:trHeight w:val="216"/>
        </w:trPr>
        <w:tc>
          <w:tcPr>
            <w:tcW w:w="800" w:type="dxa"/>
            <w:vAlign w:val="bottom"/>
          </w:tcPr>
          <w:p>
            <w:pPr>
              <w:spacing w:after="0"/>
              <w:rPr>
                <w:sz w:val="18"/>
                <w:szCs w:val="18"/>
                <w:color w:val="auto"/>
              </w:rPr>
            </w:pP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Company, as filed with the Secretary of State of Delaware effective</w:t>
            </w:r>
          </w:p>
        </w:tc>
      </w:tr>
      <w:tr>
        <w:trPr>
          <w:trHeight w:val="234"/>
        </w:trPr>
        <w:tc>
          <w:tcPr>
            <w:tcW w:w="800" w:type="dxa"/>
            <w:vAlign w:val="bottom"/>
          </w:tcPr>
          <w:p>
            <w:pPr>
              <w:spacing w:after="0"/>
              <w:rPr>
                <w:sz w:val="20"/>
                <w:szCs w:val="20"/>
                <w:color w:val="auto"/>
              </w:rPr>
            </w:pP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November 18, 2014.</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Certificate of Merger, effective as of November 18, 2014.</w:t>
            </w:r>
          </w:p>
        </w:tc>
      </w:tr>
      <w:tr>
        <w:trPr>
          <w:trHeight w:val="7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3(c)</w:t>
            </w: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Bylaws of the Company, adopted as of</w:t>
            </w:r>
          </w:p>
        </w:tc>
      </w:tr>
      <w:tr>
        <w:trPr>
          <w:trHeight w:val="234"/>
        </w:trPr>
        <w:tc>
          <w:tcPr>
            <w:tcW w:w="800" w:type="dxa"/>
            <w:vAlign w:val="bottom"/>
          </w:tcPr>
          <w:p>
            <w:pPr>
              <w:spacing w:after="0"/>
              <w:rPr>
                <w:sz w:val="20"/>
                <w:szCs w:val="20"/>
                <w:color w:val="auto"/>
              </w:rPr>
            </w:pP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November 18, 2014.</w:t>
            </w:r>
          </w:p>
        </w:tc>
      </w:tr>
      <w:tr>
        <w:trPr>
          <w:trHeight w:val="52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3(d)</w:t>
            </w: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Certificate of Incorporation of Lamar</w:t>
            </w:r>
          </w:p>
        </w:tc>
      </w:tr>
      <w:tr>
        <w:trPr>
          <w:trHeight w:val="234"/>
        </w:trPr>
        <w:tc>
          <w:tcPr>
            <w:tcW w:w="800" w:type="dxa"/>
            <w:vAlign w:val="bottom"/>
          </w:tcPr>
          <w:p>
            <w:pPr>
              <w:spacing w:after="0"/>
              <w:rPr>
                <w:sz w:val="20"/>
                <w:szCs w:val="20"/>
                <w:color w:val="auto"/>
              </w:rPr>
            </w:pPr>
          </w:p>
        </w:tc>
        <w:tc>
          <w:tcPr>
            <w:tcW w:w="5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Media.</w:t>
            </w:r>
          </w:p>
        </w:tc>
      </w:tr>
    </w:tbl>
    <w:p>
      <w:pPr>
        <w:spacing w:after="0" w:line="20" w:lineRule="exact"/>
        <w:rPr>
          <w:sz w:val="20"/>
          <w:szCs w:val="20"/>
          <w:color w:val="auto"/>
        </w:rPr>
      </w:pPr>
      <w:r>
        <w:rPr>
          <w:sz w:val="20"/>
          <w:szCs w:val="20"/>
          <w:color w:val="auto"/>
        </w:rPr>
        <w:br w:type="column"/>
      </w:r>
    </w:p>
    <w:p>
      <w:pPr>
        <w:ind w:right="40"/>
        <w:spacing w:after="0" w:line="26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Previously filed as Exhibit 2.1 to the Company’s Current Report on</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Form 8-K (File No. 0-30242) filed on September 2, 2014 and</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Previously filed as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Previously filed as Exhibit 3.2 to the Company’s Current Report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Previously filed as Exhibit 3.3 to the Company’s Current Report on</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120"/>
        <w:spacing w:after="0" w:line="261"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Previously filed as Exhibit 3.2 to Lamar Media’s Quarterly Report</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on Form 10-Q for the period ended March 31, 2007 (File No. 0-</w:t>
        </w:r>
      </w:hyperlink>
      <w:hyperlink r:id="rId139">
        <w:r>
          <w:rPr>
            <w:rFonts w:ascii="Times New Roman" w:cs="Times New Roman" w:eastAsia="Times New Roman" w:hAnsi="Times New Roman"/>
            <w:sz w:val="18"/>
            <w:szCs w:val="18"/>
            <w:u w:val="single" w:color="auto"/>
            <w:color w:val="0000FF"/>
          </w:rPr>
          <w:t>30242) filed on May 10, 2007 and incorporated herein by</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reference.</w:t>
        </w:r>
      </w:hyperlink>
    </w:p>
    <w:p>
      <w:pPr>
        <w:spacing w:after="0" w:line="58"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8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3(e)</w:t>
            </w:r>
          </w:p>
        </w:tc>
        <w:tc>
          <w:tcPr>
            <w:tcW w:w="5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Bylaws of Lamar Media.</w:t>
            </w:r>
          </w:p>
        </w:tc>
        <w:tc>
          <w:tcPr>
            <w:tcW w:w="4840" w:type="dxa"/>
            <w:vAlign w:val="bottom"/>
            <w:gridSpan w:val="1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Previously filed as Exhibit 3.1 to Lamar Media’s Quarterly Report</w:t>
              </w:r>
            </w:hyperlink>
          </w:p>
        </w:tc>
      </w:tr>
      <w:tr>
        <w:trPr>
          <w:trHeight w:val="196"/>
        </w:trPr>
        <w:tc>
          <w:tcPr>
            <w:tcW w:w="9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76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on Form 10-Q for the period ended September 30, 1999 (File No.</w:t>
              </w:r>
            </w:hyperlink>
          </w:p>
        </w:tc>
        <w:tc>
          <w:tcPr>
            <w:tcW w:w="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840" w:type="dxa"/>
            <w:vAlign w:val="bottom"/>
            <w:gridSpan w:val="10"/>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1-12407) filed on November 12, 1999 and incorporated herein by</w:t>
              </w:r>
            </w:hyperlink>
          </w:p>
        </w:tc>
      </w:tr>
      <w:tr>
        <w:trPr>
          <w:trHeight w:val="196"/>
        </w:trPr>
        <w:tc>
          <w:tcPr>
            <w:tcW w:w="9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70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reference.</w:t>
              </w:r>
            </w:hyperlink>
          </w:p>
        </w:tc>
        <w:tc>
          <w:tcPr>
            <w:tcW w:w="14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4(a)(1)</w:t>
            </w:r>
          </w:p>
        </w:tc>
        <w:tc>
          <w:tcPr>
            <w:tcW w:w="5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Specimen certificate for the shares of Class A common stock of the</w:t>
            </w:r>
          </w:p>
        </w:tc>
        <w:tc>
          <w:tcPr>
            <w:tcW w:w="48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Previously filed as Exhibit 4.2 to the Company’s Current Report on</w:t>
              </w:r>
            </w:hyperlink>
          </w:p>
        </w:tc>
      </w:tr>
      <w:tr>
        <w:trPr>
          <w:trHeight w:val="196"/>
        </w:trPr>
        <w:tc>
          <w:tcPr>
            <w:tcW w:w="900" w:type="dxa"/>
            <w:vAlign w:val="bottom"/>
          </w:tcPr>
          <w:p>
            <w:pPr>
              <w:spacing w:after="0"/>
              <w:rPr>
                <w:sz w:val="17"/>
                <w:szCs w:val="17"/>
                <w:color w:val="auto"/>
              </w:rPr>
            </w:pPr>
          </w:p>
        </w:tc>
        <w:tc>
          <w:tcPr>
            <w:tcW w:w="54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Company.</w:t>
            </w:r>
          </w:p>
        </w:tc>
        <w:tc>
          <w:tcPr>
            <w:tcW w:w="4840" w:type="dxa"/>
            <w:vAlign w:val="bottom"/>
            <w:gridSpan w:val="10"/>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8-K (File No. 1-36756) filed on November 19, 2014 and</w:t>
              </w:r>
            </w:hyperlink>
          </w:p>
        </w:tc>
      </w:tr>
      <w:tr>
        <w:trPr>
          <w:trHeight w:val="196"/>
        </w:trPr>
        <w:tc>
          <w:tcPr>
            <w:tcW w:w="9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incorporated herein by reference.</w:t>
              </w:r>
            </w:hyperlink>
          </w:p>
        </w:tc>
        <w:tc>
          <w:tcPr>
            <w:tcW w:w="2100" w:type="dxa"/>
            <w:vAlign w:val="bottom"/>
            <w:tcBorders>
              <w:top w:val="single" w:sz="8" w:color="0000FF"/>
            </w:tcBorders>
            <w:gridSpan w:val="2"/>
          </w:tcPr>
          <w:p>
            <w:pPr>
              <w:spacing w:after="0"/>
              <w:rPr>
                <w:sz w:val="17"/>
                <w:szCs w:val="17"/>
                <w:color w:val="auto"/>
              </w:rPr>
            </w:pPr>
          </w:p>
        </w:tc>
        <w:tc>
          <w:tcPr>
            <w:tcW w:w="360" w:type="dxa"/>
            <w:vAlign w:val="bottom"/>
            <w:gridSpan w:val="5"/>
          </w:tcPr>
          <w:p>
            <w:pPr>
              <w:spacing w:after="0"/>
              <w:rPr>
                <w:sz w:val="17"/>
                <w:szCs w:val="17"/>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4(a)(2)</w:t>
            </w:r>
          </w:p>
        </w:tc>
        <w:tc>
          <w:tcPr>
            <w:tcW w:w="5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Specimen certificate for the shares of Class B common stock of the</w:t>
            </w:r>
          </w:p>
        </w:tc>
        <w:tc>
          <w:tcPr>
            <w:tcW w:w="48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Previously filed as Exhibit 4.3 to the Company’s Current Report on</w:t>
              </w:r>
            </w:hyperlink>
          </w:p>
        </w:tc>
      </w:tr>
      <w:tr>
        <w:trPr>
          <w:trHeight w:val="196"/>
        </w:trPr>
        <w:tc>
          <w:tcPr>
            <w:tcW w:w="900" w:type="dxa"/>
            <w:vAlign w:val="bottom"/>
          </w:tcPr>
          <w:p>
            <w:pPr>
              <w:spacing w:after="0"/>
              <w:rPr>
                <w:sz w:val="17"/>
                <w:szCs w:val="17"/>
                <w:color w:val="auto"/>
              </w:rPr>
            </w:pPr>
          </w:p>
        </w:tc>
        <w:tc>
          <w:tcPr>
            <w:tcW w:w="54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Company.</w:t>
            </w:r>
          </w:p>
        </w:tc>
        <w:tc>
          <w:tcPr>
            <w:tcW w:w="4840" w:type="dxa"/>
            <w:vAlign w:val="bottom"/>
            <w:gridSpan w:val="10"/>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8-K (File No. 1-36756) filed on November 19, 2014 and</w:t>
              </w:r>
            </w:hyperlink>
          </w:p>
        </w:tc>
      </w:tr>
      <w:tr>
        <w:trPr>
          <w:trHeight w:val="196"/>
        </w:trPr>
        <w:tc>
          <w:tcPr>
            <w:tcW w:w="9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incorporated herein by reference.</w:t>
              </w:r>
            </w:hyperlink>
          </w:p>
        </w:tc>
        <w:tc>
          <w:tcPr>
            <w:tcW w:w="2100" w:type="dxa"/>
            <w:vAlign w:val="bottom"/>
            <w:tcBorders>
              <w:top w:val="single" w:sz="8" w:color="0000FF"/>
            </w:tcBorders>
            <w:gridSpan w:val="2"/>
          </w:tcPr>
          <w:p>
            <w:pPr>
              <w:spacing w:after="0"/>
              <w:rPr>
                <w:sz w:val="17"/>
                <w:szCs w:val="17"/>
                <w:color w:val="auto"/>
              </w:rPr>
            </w:pPr>
          </w:p>
        </w:tc>
        <w:tc>
          <w:tcPr>
            <w:tcW w:w="360" w:type="dxa"/>
            <w:vAlign w:val="bottom"/>
            <w:gridSpan w:val="5"/>
          </w:tcPr>
          <w:p>
            <w:pPr>
              <w:spacing w:after="0"/>
              <w:rPr>
                <w:sz w:val="17"/>
                <w:szCs w:val="17"/>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4(a)(3)</w:t>
            </w:r>
          </w:p>
        </w:tc>
        <w:tc>
          <w:tcPr>
            <w:tcW w:w="5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Description of Securities Registered Under Section 12 of the</w:t>
            </w:r>
          </w:p>
        </w:tc>
        <w:tc>
          <w:tcPr>
            <w:tcW w:w="43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Previously filed as Exhibit 4(a)(3) to the Company’s Annual</w:t>
              </w:r>
            </w:hyperlink>
          </w:p>
        </w:tc>
        <w:tc>
          <w:tcPr>
            <w:tcW w:w="500" w:type="dxa"/>
            <w:vAlign w:val="bottom"/>
            <w:gridSpan w:val="6"/>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542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Exchange Act.</w:t>
            </w:r>
          </w:p>
        </w:tc>
        <w:tc>
          <w:tcPr>
            <w:tcW w:w="46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Reporting on Form 10-K for the year ended December 31, 2019</w:t>
              </w:r>
            </w:hyperlink>
          </w:p>
        </w:tc>
        <w:tc>
          <w:tcPr>
            <w:tcW w:w="240" w:type="dxa"/>
            <w:vAlign w:val="bottom"/>
            <w:gridSpan w:val="3"/>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5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(File No. 1-36756) filed on February 20, 2020 and incorporated</w:t>
              </w:r>
            </w:hyperlink>
          </w:p>
        </w:tc>
        <w:tc>
          <w:tcPr>
            <w:tcW w:w="26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840" w:type="dxa"/>
            <w:vAlign w:val="bottom"/>
            <w:gridSpan w:val="1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herein by reference.</w:t>
              </w:r>
            </w:hyperlink>
          </w:p>
        </w:tc>
      </w:tr>
      <w:tr>
        <w:trPr>
          <w:trHeight w:val="20"/>
        </w:trPr>
        <w:tc>
          <w:tcPr>
            <w:tcW w:w="9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Indenture, dated as of February 6, 2020, between Lamar Media, the</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Guarantors named therein and The Bank of New York Mellon</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 Company, N.A., as Trustee, relating to Lamar Media’s 3</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3/4% Senior Notes due 2028.</w:t>
            </w:r>
          </w:p>
        </w:tc>
      </w:tr>
    </w:tbl>
    <w:p>
      <w:pPr>
        <w:spacing w:after="0" w:line="20" w:lineRule="exact"/>
        <w:rPr>
          <w:sz w:val="20"/>
          <w:szCs w:val="20"/>
          <w:color w:val="auto"/>
        </w:rPr>
      </w:pPr>
      <w:r>
        <w:rPr>
          <w:sz w:val="20"/>
          <w:szCs w:val="20"/>
          <w:color w:val="auto"/>
        </w:rPr>
        <w:br w:type="column"/>
      </w:r>
    </w:p>
    <w:p>
      <w:pPr>
        <w:ind w:right="40"/>
        <w:spacing w:after="0" w:line="26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Report on Form 8-K (File No. 1-36756) filed on February 12, 2020</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and 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80"/>
          </w:cols>
          <w:pgMar w:left="320" w:top="121" w:right="359" w:bottom="1440" w:gutter="0" w:footer="0" w:header="0"/>
          <w:type w:val="continuous"/>
        </w:sect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color w:val="auto"/>
        </w:rPr>
        <w:t>4(b)(2)</w:t>
      </w:r>
      <w:r>
        <w:rPr>
          <w:sz w:val="20"/>
          <w:szCs w:val="20"/>
          <w:color w:val="auto"/>
        </w:rPr>
        <w:tab/>
      </w:r>
      <w:r>
        <w:rPr>
          <w:rFonts w:ascii="Times New Roman" w:cs="Times New Roman" w:eastAsia="Times New Roman" w:hAnsi="Times New Roman"/>
          <w:sz w:val="17"/>
          <w:szCs w:val="17"/>
          <w:color w:val="auto"/>
        </w:rPr>
        <w:t>Form of 3 3/4% Senior Notes due 2028.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60"/>
        <w:spacing w:after="0" w:line="261"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Previously filed with the Indenture dated February 6, 2020, filed as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No. 1-36756) filed on February 12, 2020 and incorporated herein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620" w:space="720"/>
            <w:col w:w="488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93"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37"/>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3 3/4% Senior Exchange Notes due 2028.</w:t>
            </w:r>
          </w:p>
        </w:tc>
      </w:tr>
      <w:tr>
        <w:trPr>
          <w:trHeight w:val="95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National Association, as Trustee, dated as of February 6,</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relating to Lamar Media’s 3.750% Senior Notes due 2028.</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Association, as Trustee, dated as of February 6, 2020,</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3.750% Senior Notes due 2028.</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May 14, 2024,</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bl>
    <w:p>
      <w:pPr>
        <w:ind w:left="1320" w:right="100"/>
        <w:spacing w:after="0" w:line="255" w:lineRule="auto"/>
        <w:rPr>
          <w:sz w:val="20"/>
          <w:szCs w:val="20"/>
          <w:color w:val="auto"/>
        </w:rPr>
      </w:pPr>
      <w:r>
        <w:rPr>
          <w:rFonts w:ascii="Times New Roman" w:cs="Times New Roman" w:eastAsia="Times New Roman" w:hAnsi="Times New Roman"/>
          <w:sz w:val="18"/>
          <w:szCs w:val="18"/>
          <w:color w:val="auto"/>
        </w:rPr>
        <w:t>Trust Company, National Association, as Trustee, dated as of February 6, 2020, relating to Lamar Media’s 3.750% Senior Notes due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8" w:lineRule="exact"/>
        <w:rPr>
          <w:sz w:val="20"/>
          <w:szCs w:val="20"/>
          <w:color w:val="auto"/>
        </w:rPr>
      </w:pPr>
    </w:p>
    <w:p>
      <w:pPr>
        <w:ind w:right="20"/>
        <w:spacing w:after="0" w:line="261"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Previously filed with the Indenture dated February 6, 2020, filed as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No. 1-36756) filed on February 12, 2020 and incorporated herein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by reference.</w:t>
        </w:r>
      </w:hyperlink>
    </w:p>
    <w:p>
      <w:pPr>
        <w:spacing w:after="0" w:line="72" w:lineRule="exact"/>
        <w:rPr>
          <w:rFonts w:ascii="Times New Roman" w:cs="Times New Roman" w:eastAsia="Times New Roman" w:hAnsi="Times New Roman"/>
          <w:sz w:val="18"/>
          <w:szCs w:val="18"/>
          <w:u w:val="single" w:color="auto"/>
          <w:color w:val="0000FF"/>
        </w:rPr>
      </w:pPr>
    </w:p>
    <w:p>
      <w:pPr>
        <w:ind w:right="120"/>
        <w:spacing w:after="0" w:line="26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Previously filed as Exhibit 4.2 to Lamar Advertising’s Quarterly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and 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ind w:right="60"/>
        <w:spacing w:after="0" w:line="266"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Previously filed as Exhibit 4.2 to Lamar Advertising’s Quarterly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and 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spacing w:after="0" w:line="289" w:lineRule="auto"/>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2024 filed on August 8, 2024 and incorporated herein by reference.</w:t>
        </w:r>
      </w:hyperlink>
    </w:p>
    <w:p>
      <w:pPr>
        <w:spacing w:after="0" w:line="481"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200" w:space="14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4(b)(7)</w:t>
            </w: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July 1, 2024,</w:t>
            </w:r>
          </w:p>
        </w:tc>
      </w:tr>
      <w:tr>
        <w:trPr>
          <w:trHeight w:val="216"/>
        </w:trPr>
        <w:tc>
          <w:tcPr>
            <w:tcW w:w="90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among Lamar Media, the Guarantors named therein and U.S. Bank</w:t>
            </w:r>
          </w:p>
        </w:tc>
      </w:tr>
      <w:tr>
        <w:trPr>
          <w:trHeight w:val="216"/>
        </w:trPr>
        <w:tc>
          <w:tcPr>
            <w:tcW w:w="90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 Company, National Association, as Trustee, dated as of</w:t>
            </w:r>
          </w:p>
        </w:tc>
      </w:tr>
      <w:tr>
        <w:trPr>
          <w:trHeight w:val="216"/>
        </w:trPr>
        <w:tc>
          <w:tcPr>
            <w:tcW w:w="90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February 6, 2020, relating to Lamar Media’s 3.750% Senior Notes</w:t>
            </w:r>
          </w:p>
        </w:tc>
      </w:tr>
      <w:tr>
        <w:trPr>
          <w:trHeight w:val="234"/>
        </w:trPr>
        <w:tc>
          <w:tcPr>
            <w:tcW w:w="90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due 2028.</w:t>
            </w:r>
          </w:p>
        </w:tc>
      </w:tr>
    </w:tbl>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ind w:right="100"/>
        <w:spacing w:after="0" w:line="261"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Previously filed as Exhibit 4.2 to the Company's Quarterly Report</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on Form 10-Q (File No. 1-36756) for the period ended September</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30, 2024 filed on November 8, 2024 and incorporated herein by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reference.</w:t>
        </w:r>
      </w:hyperlink>
    </w:p>
    <w:p>
      <w:pPr>
        <w:spacing w:after="0" w:line="28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40" w:space="20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4(b)(8)</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December 6,</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2024, among Lamar Media, the Guarantors named therein and U.S.</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Bank Trust Company, National Association, as Trustee, dated as of</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February 6, 2020, relating to Lamar Media’s 3.750% Senior Notes</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due 2028.</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00"/>
        <w:spacing w:after="0" w:line="261"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Previously filed as Exhibit 4(e)(8) to the Company’s Annual</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Report on Form 10-K for the year ended December 31, 2024 (File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No. 1-36756) filed on February 20, 2025 and incorporated herein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by reference</w:t>
        </w:r>
      </w:hyperlink>
    </w:p>
    <w:p>
      <w:pPr>
        <w:spacing w:after="0" w:line="28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40"/>
          </w:cols>
          <w:pgMar w:left="320" w:top="121" w:right="399" w:bottom="1440" w:gutter="0" w:footer="0" w:header="0"/>
          <w:type w:val="continuous"/>
        </w:sectPr>
      </w:pPr>
    </w:p>
    <w:p>
      <w:pPr>
        <w:ind w:left="20"/>
        <w:spacing w:after="0"/>
        <w:tabs>
          <w:tab w:leader="none" w:pos="1300" w:val="left"/>
          <w:tab w:leader="none" w:pos="6320" w:val="left"/>
        </w:tabs>
        <w:rPr>
          <w:sz w:val="20"/>
          <w:szCs w:val="20"/>
          <w:color w:val="auto"/>
        </w:rPr>
      </w:pPr>
      <w:r>
        <w:rPr>
          <w:rFonts w:ascii="Times New Roman" w:cs="Times New Roman" w:eastAsia="Times New Roman" w:hAnsi="Times New Roman"/>
          <w:sz w:val="18"/>
          <w:szCs w:val="18"/>
          <w:color w:val="auto"/>
        </w:rPr>
        <w:t>4(b)(9)</w:t>
      </w:r>
      <w:r>
        <w:rPr>
          <w:sz w:val="20"/>
          <w:szCs w:val="20"/>
          <w:color w:val="auto"/>
        </w:rPr>
        <w:tab/>
      </w:r>
      <w:r>
        <w:rPr>
          <w:rFonts w:ascii="Times New Roman" w:cs="Times New Roman" w:eastAsia="Times New Roman" w:hAnsi="Times New Roman"/>
          <w:sz w:val="18"/>
          <w:szCs w:val="18"/>
          <w:color w:val="auto"/>
        </w:rPr>
        <w:t>Supplemental Indenture to the Indenture dated as of November 7,</w:t>
      </w:r>
      <w:r>
        <w:rPr>
          <w:sz w:val="20"/>
          <w:szCs w:val="20"/>
          <w:color w:val="auto"/>
        </w:rPr>
        <w:tab/>
      </w:r>
      <w:r>
        <w:rPr>
          <w:rFonts w:ascii="Times New Roman" w:cs="Times New Roman" w:eastAsia="Times New Roman" w:hAnsi="Times New Roman"/>
          <w:sz w:val="17"/>
          <w:szCs w:val="17"/>
          <w:u w:val="single" w:color="auto"/>
          <w:color w:val="0000FF"/>
        </w:rPr>
        <w:t>Filed herewith.</w:t>
      </w:r>
    </w:p>
    <w:p>
      <w:pPr>
        <w:spacing w:after="0" w:line="27"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2025, among Lamar Media, the Guarantors named therein and U.S.</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Bank Trust Company, National Association, as Trustee, dated as of</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February 6, 2020, relating to Lamar Media’s 3.750% Senior Notes</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due 2028.</w:t>
      </w:r>
    </w:p>
    <w:p>
      <w:pPr>
        <w:sectPr>
          <w:pgSz w:w="11900" w:h="16838" w:orient="portrait"/>
          <w:cols w:equalWidth="0" w:num="1">
            <w:col w:w="11180"/>
          </w:cols>
          <w:pgMar w:left="320" w:top="121" w:right="399" w:bottom="1440" w:gutter="0" w:footer="0" w:header="0"/>
          <w:type w:val="continuous"/>
        </w:sectPr>
      </w:pPr>
    </w:p>
    <w:p>
      <w:pPr>
        <w:spacing w:after="0" w:line="99"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4(c)(1)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Indenture, dated as of February 6, 2020, between Lamar Media, the</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Guarantors named therein and The Bank of New York Mellon</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 Company, N.A., as Trustee, relating to Lamar Media’s 4%</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Senior Notes due 2030.</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4(c)(2)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4% Senior Notes due 2030.</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9" w:lineRule="exact"/>
        <w:rPr>
          <w:rFonts w:ascii="Times New Roman" w:cs="Times New Roman" w:eastAsia="Times New Roman" w:hAnsi="Times New Roman"/>
          <w:sz w:val="18"/>
          <w:szCs w:val="18"/>
          <w:u w:val="single" w:color="auto"/>
          <w:color w:val="0000FF"/>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79" w:lineRule="exact"/>
        <w:rPr>
          <w:rFonts w:ascii="Times New Roman" w:cs="Times New Roman" w:eastAsia="Times New Roman" w:hAnsi="Times New Roman"/>
          <w:sz w:val="18"/>
          <w:szCs w:val="18"/>
          <w:u w:val="single" w:color="auto"/>
          <w:color w:val="0000FF"/>
        </w:rPr>
      </w:pPr>
    </w:p>
    <w:p>
      <w:pPr>
        <w:spacing w:after="0" w:line="266"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Previously filed as Exhibit 4.2 to Lamar Advertising’s Current</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Report on Form 8-K (File No. 1-36756) filed on February 12, 2020</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and 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ind w:right="20"/>
        <w:spacing w:after="0" w:line="261"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Previously filed with the Indenture dated February 6, 2020, filed as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Exhibit 4.2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No. 1-36756) filed on February 12, 2020 and incorporated herein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180" w:space="160"/>
            <w:col w:w="4840"/>
          </w:cols>
          <w:pgMar w:left="320" w:top="121" w:right="3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37"/>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Senior Exchange Notes due 2030.</w:t>
            </w:r>
          </w:p>
        </w:tc>
      </w:tr>
      <w:tr>
        <w:trPr>
          <w:trHeight w:val="95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National Association, as Trustee, dated as of February 6,</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relating to Lamar Media’s 4.000% Senior Notes due 2030.</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Association, as Trustee, dated as of February 6, 2020,</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4.000% Senior Notes due 2030.</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May 14, 2024,</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bl>
    <w:p>
      <w:pPr>
        <w:ind w:left="1320" w:right="100"/>
        <w:spacing w:after="0" w:line="255" w:lineRule="auto"/>
        <w:rPr>
          <w:sz w:val="20"/>
          <w:szCs w:val="20"/>
          <w:color w:val="auto"/>
        </w:rPr>
      </w:pPr>
      <w:r>
        <w:rPr>
          <w:rFonts w:ascii="Times New Roman" w:cs="Times New Roman" w:eastAsia="Times New Roman" w:hAnsi="Times New Roman"/>
          <w:sz w:val="18"/>
          <w:szCs w:val="18"/>
          <w:color w:val="auto"/>
        </w:rPr>
        <w:t>Trust Company, National Association, as Trustee, dated as of February 6, 2020, relating to Lamar Media’s 4.000% Senior Notes due 2030.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68" w:lineRule="exact"/>
        <w:rPr>
          <w:sz w:val="20"/>
          <w:szCs w:val="20"/>
          <w:color w:val="auto"/>
        </w:rPr>
      </w:pPr>
    </w:p>
    <w:p>
      <w:pPr>
        <w:ind w:right="40"/>
        <w:spacing w:after="0" w:line="261"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Previously filed with the Indenture dated February 6, 2020, filed as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Exhibit 4.2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No. 1-36756) filed on February 12, 2020 and incorporated herein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by reference.</w:t>
        </w:r>
      </w:hyperlink>
    </w:p>
    <w:p>
      <w:pPr>
        <w:spacing w:after="0" w:line="72"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Previously filed as Exhibit 4.3 to Lamar Advertising’s Quarterly</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and 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ind w:right="80"/>
        <w:spacing w:after="0" w:line="266"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Previously filed as Exhibit 4.3 to Lamar Advertising’s Quarterly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and 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ind w:right="20"/>
        <w:spacing w:after="0" w:line="289"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2024 filed on August 8, 2024 and incorporated herein by reference.</w:t>
        </w:r>
      </w:hyperlink>
    </w:p>
    <w:p>
      <w:pPr>
        <w:spacing w:after="0" w:line="481"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200" w:space="140"/>
            <w:col w:w="4860"/>
          </w:cols>
          <w:pgMar w:left="320" w:top="121" w:right="37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4(c)(7)</w:t>
            </w: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July 1, 2024,</w:t>
            </w:r>
          </w:p>
        </w:tc>
      </w:tr>
      <w:tr>
        <w:trPr>
          <w:trHeight w:val="216"/>
        </w:trPr>
        <w:tc>
          <w:tcPr>
            <w:tcW w:w="90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among Lamar Media, the Guarantors named therein and U.S. Bank</w:t>
            </w:r>
          </w:p>
        </w:tc>
      </w:tr>
      <w:tr>
        <w:trPr>
          <w:trHeight w:val="216"/>
        </w:trPr>
        <w:tc>
          <w:tcPr>
            <w:tcW w:w="90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 Company, National Association, as Trustee, dated as of</w:t>
            </w:r>
          </w:p>
        </w:tc>
      </w:tr>
      <w:tr>
        <w:trPr>
          <w:trHeight w:val="216"/>
        </w:trPr>
        <w:tc>
          <w:tcPr>
            <w:tcW w:w="90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February 6, 2020, relating to Lamar Media’s 4.000% Senior Notes</w:t>
            </w:r>
          </w:p>
        </w:tc>
      </w:tr>
      <w:tr>
        <w:trPr>
          <w:trHeight w:val="234"/>
        </w:trPr>
        <w:tc>
          <w:tcPr>
            <w:tcW w:w="90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due 2030.</w:t>
            </w:r>
          </w:p>
        </w:tc>
      </w:tr>
    </w:tbl>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ind w:right="120"/>
        <w:spacing w:after="0" w:line="261"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Previously filed as Exhibit 4.3 to the Company's Quarterly Report</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on Form 10-Q (File No. 1-36756) for the period ended September</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30, 2024 filed on November 8, 2024 and incorporated herein by</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reference.</w:t>
        </w:r>
      </w:hyperlink>
    </w:p>
    <w:p>
      <w:pPr>
        <w:spacing w:after="0" w:line="28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40" w:space="200"/>
            <w:col w:w="4860"/>
          </w:cols>
          <w:pgMar w:left="320" w:top="121" w:right="37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4(c)(8)</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December 6,</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2024, among Lamar Media, the Guarantors named therein and U.S.</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Bank Trust Company, National Association, as Trustee, dated as of</w:t>
            </w:r>
          </w:p>
        </w:tc>
      </w:tr>
    </w:tbl>
    <w:p>
      <w:pPr>
        <w:ind w:left="1320" w:right="80"/>
        <w:spacing w:after="0" w:line="260" w:lineRule="auto"/>
        <w:rPr>
          <w:sz w:val="20"/>
          <w:szCs w:val="20"/>
          <w:color w:val="auto"/>
        </w:rPr>
      </w:pPr>
      <w:r>
        <w:rPr>
          <w:rFonts w:ascii="Times New Roman" w:cs="Times New Roman" w:eastAsia="Times New Roman" w:hAnsi="Times New Roman"/>
          <w:sz w:val="18"/>
          <w:szCs w:val="18"/>
          <w:color w:val="auto"/>
        </w:rPr>
        <w:t>February 6, 2020, relating to Lamar Media’s 4.000% Senior Notes due 2030.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1"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Previously filed as Exhibit 4(f)(8) to the Company’s Annual Report</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on Form 10-K for the year ended December 31, 2024 (File No. 1-</w:t>
        </w:r>
      </w:hyperlink>
      <w:hyperlink r:id="rId159">
        <w:r>
          <w:rPr>
            <w:rFonts w:ascii="Times New Roman" w:cs="Times New Roman" w:eastAsia="Times New Roman" w:hAnsi="Times New Roman"/>
            <w:sz w:val="18"/>
            <w:szCs w:val="18"/>
            <w:u w:val="single" w:color="auto"/>
            <w:color w:val="0000FF"/>
          </w:rPr>
          <w:t>36756) filed on February 20, 2025 and incorporated herein by</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reference.</w:t>
        </w:r>
      </w:hyperlink>
    </w:p>
    <w:p>
      <w:pPr>
        <w:spacing w:after="0" w:line="28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60"/>
          </w:cols>
          <w:pgMar w:left="320" w:top="121" w:right="379" w:bottom="1440" w:gutter="0" w:footer="0" w:header="0"/>
          <w:type w:val="continuous"/>
        </w:sectPr>
      </w:pPr>
    </w:p>
    <w:p>
      <w:pPr>
        <w:ind w:left="20"/>
        <w:spacing w:after="0"/>
        <w:tabs>
          <w:tab w:leader="none" w:pos="1300" w:val="left"/>
          <w:tab w:leader="none" w:pos="6320" w:val="left"/>
        </w:tabs>
        <w:rPr>
          <w:sz w:val="20"/>
          <w:szCs w:val="20"/>
          <w:color w:val="auto"/>
        </w:rPr>
      </w:pPr>
      <w:r>
        <w:rPr>
          <w:rFonts w:ascii="Times New Roman" w:cs="Times New Roman" w:eastAsia="Times New Roman" w:hAnsi="Times New Roman"/>
          <w:sz w:val="18"/>
          <w:szCs w:val="18"/>
          <w:color w:val="auto"/>
        </w:rPr>
        <w:t>4(c)(9)</w:t>
      </w:r>
      <w:r>
        <w:rPr>
          <w:sz w:val="20"/>
          <w:szCs w:val="20"/>
          <w:color w:val="auto"/>
        </w:rPr>
        <w:tab/>
      </w:r>
      <w:r>
        <w:rPr>
          <w:rFonts w:ascii="Times New Roman" w:cs="Times New Roman" w:eastAsia="Times New Roman" w:hAnsi="Times New Roman"/>
          <w:sz w:val="18"/>
          <w:szCs w:val="18"/>
          <w:color w:val="auto"/>
        </w:rPr>
        <w:t>Supplemental Indenture to the Indenture dated as of November 7,</w:t>
      </w:r>
      <w:r>
        <w:rPr>
          <w:sz w:val="20"/>
          <w:szCs w:val="20"/>
          <w:color w:val="auto"/>
        </w:rPr>
        <w:tab/>
      </w:r>
      <w:r>
        <w:rPr>
          <w:rFonts w:ascii="Times New Roman" w:cs="Times New Roman" w:eastAsia="Times New Roman" w:hAnsi="Times New Roman"/>
          <w:sz w:val="17"/>
          <w:szCs w:val="17"/>
          <w:u w:val="single" w:color="auto"/>
          <w:color w:val="0000FF"/>
        </w:rPr>
        <w:t>Filed herewith.</w:t>
      </w:r>
    </w:p>
    <w:p>
      <w:pPr>
        <w:spacing w:after="0" w:line="27"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2025, among Lamar Media, the Guarantors named therein and U.S.</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Bank Trust Company, National Association, as Trustee, dated as of</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February 6, 2020, relating to Lamar Media’s 4.000% Senior Notes</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due 2030.</w:t>
      </w:r>
    </w:p>
    <w:p>
      <w:pPr>
        <w:sectPr>
          <w:pgSz w:w="11900" w:h="16838" w:orient="portrait"/>
          <w:cols w:equalWidth="0" w:num="1">
            <w:col w:w="11200"/>
          </w:cols>
          <w:pgMar w:left="320" w:top="121" w:right="379" w:bottom="1440" w:gutter="0" w:footer="0" w:header="0"/>
          <w:type w:val="continuous"/>
        </w:sectPr>
      </w:pPr>
    </w:p>
    <w:p>
      <w:pPr>
        <w:spacing w:after="0" w:line="99"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4(d)(1)</w:t>
            </w:r>
          </w:p>
        </w:tc>
        <w:tc>
          <w:tcPr>
            <w:tcW w:w="50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Indenture, dated as of May 13, 2020, between Lamar Media, the</w:t>
            </w:r>
          </w:p>
        </w:tc>
      </w:tr>
      <w:tr>
        <w:trPr>
          <w:trHeight w:val="216"/>
        </w:trPr>
        <w:tc>
          <w:tcPr>
            <w:tcW w:w="900" w:type="dxa"/>
            <w:vAlign w:val="bottom"/>
          </w:tcPr>
          <w:p>
            <w:pPr>
              <w:spacing w:after="0"/>
              <w:rPr>
                <w:sz w:val="18"/>
                <w:szCs w:val="18"/>
                <w:color w:val="auto"/>
              </w:rPr>
            </w:pPr>
          </w:p>
        </w:tc>
        <w:tc>
          <w:tcPr>
            <w:tcW w:w="5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Guarantors named therein and The Bank of New York Mellon</w:t>
            </w:r>
          </w:p>
        </w:tc>
      </w:tr>
      <w:tr>
        <w:trPr>
          <w:trHeight w:val="216"/>
        </w:trPr>
        <w:tc>
          <w:tcPr>
            <w:tcW w:w="900" w:type="dxa"/>
            <w:vAlign w:val="bottom"/>
          </w:tcPr>
          <w:p>
            <w:pPr>
              <w:spacing w:after="0"/>
              <w:rPr>
                <w:sz w:val="18"/>
                <w:szCs w:val="18"/>
                <w:color w:val="auto"/>
              </w:rPr>
            </w:pPr>
          </w:p>
        </w:tc>
        <w:tc>
          <w:tcPr>
            <w:tcW w:w="5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 Company, N.A., as Trustee, relating to Lamar Media’s 4</w:t>
            </w:r>
          </w:p>
        </w:tc>
      </w:tr>
      <w:tr>
        <w:trPr>
          <w:trHeight w:val="234"/>
        </w:trPr>
        <w:tc>
          <w:tcPr>
            <w:tcW w:w="900" w:type="dxa"/>
            <w:vAlign w:val="bottom"/>
          </w:tcPr>
          <w:p>
            <w:pPr>
              <w:spacing w:after="0"/>
              <w:rPr>
                <w:sz w:val="20"/>
                <w:szCs w:val="20"/>
                <w:color w:val="auto"/>
              </w:rPr>
            </w:pPr>
          </w:p>
        </w:tc>
        <w:tc>
          <w:tcPr>
            <w:tcW w:w="5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7/8% Senior Notes due 2029.</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4(d)(2)</w:t>
            </w:r>
          </w:p>
        </w:tc>
        <w:tc>
          <w:tcPr>
            <w:tcW w:w="5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4 7/8% Senior Notes due 2029.</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9" w:lineRule="exact"/>
        <w:rPr>
          <w:rFonts w:ascii="Times New Roman" w:cs="Times New Roman" w:eastAsia="Times New Roman" w:hAnsi="Times New Roman"/>
          <w:sz w:val="18"/>
          <w:szCs w:val="18"/>
          <w:u w:val="single" w:color="auto"/>
          <w:color w:val="0000FF"/>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79"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Report on Form 8-K (File No. 1-36756) filed on May 19, 2020 and</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jc w:val="both"/>
        <w:ind w:right="260"/>
        <w:spacing w:after="0" w:line="261"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Previously filed with the Indenture dated May 13, 2020, filed as</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No. 1-36756) filed on May 19, 2020 and incorporated herein by</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5940" w:space="400"/>
            <w:col w:w="4860"/>
          </w:cols>
          <w:pgMar w:left="320" w:top="121" w:right="37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2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180" w:type="dxa"/>
            <w:vAlign w:val="bottom"/>
            <w:gridSpan w:val="11"/>
          </w:tcPr>
          <w:p>
            <w:pPr>
              <w:ind w:left="100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13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4(d)(3)</w:t>
            </w: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of 4 7/8% Senior Exchange Notes due 2029.</w:t>
            </w:r>
          </w:p>
        </w:tc>
        <w:tc>
          <w:tcPr>
            <w:tcW w:w="20" w:type="dxa"/>
            <w:vAlign w:val="bottom"/>
          </w:tcPr>
          <w:p>
            <w:pPr>
              <w:spacing w:after="0"/>
              <w:rPr>
                <w:sz w:val="17"/>
                <w:szCs w:val="17"/>
                <w:color w:val="auto"/>
              </w:rPr>
            </w:pPr>
          </w:p>
        </w:tc>
        <w:tc>
          <w:tcPr>
            <w:tcW w:w="46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Previously filed with the Indenture dated May 13, 2020, filed as</w:t>
              </w:r>
            </w:hyperlink>
          </w:p>
        </w:tc>
        <w:tc>
          <w:tcPr>
            <w:tcW w:w="28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12"/>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Exhibit 4.1 to the Company’s Current Report on Form 8-K (File</w:t>
              </w:r>
            </w:hyperlink>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No. 1-36756) filed on May 19, 2020 and incorporated herein by</w:t>
              </w:r>
            </w:hyperlink>
          </w:p>
        </w:tc>
        <w:tc>
          <w:tcPr>
            <w:tcW w:w="28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reference.</w:t>
              </w:r>
            </w:hyperlink>
          </w:p>
        </w:tc>
        <w:tc>
          <w:tcPr>
            <w:tcW w:w="300" w:type="dxa"/>
            <w:vAlign w:val="bottom"/>
            <w:gridSpan w:val="8"/>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4(d)(4)</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20" w:type="dxa"/>
            <w:vAlign w:val="bottom"/>
          </w:tcPr>
          <w:p>
            <w:pPr>
              <w:spacing w:after="0"/>
              <w:rPr>
                <w:sz w:val="24"/>
                <w:szCs w:val="24"/>
                <w:color w:val="auto"/>
              </w:rPr>
            </w:pPr>
          </w:p>
        </w:tc>
        <w:tc>
          <w:tcPr>
            <w:tcW w:w="4880" w:type="dxa"/>
            <w:vAlign w:val="bottom"/>
            <w:gridSpan w:val="1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Previously filed as Exhibit 4.4 to Lamar Advertising’s Quarterly</w:t>
              </w:r>
            </w:hyperlink>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20" w:type="dxa"/>
            <w:vAlign w:val="bottom"/>
          </w:tcPr>
          <w:p>
            <w:pPr>
              <w:spacing w:after="0"/>
              <w:rPr>
                <w:sz w:val="17"/>
                <w:szCs w:val="17"/>
                <w:color w:val="auto"/>
              </w:rPr>
            </w:pPr>
          </w:p>
        </w:tc>
        <w:tc>
          <w:tcPr>
            <w:tcW w:w="4880" w:type="dxa"/>
            <w:vAlign w:val="bottom"/>
            <w:gridSpan w:val="12"/>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Report for the period ended March 31, 2022 filed on May 5, 2022</w:t>
              </w:r>
            </w:hyperlink>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Bank National Association, as Trustee, dated as of May 13, 2020,</w:t>
            </w:r>
          </w:p>
        </w:tc>
        <w:tc>
          <w:tcPr>
            <w:tcW w:w="20" w:type="dxa"/>
            <w:vAlign w:val="bottom"/>
          </w:tcPr>
          <w:p>
            <w:pPr>
              <w:spacing w:after="0"/>
              <w:rPr>
                <w:sz w:val="17"/>
                <w:szCs w:val="17"/>
                <w:color w:val="auto"/>
              </w:rPr>
            </w:pPr>
          </w:p>
        </w:tc>
        <w:tc>
          <w:tcPr>
            <w:tcW w:w="472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and incorporated herein by reference.</w:t>
              </w:r>
            </w:hyperlink>
          </w:p>
        </w:tc>
        <w:tc>
          <w:tcPr>
            <w:tcW w:w="160" w:type="dxa"/>
            <w:vAlign w:val="bottom"/>
            <w:gridSpan w:val="5"/>
          </w:tcPr>
          <w:p>
            <w:pPr>
              <w:spacing w:after="0"/>
              <w:rPr>
                <w:sz w:val="17"/>
                <w:szCs w:val="17"/>
                <w:color w:val="auto"/>
              </w:rPr>
            </w:pPr>
          </w:p>
        </w:tc>
      </w:tr>
      <w:tr>
        <w:trPr>
          <w:trHeight w:val="237"/>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relating to Lamar Media’s 4.875% Senior Notes due 2029.</w:t>
            </w:r>
          </w:p>
        </w:tc>
        <w:tc>
          <w:tcPr>
            <w:tcW w:w="2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980" w:type="dxa"/>
            <w:vAlign w:val="bottom"/>
            <w:tcBorders>
              <w:top w:val="single" w:sz="8" w:color="0000FF"/>
            </w:tcBorders>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4(d)(5)</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20" w:type="dxa"/>
            <w:vAlign w:val="bottom"/>
          </w:tcPr>
          <w:p>
            <w:pPr>
              <w:spacing w:after="0"/>
              <w:rPr>
                <w:sz w:val="24"/>
                <w:szCs w:val="24"/>
                <w:color w:val="auto"/>
              </w:rPr>
            </w:pPr>
          </w:p>
        </w:tc>
        <w:tc>
          <w:tcPr>
            <w:tcW w:w="4880" w:type="dxa"/>
            <w:vAlign w:val="bottom"/>
            <w:gridSpan w:val="1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Previously filed as Exhibit 4.4 to Lamar Advertising’s Quarterly</w:t>
              </w:r>
            </w:hyperlink>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20" w:type="dxa"/>
            <w:vAlign w:val="bottom"/>
          </w:tcPr>
          <w:p>
            <w:pPr>
              <w:spacing w:after="0"/>
              <w:rPr>
                <w:sz w:val="17"/>
                <w:szCs w:val="17"/>
                <w:color w:val="auto"/>
              </w:rPr>
            </w:pPr>
          </w:p>
        </w:tc>
        <w:tc>
          <w:tcPr>
            <w:tcW w:w="47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Report for the period ended June 30, 2022 filed on August 3, 2022</w:t>
              </w:r>
            </w:hyperlink>
          </w:p>
        </w:tc>
        <w:tc>
          <w:tcPr>
            <w:tcW w:w="10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National Association, as Trustee, dated as of May 13, 2020,</w:t>
            </w:r>
          </w:p>
        </w:tc>
        <w:tc>
          <w:tcPr>
            <w:tcW w:w="20" w:type="dxa"/>
            <w:vAlign w:val="bottom"/>
          </w:tcPr>
          <w:p>
            <w:pPr>
              <w:spacing w:after="0"/>
              <w:rPr>
                <w:sz w:val="17"/>
                <w:szCs w:val="17"/>
                <w:color w:val="auto"/>
              </w:rPr>
            </w:pPr>
          </w:p>
        </w:tc>
        <w:tc>
          <w:tcPr>
            <w:tcW w:w="4880" w:type="dxa"/>
            <w:vAlign w:val="bottom"/>
            <w:gridSpan w:val="12"/>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and incorporated herein by reference.</w:t>
              </w:r>
            </w:hyperlink>
          </w:p>
        </w:tc>
      </w:tr>
      <w:tr>
        <w:trPr>
          <w:trHeight w:val="237"/>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relating to Lamar Media’s 4.875% Senior Notes due 2029.</w:t>
            </w:r>
          </w:p>
        </w:tc>
        <w:tc>
          <w:tcPr>
            <w:tcW w:w="2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980" w:type="dxa"/>
            <w:vAlign w:val="bottom"/>
            <w:tcBorders>
              <w:top w:val="single" w:sz="8" w:color="0000FF"/>
            </w:tcBorders>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0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4(d)(6)</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May 14, 2024,</w:t>
            </w:r>
          </w:p>
        </w:tc>
        <w:tc>
          <w:tcPr>
            <w:tcW w:w="20" w:type="dxa"/>
            <w:vAlign w:val="bottom"/>
          </w:tcPr>
          <w:p>
            <w:pPr>
              <w:spacing w:after="0"/>
              <w:rPr>
                <w:sz w:val="24"/>
                <w:szCs w:val="24"/>
                <w:color w:val="auto"/>
              </w:rPr>
            </w:pPr>
          </w:p>
        </w:tc>
        <w:tc>
          <w:tcPr>
            <w:tcW w:w="47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Previously filed as Exhibit 4.4 to the Company's Quarterly Report</w:t>
              </w:r>
            </w:hyperlink>
          </w:p>
        </w:tc>
        <w:tc>
          <w:tcPr>
            <w:tcW w:w="12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20" w:type="dxa"/>
            <w:vAlign w:val="bottom"/>
          </w:tcPr>
          <w:p>
            <w:pPr>
              <w:spacing w:after="0"/>
              <w:rPr>
                <w:sz w:val="17"/>
                <w:szCs w:val="17"/>
                <w:color w:val="auto"/>
              </w:rPr>
            </w:pPr>
          </w:p>
        </w:tc>
        <w:tc>
          <w:tcPr>
            <w:tcW w:w="4880" w:type="dxa"/>
            <w:vAlign w:val="bottom"/>
            <w:gridSpan w:val="12"/>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on Form 10-Q (File No. 1-36756) for the period ended June 30,</w:t>
              </w:r>
            </w:hyperlink>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Trust Company, National Association, as Trustee, dated as of May</w:t>
            </w:r>
          </w:p>
        </w:tc>
        <w:tc>
          <w:tcPr>
            <w:tcW w:w="20" w:type="dxa"/>
            <w:vAlign w:val="bottom"/>
          </w:tcPr>
          <w:p>
            <w:pPr>
              <w:spacing w:after="0"/>
              <w:rPr>
                <w:sz w:val="17"/>
                <w:szCs w:val="17"/>
                <w:color w:val="auto"/>
              </w:rPr>
            </w:pPr>
          </w:p>
        </w:tc>
        <w:tc>
          <w:tcPr>
            <w:tcW w:w="4880" w:type="dxa"/>
            <w:vAlign w:val="bottom"/>
            <w:gridSpan w:val="12"/>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2024 filed on August 8, 2024 and incorporated herein by reference.</w:t>
              </w:r>
            </w:hyperlink>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 2020, relating to Lamar Media’s 4.875% Senior Notes due</w:t>
            </w:r>
          </w:p>
        </w:tc>
        <w:tc>
          <w:tcPr>
            <w:tcW w:w="20" w:type="dxa"/>
            <w:vAlign w:val="bottom"/>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980" w:type="dxa"/>
            <w:vAlign w:val="bottom"/>
            <w:tcBorders>
              <w:top w:val="single" w:sz="8" w:color="0000FF"/>
            </w:tcBorders>
          </w:tcPr>
          <w:p>
            <w:pPr>
              <w:spacing w:after="0"/>
              <w:rPr>
                <w:sz w:val="18"/>
                <w:szCs w:val="18"/>
                <w:color w:val="auto"/>
              </w:rPr>
            </w:pPr>
          </w:p>
        </w:tc>
        <w:tc>
          <w:tcPr>
            <w:tcW w:w="18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4(d)(7)</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July 1, 2024,</w:t>
            </w:r>
          </w:p>
        </w:tc>
        <w:tc>
          <w:tcPr>
            <w:tcW w:w="20" w:type="dxa"/>
            <w:vAlign w:val="bottom"/>
          </w:tcPr>
          <w:p>
            <w:pPr>
              <w:spacing w:after="0"/>
              <w:rPr>
                <w:sz w:val="24"/>
                <w:szCs w:val="24"/>
                <w:color w:val="auto"/>
              </w:rPr>
            </w:pPr>
          </w:p>
        </w:tc>
        <w:tc>
          <w:tcPr>
            <w:tcW w:w="47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Previously filed as Exhibit 4.4 to the Company's Quarterly Report</w:t>
              </w:r>
            </w:hyperlink>
          </w:p>
        </w:tc>
        <w:tc>
          <w:tcPr>
            <w:tcW w:w="12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20" w:type="dxa"/>
            <w:vAlign w:val="bottom"/>
          </w:tcPr>
          <w:p>
            <w:pPr>
              <w:spacing w:after="0"/>
              <w:rPr>
                <w:sz w:val="17"/>
                <w:szCs w:val="17"/>
                <w:color w:val="auto"/>
              </w:rPr>
            </w:pPr>
          </w:p>
        </w:tc>
        <w:tc>
          <w:tcPr>
            <w:tcW w:w="47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on Form 10-Q (File No. 1-36756) for the period ended September</w:t>
              </w:r>
            </w:hyperlink>
          </w:p>
        </w:tc>
        <w:tc>
          <w:tcPr>
            <w:tcW w:w="14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Trust Company, National Association, as Trustee, dated as of May</w:t>
            </w:r>
          </w:p>
        </w:tc>
        <w:tc>
          <w:tcPr>
            <w:tcW w:w="20" w:type="dxa"/>
            <w:vAlign w:val="bottom"/>
          </w:tcPr>
          <w:p>
            <w:pPr>
              <w:spacing w:after="0"/>
              <w:rPr>
                <w:sz w:val="17"/>
                <w:szCs w:val="17"/>
                <w:color w:val="auto"/>
              </w:rPr>
            </w:pPr>
          </w:p>
        </w:tc>
        <w:tc>
          <w:tcPr>
            <w:tcW w:w="4880" w:type="dxa"/>
            <w:vAlign w:val="bottom"/>
            <w:gridSpan w:val="12"/>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30, 2024 filed on November 8, 2024 and incorporated herein by</w:t>
              </w:r>
            </w:hyperlink>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13, 2020, relating to Lamar Media’s 4.875% Senior Notes due</w:t>
            </w:r>
          </w:p>
        </w:tc>
        <w:tc>
          <w:tcPr>
            <w:tcW w:w="20" w:type="dxa"/>
            <w:vAlign w:val="bottom"/>
          </w:tcPr>
          <w:p>
            <w:pPr>
              <w:spacing w:after="0"/>
              <w:rPr>
                <w:sz w:val="17"/>
                <w:szCs w:val="17"/>
                <w:color w:val="auto"/>
              </w:rPr>
            </w:pPr>
          </w:p>
        </w:tc>
        <w:tc>
          <w:tcPr>
            <w:tcW w:w="458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reference.</w:t>
              </w:r>
            </w:hyperlink>
          </w:p>
        </w:tc>
        <w:tc>
          <w:tcPr>
            <w:tcW w:w="300" w:type="dxa"/>
            <w:vAlign w:val="bottom"/>
            <w:gridSpan w:val="8"/>
          </w:tcPr>
          <w:p>
            <w:pPr>
              <w:spacing w:after="0"/>
              <w:rPr>
                <w:sz w:val="17"/>
                <w:szCs w:val="17"/>
                <w:color w:val="auto"/>
              </w:rPr>
            </w:pPr>
          </w:p>
        </w:tc>
      </w:tr>
      <w:tr>
        <w:trPr>
          <w:trHeight w:val="236"/>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4(d)(8)</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December 6,</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2024, among Lamar Media, the Guarantors named therein and U.S.</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Bank Trust Company, National Association, as Trustee, dated as of</w:t>
            </w:r>
          </w:p>
        </w:tc>
      </w:tr>
      <w:tr>
        <w:trPr>
          <w:trHeight w:val="216"/>
        </w:trPr>
        <w:tc>
          <w:tcPr>
            <w:tcW w:w="90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May 13, 2020, relating to Lamar Media’s 4.875% Senior Notes due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2029.</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4(d)(9)</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November 7,</w:t>
            </w:r>
          </w:p>
        </w:tc>
      </w:tr>
      <w:tr>
        <w:trPr>
          <w:trHeight w:val="202"/>
        </w:trPr>
        <w:tc>
          <w:tcPr>
            <w:tcW w:w="900" w:type="dxa"/>
            <w:vAlign w:val="bottom"/>
          </w:tcPr>
          <w:p>
            <w:pPr>
              <w:spacing w:after="0"/>
              <w:rPr>
                <w:sz w:val="17"/>
                <w:szCs w:val="17"/>
                <w:color w:val="auto"/>
              </w:rPr>
            </w:pPr>
          </w:p>
        </w:tc>
        <w:tc>
          <w:tcPr>
            <w:tcW w:w="526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w w:val="99"/>
              </w:rPr>
              <w:t>2025, among Lamar Media, the Guarantors named therein and U.S.</w:t>
            </w:r>
          </w:p>
        </w:tc>
      </w:tr>
      <w:tr>
        <w:trPr>
          <w:trHeight w:val="203"/>
        </w:trPr>
        <w:tc>
          <w:tcPr>
            <w:tcW w:w="900" w:type="dxa"/>
            <w:vAlign w:val="bottom"/>
          </w:tcPr>
          <w:p>
            <w:pPr>
              <w:spacing w:after="0"/>
              <w:rPr>
                <w:sz w:val="17"/>
                <w:szCs w:val="17"/>
                <w:color w:val="auto"/>
              </w:rPr>
            </w:pPr>
          </w:p>
        </w:tc>
        <w:tc>
          <w:tcPr>
            <w:tcW w:w="526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w w:val="99"/>
              </w:rPr>
              <w:t>Bank Trust Company, National Association, as Trustee, dated as of</w:t>
            </w:r>
          </w:p>
        </w:tc>
      </w:tr>
      <w:tr>
        <w:trPr>
          <w:trHeight w:val="203"/>
        </w:trPr>
        <w:tc>
          <w:tcPr>
            <w:tcW w:w="900" w:type="dxa"/>
            <w:vAlign w:val="bottom"/>
          </w:tcPr>
          <w:p>
            <w:pPr>
              <w:spacing w:after="0"/>
              <w:rPr>
                <w:sz w:val="17"/>
                <w:szCs w:val="17"/>
                <w:color w:val="auto"/>
              </w:rPr>
            </w:pPr>
          </w:p>
        </w:tc>
        <w:tc>
          <w:tcPr>
            <w:tcW w:w="526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w w:val="99"/>
              </w:rPr>
              <w:t>May 13, 2020, relating to Lamar Media’s 4.875% Senior Notes due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2029.</w:t>
            </w:r>
          </w:p>
        </w:tc>
      </w:tr>
      <w:tr>
        <w:trPr>
          <w:trHeight w:val="27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4(e)(1)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Indenture, dated as of January 22, 2021, between Lamar Media, the</w:t>
            </w:r>
          </w:p>
        </w:tc>
      </w:tr>
      <w:tr>
        <w:trPr>
          <w:trHeight w:val="202"/>
        </w:trPr>
        <w:tc>
          <w:tcPr>
            <w:tcW w:w="900" w:type="dxa"/>
            <w:vAlign w:val="bottom"/>
          </w:tcPr>
          <w:p>
            <w:pPr>
              <w:spacing w:after="0"/>
              <w:rPr>
                <w:sz w:val="17"/>
                <w:szCs w:val="17"/>
                <w:color w:val="auto"/>
              </w:rPr>
            </w:pPr>
          </w:p>
        </w:tc>
        <w:tc>
          <w:tcPr>
            <w:tcW w:w="526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r>
      <w:tr>
        <w:trPr>
          <w:trHeight w:val="203"/>
        </w:trPr>
        <w:tc>
          <w:tcPr>
            <w:tcW w:w="900" w:type="dxa"/>
            <w:vAlign w:val="bottom"/>
          </w:tcPr>
          <w:p>
            <w:pPr>
              <w:spacing w:after="0"/>
              <w:rPr>
                <w:sz w:val="17"/>
                <w:szCs w:val="17"/>
                <w:color w:val="auto"/>
              </w:rPr>
            </w:pPr>
          </w:p>
        </w:tc>
        <w:tc>
          <w:tcPr>
            <w:tcW w:w="526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Trust Company, N.A., as Trustee, relating to Lamar Media’s</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3.625% Senior Notes due 2031.</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4(e)(2)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3.625% Senior Notes due 2031.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61"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Previously filed as Exhibit 4(g)(8) to the Company’s Annual</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Report on Form 10-K for the year ended December 31, 2024 (File</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No. 1-36756) filed on February 20, 2025 and incorporated herein</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by reference.</w:t>
        </w:r>
      </w:hyperlink>
    </w:p>
    <w:p>
      <w:pPr>
        <w:spacing w:after="0" w:line="274"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4" w:lineRule="exact"/>
        <w:rPr>
          <w:rFonts w:ascii="Times New Roman" w:cs="Times New Roman" w:eastAsia="Times New Roman" w:hAnsi="Times New Roman"/>
          <w:sz w:val="18"/>
          <w:szCs w:val="18"/>
          <w:u w:val="single" w:color="auto"/>
          <w:color w:val="0000FF"/>
        </w:rPr>
      </w:pPr>
    </w:p>
    <w:p>
      <w:pPr>
        <w:ind w:right="140"/>
        <w:spacing w:after="0" w:line="250"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Report on Form 8-K (File No. 1-36756) filed on January 28, 2021</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and incorporated herein by reference.</w:t>
        </w:r>
      </w:hyperlink>
    </w:p>
    <w:p>
      <w:pPr>
        <w:spacing w:after="0" w:line="271" w:lineRule="exact"/>
        <w:rPr>
          <w:rFonts w:ascii="Times New Roman" w:cs="Times New Roman" w:eastAsia="Times New Roman" w:hAnsi="Times New Roman"/>
          <w:sz w:val="18"/>
          <w:szCs w:val="18"/>
          <w:u w:val="single" w:color="auto"/>
          <w:color w:val="0000FF"/>
        </w:rPr>
      </w:pPr>
    </w:p>
    <w:p>
      <w:pPr>
        <w:ind w:right="60"/>
        <w:spacing w:after="0" w:line="245"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Previously filed with the Indenture dated January 22, 2021, filed as</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No. 1-36756) filed on January 28, 2021 and incorporated herein by</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6180" w:space="160"/>
            <w:col w:w="4880"/>
          </w:cols>
          <w:pgMar w:left="320" w:top="121" w:right="35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37"/>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3.625% Senior Exchange Notes due 2031.</w:t>
            </w:r>
          </w:p>
        </w:tc>
      </w:tr>
      <w:tr>
        <w:trPr>
          <w:trHeight w:val="90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National Association, as Trustee, dated as of January 22,</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relating to Lamar Media’s 3.625% Senior Notes due 2031.</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Association, as Trustee, dated as of January 22, 2021,</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3.625% Senior Notes due 2031.</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May 14, 2024,</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Company, National Association, as Trustee, dated as of</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22, 2021, relating to Lamar Media’s 3.625% Senior Notes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2031.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5" w:lineRule="exact"/>
        <w:rPr>
          <w:sz w:val="20"/>
          <w:szCs w:val="20"/>
          <w:color w:val="auto"/>
        </w:rPr>
      </w:pPr>
    </w:p>
    <w:p>
      <w:pPr>
        <w:ind w:right="20"/>
        <w:spacing w:after="0" w:line="245"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Previously filed with the Indenture dated January 22, 2021, filed as</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No. 1-36756) filed on January 28, 2021 and incorporated herein by</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reference.</w:t>
        </w:r>
      </w:hyperlink>
    </w:p>
    <w:p>
      <w:pPr>
        <w:spacing w:after="0" w:line="86" w:lineRule="exact"/>
        <w:rPr>
          <w:rFonts w:ascii="Times New Roman" w:cs="Times New Roman" w:eastAsia="Times New Roman" w:hAnsi="Times New Roman"/>
          <w:sz w:val="18"/>
          <w:szCs w:val="18"/>
          <w:u w:val="single" w:color="auto"/>
          <w:color w:val="0000FF"/>
        </w:rPr>
      </w:pPr>
    </w:p>
    <w:p>
      <w:pPr>
        <w:ind w:right="120"/>
        <w:spacing w:after="0" w:line="266"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Previously filed as Exhibit 4.1 to Lamar Advertising’s Quarterly</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and 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ind w:right="60"/>
        <w:spacing w:after="0" w:line="26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Previously filed as Exhibit 4.1 to Lamar Advertising’s Quarterly</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and 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spacing w:after="0" w:line="289" w:lineRule="auto"/>
        <w:rPr>
          <w:rFonts w:ascii="Times New Roman" w:cs="Times New Roman" w:eastAsia="Times New Roman" w:hAnsi="Times New Roman"/>
          <w:sz w:val="17"/>
          <w:szCs w:val="17"/>
          <w:u w:val="single" w:color="auto"/>
          <w:color w:val="0000FF"/>
        </w:rPr>
      </w:pPr>
      <w:hyperlink r:id="rId172">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2024 filed on August 8, 2024 and incorporated herein by reference.</w:t>
        </w:r>
      </w:hyperlink>
    </w:p>
    <w:p>
      <w:pPr>
        <w:spacing w:after="0" w:line="482"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6200" w:space="14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4(e)(7)</w:t>
            </w: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July 1, 2024,</w:t>
            </w:r>
          </w:p>
        </w:tc>
      </w:tr>
      <w:tr>
        <w:trPr>
          <w:trHeight w:val="216"/>
        </w:trPr>
        <w:tc>
          <w:tcPr>
            <w:tcW w:w="90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among Lamar Media, the Guarantors named therein and U.S. Bank</w:t>
            </w:r>
          </w:p>
        </w:tc>
      </w:tr>
      <w:tr>
        <w:trPr>
          <w:trHeight w:val="234"/>
        </w:trPr>
        <w:tc>
          <w:tcPr>
            <w:tcW w:w="900" w:type="dxa"/>
            <w:vAlign w:val="bottom"/>
          </w:tcPr>
          <w:p>
            <w:pPr>
              <w:spacing w:after="0"/>
              <w:rPr>
                <w:sz w:val="20"/>
                <w:szCs w:val="20"/>
                <w:color w:val="auto"/>
              </w:rPr>
            </w:pPr>
          </w:p>
        </w:tc>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 Company, National Association, as Trustee, dated as of</w:t>
            </w:r>
          </w:p>
        </w:tc>
      </w:tr>
    </w:tbl>
    <w:p>
      <w:pPr>
        <w:ind w:left="1320" w:right="40"/>
        <w:spacing w:after="0" w:line="260" w:lineRule="auto"/>
        <w:rPr>
          <w:sz w:val="20"/>
          <w:szCs w:val="20"/>
          <w:color w:val="auto"/>
        </w:rPr>
      </w:pPr>
      <w:r>
        <w:rPr>
          <w:rFonts w:ascii="Times New Roman" w:cs="Times New Roman" w:eastAsia="Times New Roman" w:hAnsi="Times New Roman"/>
          <w:sz w:val="18"/>
          <w:szCs w:val="18"/>
          <w:color w:val="auto"/>
        </w:rPr>
        <w:t>January 22, 2021, relating to Lamar Media’s 3.625% Senior Notes due 2031.</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ind w:right="100"/>
        <w:spacing w:after="0" w:line="261"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Previously filed as Exhibit 4.1 to the Company's Quarterly Report</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on Form 10-Q (File No. 1-36756) for the period ended September</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30, 2024 filed on November 8, 2024 and incorporated herein by</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reference.</w:t>
        </w:r>
      </w:hyperlink>
    </w:p>
    <w:p>
      <w:pPr>
        <w:spacing w:after="0" w:line="28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40" w:space="20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4(e)(8)</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December 6,</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2024, among Lamar Media, the Guarantors named therein and U.S.</w:t>
            </w:r>
          </w:p>
        </w:tc>
      </w:tr>
    </w:tbl>
    <w:p>
      <w:pPr>
        <w:jc w:val="both"/>
        <w:ind w:left="1320" w:right="40"/>
        <w:spacing w:after="0" w:line="255" w:lineRule="auto"/>
        <w:rPr>
          <w:sz w:val="20"/>
          <w:szCs w:val="20"/>
          <w:color w:val="auto"/>
        </w:rPr>
      </w:pPr>
      <w:r>
        <w:rPr>
          <w:rFonts w:ascii="Times New Roman" w:cs="Times New Roman" w:eastAsia="Times New Roman" w:hAnsi="Times New Roman"/>
          <w:sz w:val="18"/>
          <w:szCs w:val="18"/>
          <w:color w:val="auto"/>
        </w:rPr>
        <w:t>Bank Trust Company, National Association, as Trustee, dated as of January 22, 2021, relating to Lamar Media’s 3.625% Senior Notes due 2031.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00"/>
        <w:spacing w:after="0" w:line="261"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Previously filed as Exhibit 4(h)(8) to the Company’s Annual</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Report on Form 10-K for the year ended December 31, 2024 (File</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No. 1-36756) filed on February 20, 2025 and incorporated herein</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by reference.</w:t>
        </w:r>
      </w:hyperlink>
    </w:p>
    <w:p>
      <w:pPr>
        <w:spacing w:after="0" w:line="28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40"/>
          </w:cols>
          <w:pgMar w:left="320" w:top="121" w:right="399" w:bottom="1440" w:gutter="0" w:footer="0" w:header="0"/>
          <w:type w:val="continuous"/>
        </w:sectPr>
      </w:pPr>
    </w:p>
    <w:p>
      <w:pPr>
        <w:ind w:left="20"/>
        <w:spacing w:after="0"/>
        <w:tabs>
          <w:tab w:leader="none" w:pos="1300" w:val="left"/>
          <w:tab w:leader="none" w:pos="6320" w:val="left"/>
        </w:tabs>
        <w:rPr>
          <w:sz w:val="20"/>
          <w:szCs w:val="20"/>
          <w:color w:val="auto"/>
        </w:rPr>
      </w:pPr>
      <w:r>
        <w:rPr>
          <w:rFonts w:ascii="Times New Roman" w:cs="Times New Roman" w:eastAsia="Times New Roman" w:hAnsi="Times New Roman"/>
          <w:sz w:val="18"/>
          <w:szCs w:val="18"/>
          <w:color w:val="auto"/>
        </w:rPr>
        <w:t>4(e)(9)</w:t>
      </w:r>
      <w:r>
        <w:rPr>
          <w:sz w:val="20"/>
          <w:szCs w:val="20"/>
          <w:color w:val="auto"/>
        </w:rPr>
        <w:tab/>
      </w:r>
      <w:r>
        <w:rPr>
          <w:rFonts w:ascii="Times New Roman" w:cs="Times New Roman" w:eastAsia="Times New Roman" w:hAnsi="Times New Roman"/>
          <w:sz w:val="18"/>
          <w:szCs w:val="18"/>
          <w:color w:val="auto"/>
        </w:rPr>
        <w:t>Supplemental Indenture to the Indenture dated as of November 7,</w:t>
      </w:r>
      <w:r>
        <w:rPr>
          <w:sz w:val="20"/>
          <w:szCs w:val="20"/>
          <w:color w:val="auto"/>
        </w:rPr>
        <w:tab/>
      </w:r>
      <w:r>
        <w:rPr>
          <w:rFonts w:ascii="Times New Roman" w:cs="Times New Roman" w:eastAsia="Times New Roman" w:hAnsi="Times New Roman"/>
          <w:sz w:val="17"/>
          <w:szCs w:val="17"/>
          <w:u w:val="single" w:color="auto"/>
          <w:color w:val="0000FF"/>
        </w:rPr>
        <w:t>Filed herewith.</w:t>
      </w:r>
    </w:p>
    <w:p>
      <w:pPr>
        <w:spacing w:after="0" w:line="27"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2025, among Lamar Media, the Guarantors named therein and U.S.</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Bank Trust Company, National Association, as Trustee, dated as of</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January 22, 2021, relating to Lamar Media’s 3.625% Senior Notes</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due 2031.</w:t>
      </w:r>
    </w:p>
    <w:p>
      <w:pPr>
        <w:sectPr>
          <w:pgSz w:w="11900" w:h="16838" w:orient="portrait"/>
          <w:cols w:equalWidth="0" w:num="1">
            <w:col w:w="11180"/>
          </w:cols>
          <w:pgMar w:left="320" w:top="121" w:right="399" w:bottom="1440" w:gutter="0" w:footer="0" w:header="0"/>
          <w:type w:val="continuous"/>
        </w:sectPr>
      </w:pPr>
    </w:p>
    <w:p>
      <w:pPr>
        <w:spacing w:after="0" w:line="99"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4(f)(1)</w:t>
            </w:r>
          </w:p>
        </w:tc>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Indenture, dated as of September 25, 2025, among Lamar Media,</w:t>
            </w:r>
          </w:p>
        </w:tc>
      </w:tr>
      <w:tr>
        <w:trPr>
          <w:trHeight w:val="216"/>
        </w:trPr>
        <w:tc>
          <w:tcPr>
            <w:tcW w:w="90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Guarantors named therein and U.S. Bank Trust Company,</w:t>
            </w:r>
          </w:p>
        </w:tc>
      </w:tr>
      <w:tr>
        <w:trPr>
          <w:trHeight w:val="216"/>
        </w:trPr>
        <w:tc>
          <w:tcPr>
            <w:tcW w:w="90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National Association, as Trustee, relating to Lamar Media’s</w:t>
            </w:r>
          </w:p>
        </w:tc>
      </w:tr>
      <w:tr>
        <w:trPr>
          <w:trHeight w:val="234"/>
        </w:trPr>
        <w:tc>
          <w:tcPr>
            <w:tcW w:w="900" w:type="dxa"/>
            <w:vAlign w:val="bottom"/>
          </w:tcPr>
          <w:p>
            <w:pPr>
              <w:spacing w:after="0"/>
              <w:rPr>
                <w:sz w:val="20"/>
                <w:szCs w:val="20"/>
                <w:color w:val="auto"/>
              </w:rPr>
            </w:pPr>
          </w:p>
        </w:tc>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5.375% Senior Notes due 2033.</w:t>
            </w: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4(f)(2)</w:t>
            </w:r>
          </w:p>
        </w:tc>
        <w:tc>
          <w:tcPr>
            <w:tcW w:w="5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5.375% Senior Notes due 2033.</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9" w:lineRule="exact"/>
        <w:rPr>
          <w:rFonts w:ascii="Times New Roman" w:cs="Times New Roman" w:eastAsia="Times New Roman" w:hAnsi="Times New Roman"/>
          <w:sz w:val="18"/>
          <w:szCs w:val="18"/>
          <w:u w:val="single" w:color="auto"/>
          <w:color w:val="0000FF"/>
        </w:rPr>
      </w:pPr>
    </w:p>
    <w:p>
      <w:pPr>
        <w:ind w:left="55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79" w:lineRule="exact"/>
        <w:rPr>
          <w:rFonts w:ascii="Times New Roman" w:cs="Times New Roman" w:eastAsia="Times New Roman" w:hAnsi="Times New Roman"/>
          <w:sz w:val="18"/>
          <w:szCs w:val="18"/>
          <w:u w:val="single" w:color="auto"/>
          <w:color w:val="0000FF"/>
        </w:rPr>
      </w:pPr>
    </w:p>
    <w:p>
      <w:pPr>
        <w:spacing w:after="0" w:line="266"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Form 8-K (File No. 1-36756) filed on October 1, 2025 and</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spacing w:after="0" w:line="261"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Previously filed with the Indenture dated September 25, 2025, filed</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as 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No. 1-36756) filed on October 1, 2025 and incorporated herein by</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6020" w:space="320"/>
            <w:col w:w="4840"/>
          </w:cols>
          <w:pgMar w:left="320" w:top="121" w:right="3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2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r>
      <w:tr>
        <w:trPr>
          <w:trHeight w:val="196"/>
        </w:trPr>
        <w:tc>
          <w:tcPr>
            <w:tcW w:w="13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4(f)(3)</w:t>
            </w: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Indenture to the Indenture dated as of November 7,</w:t>
            </w:r>
          </w:p>
        </w:tc>
        <w:tc>
          <w:tcPr>
            <w:tcW w:w="4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Filed herewith.</w:t>
            </w: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among Lamar Media, the Guarantors named therein and U.S.</w:t>
            </w:r>
          </w:p>
        </w:tc>
        <w:tc>
          <w:tcPr>
            <w:tcW w:w="20" w:type="dxa"/>
            <w:vAlign w:val="bottom"/>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Trust Company, National Association, as Trustee, dated as of</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25, 2025, relating to Lamar Media’s 5.375% Senior</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due 2033.</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4(g)</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of Resignation, Appointment and Acceptance, dated as</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of June 14, 2021, by and among Lamar Media, as issuer, U.S. Bank</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National Association, as successor trustee, and The Bank of New</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York Mellon Trust Company, N.A., as resigning trustee.</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10(a)(1)*</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Lamar Advertising Company 1996 Equity Incentive Plan, as</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by the Board of Directors on December 12,</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2019.</w:t>
            </w:r>
          </w:p>
        </w:tc>
      </w:tr>
    </w:tbl>
    <w:p>
      <w:pPr>
        <w:spacing w:after="0" w:line="20" w:lineRule="exact"/>
        <w:rPr>
          <w:sz w:val="20"/>
          <w:szCs w:val="20"/>
          <w:color w:val="auto"/>
        </w:rPr>
      </w:pPr>
      <w:r>
        <w:rPr>
          <w:sz w:val="20"/>
          <w:szCs w:val="20"/>
          <w:color w:val="auto"/>
        </w:rPr>
        <w:br w:type="column"/>
      </w:r>
    </w:p>
    <w:p>
      <w:pPr>
        <w:ind w:right="60"/>
        <w:spacing w:after="0" w:line="266"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Report on Form 8-K (File No. 1-36756) filed on June 21, 2021 and</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ind w:right="140"/>
        <w:spacing w:after="0" w:line="261"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Previously filed as Exhibit 10(a)(1) to the Company’s Annual</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Report on Form 10-K for the year ended December 31, 2019 (File</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No. 1-36756) filed on February 20, 2020 and incorporated herein</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by reference.</w:t>
        </w:r>
      </w:hyperlink>
    </w:p>
    <w:p>
      <w:pPr>
        <w:spacing w:after="0" w:line="7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8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10(a)(2)*</w:t>
            </w:r>
          </w:p>
        </w:tc>
        <w:tc>
          <w:tcPr>
            <w:tcW w:w="51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Stock Option Agreement under the 1996 Equity Incentive</w:t>
            </w:r>
          </w:p>
        </w:tc>
      </w:tr>
      <w:tr>
        <w:trPr>
          <w:trHeight w:val="234"/>
        </w:trPr>
        <w:tc>
          <w:tcPr>
            <w:tcW w:w="1000" w:type="dxa"/>
            <w:vAlign w:val="bottom"/>
          </w:tcPr>
          <w:p>
            <w:pPr>
              <w:spacing w:after="0"/>
              <w:rPr>
                <w:sz w:val="20"/>
                <w:szCs w:val="20"/>
                <w:color w:val="auto"/>
              </w:rPr>
            </w:pPr>
          </w:p>
        </w:tc>
        <w:tc>
          <w:tcPr>
            <w:tcW w:w="5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Plan, as amended and restated.</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40"/>
        <w:spacing w:after="0" w:line="261"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Previously filed as Exhibit 10(a)(2) to the Company’s Annual</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Report on Form 10-K for the year ended December 31, 2019 (File</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No. 1-36756) filed on February 20, 2020 and incorporated herein</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by reference.</w:t>
        </w:r>
      </w:hyperlink>
    </w:p>
    <w:p>
      <w:pPr>
        <w:spacing w:after="0" w:line="58"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20" w:space="220"/>
            <w:col w:w="488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10(a)(3)*</w:t>
            </w:r>
          </w:p>
        </w:tc>
        <w:tc>
          <w:tcPr>
            <w:tcW w:w="5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Restricted Stock Agreement.</w:t>
            </w:r>
          </w:p>
        </w:tc>
        <w:tc>
          <w:tcPr>
            <w:tcW w:w="47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Previously filed as Exhibit 10.16 of the Company’s Annual Report</w:t>
              </w:r>
            </w:hyperlink>
          </w:p>
        </w:tc>
      </w:tr>
      <w:tr>
        <w:trPr>
          <w:trHeight w:val="196"/>
        </w:trPr>
        <w:tc>
          <w:tcPr>
            <w:tcW w:w="10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7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on Form 10-K for the year ended December 31, 2005 (File No. 0-</w:t>
              </w:r>
            </w:hyperlink>
          </w:p>
        </w:tc>
        <w:tc>
          <w:tcPr>
            <w:tcW w:w="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780" w:type="dxa"/>
            <w:vAlign w:val="bottom"/>
            <w:gridSpan w:val="4"/>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30242) filed on March 15, 2006 and incorporated herein by</w:t>
              </w:r>
            </w:hyperlink>
          </w:p>
        </w:tc>
      </w:tr>
      <w:tr>
        <w:trPr>
          <w:trHeight w:val="196"/>
        </w:trPr>
        <w:tc>
          <w:tcPr>
            <w:tcW w:w="10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26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reference.</w:t>
              </w:r>
            </w:hyperlink>
          </w:p>
        </w:tc>
        <w:tc>
          <w:tcPr>
            <w:tcW w:w="52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10(a)(4)*</w:t>
            </w:r>
          </w:p>
        </w:tc>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Restricted Stock Agreement for Non-Employee directors.</w:t>
            </w:r>
          </w:p>
        </w:tc>
      </w:tr>
      <w:tr>
        <w:trPr>
          <w:trHeight w:val="75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10(b)(1)*</w:t>
            </w:r>
          </w:p>
        </w:tc>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2009 Employee Stock Purchase Plan, as amended.</w:t>
            </w:r>
          </w:p>
        </w:tc>
      </w:tr>
    </w:tbl>
    <w:p>
      <w:pPr>
        <w:spacing w:after="0" w:line="20" w:lineRule="exact"/>
        <w:rPr>
          <w:sz w:val="20"/>
          <w:szCs w:val="20"/>
          <w:color w:val="auto"/>
        </w:rPr>
      </w:pPr>
      <w:r>
        <w:rPr>
          <w:sz w:val="20"/>
          <w:szCs w:val="20"/>
          <w:color w:val="auto"/>
        </w:rPr>
        <w:br w:type="column"/>
      </w:r>
    </w:p>
    <w:p>
      <w:pPr>
        <w:ind w:right="180"/>
        <w:spacing w:after="0" w:line="266"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on Form 8-K (File No. 0-30242) filed on May 30, 2007 and</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40"/>
        <w:spacing w:after="0" w:line="276"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on Form 10-Q for the period ended September 30, 2017 (File No.</w:t>
        </w:r>
      </w:hyperlink>
    </w:p>
    <w:p>
      <w:pPr>
        <w:spacing w:after="0" w:line="1" w:lineRule="exact"/>
        <w:rPr>
          <w:sz w:val="20"/>
          <w:szCs w:val="20"/>
          <w:color w:val="auto"/>
        </w:rPr>
      </w:pPr>
    </w:p>
    <w:p>
      <w:pPr>
        <w:ind w:right="260"/>
        <w:spacing w:after="0" w:line="260"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1-36756) filed on November 6, 2017 and incorporated herein by</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reference.</w:t>
        </w:r>
      </w:hyperlink>
    </w:p>
    <w:p>
      <w:pPr>
        <w:spacing w:after="0" w:line="73" w:lineRule="exact"/>
        <w:rPr>
          <w:sz w:val="20"/>
          <w:szCs w:val="20"/>
          <w:color w:val="auto"/>
        </w:rPr>
      </w:pPr>
    </w:p>
    <w:p>
      <w:pPr>
        <w:sectPr>
          <w:pgSz w:w="11900" w:h="16838" w:orient="portrait"/>
          <w:cols w:equalWidth="0" w:num="2">
            <w:col w:w="6100" w:space="240"/>
            <w:col w:w="488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10(b)(2)*</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Lamar Advertising Company 2019 Employee Stock Purchase Plan.</w:t>
            </w:r>
          </w:p>
        </w:tc>
      </w:tr>
      <w:tr>
        <w:trPr>
          <w:trHeight w:val="7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10(c)(1)*</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Lamar Deferred Compensation Plan (as amended and restated</w:t>
            </w:r>
          </w:p>
        </w:tc>
      </w:tr>
      <w:tr>
        <w:trPr>
          <w:trHeight w:val="234"/>
        </w:trPr>
        <w:tc>
          <w:tcPr>
            <w:tcW w:w="100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effective January 1, 2025).</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10(c)(2)*</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Trust Agreement for the Lamar Deferred Compensation</w:t>
            </w:r>
          </w:p>
        </w:tc>
      </w:tr>
      <w:tr>
        <w:trPr>
          <w:trHeight w:val="234"/>
        </w:trPr>
        <w:tc>
          <w:tcPr>
            <w:tcW w:w="100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Plan.</w:t>
            </w:r>
          </w:p>
        </w:tc>
      </w:tr>
      <w:tr>
        <w:trPr>
          <w:trHeight w:val="52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10(d)(1)*</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Summary of Management Compensatory Arrangements, dated</w:t>
            </w:r>
          </w:p>
        </w:tc>
      </w:tr>
      <w:tr>
        <w:trPr>
          <w:trHeight w:val="234"/>
        </w:trPr>
        <w:tc>
          <w:tcPr>
            <w:tcW w:w="100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28,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66"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Previously filed as Exhibit 10.2 to Lamar Advertising’s Current</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Report on Form 8-K (File No. 1-36756) filed on June 5, 2019 and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333" w:lineRule="exact"/>
        <w:rPr>
          <w:rFonts w:ascii="Times New Roman" w:cs="Times New Roman" w:eastAsia="Times New Roman" w:hAnsi="Times New Roman"/>
          <w:sz w:val="18"/>
          <w:szCs w:val="18"/>
          <w:u w:val="single" w:color="auto"/>
          <w:color w:val="0000FF"/>
        </w:rPr>
      </w:pPr>
    </w:p>
    <w:p>
      <w:pPr>
        <w:jc w:val="both"/>
        <w:ind w:right="180"/>
        <w:spacing w:after="0" w:line="266"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on Form 8-K (File No. 0-30242) filed on December 14, 2005 and</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280"/>
        <w:spacing w:after="0" w:line="266"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Previously filed on the Company’s Current Report on Form 8-K</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(File No. 1-36756) filed on March 29, 2016 and incorporated</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herein by reference.</w:t>
        </w:r>
      </w:hyperlink>
    </w:p>
    <w:p>
      <w:pPr>
        <w:sectPr>
          <w:pgSz w:w="11900" w:h="16838" w:orient="portrait"/>
          <w:cols w:equalWidth="0" w:num="2">
            <w:col w:w="6160" w:space="180"/>
            <w:col w:w="4880"/>
          </w:cols>
          <w:pgMar w:left="320" w:top="121" w:right="35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10(d)(2)*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Non-Management Director Compensatory</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Arrangements, dated May 26, 2016.</w:t>
            </w:r>
          </w:p>
        </w:tc>
      </w:tr>
      <w:tr>
        <w:trPr>
          <w:trHeight w:val="52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Financing Agreement, dated December 18, 2018, by</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among Lamar Media, as initial Servicer, Lamar TRS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and Lamar QRS</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Agreement, dated December 18, 2018, by and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certain subsidiaries of Lamar Media, Lamar Media, as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Servicer, and Lamar QRS Receivables, LLC as Buyer.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Agreement, dated December 18, 2018, by and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certain subsidiaries of Lamar Media, Lamar Media, as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Servicer, and Lamar TRS Receivables, LLC as Buyer.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Guaranty of Lamar Media dated December 18, 2018</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favor of PNC Bank, National Association.</w:t>
            </w:r>
          </w:p>
        </w:tc>
      </w:tr>
      <w:tr>
        <w:trPr>
          <w:trHeight w:val="52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Receivables Financing Agreement, dated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February 6, 2020, by and among Lamar Media as initial</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Servicer, Lamar TRS Receivables, LLC and Lamar QRS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borrowers and PNC Bank, National</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Lender.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Purchase and Sale Agreement, dated as of</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2020, by and among certain subsidiaries of Lamar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 Lamar Media as initial Servicer, and Lamar QRS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Purchase and Sale Agreement, dated as of</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2020, by and among certain subsidiaries of Lamar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 Lamar Media as initial Servicer, and Lamar TRS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Receivables Financing Agreement,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as of May 6, 2020, by and among Lamar Media as Servicer,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Receivables, LLC and Lamar QRS Receivables, LLC</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borrowers and PNC Bank, National Association as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Lender.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Purchase and Sale Agreement, dated as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May 6, 2020, by and among certain subsidiaries of Lamar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 as originators, Lamar Media as Servicer, and Lamar QRS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 and consented to by PNC Bank,</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Association, as Administrative Agent.</w:t>
            </w:r>
          </w:p>
        </w:tc>
      </w:tr>
      <w:tr>
        <w:trPr>
          <w:trHeight w:val="945"/>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68"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Previously filed on the Company’s Current Report on Form 8-K</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(File No. 1-36756) filed on May 31, 2016 and incorporated herein</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40"/>
        <w:spacing w:after="0" w:line="266"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40"/>
        <w:spacing w:after="0" w:line="266"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40"/>
        <w:spacing w:after="0" w:line="266"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Previously filed as Exhibit 10.3 to the Company’s Current Report</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jc w:val="both"/>
        <w:ind w:right="140"/>
        <w:spacing w:after="0" w:line="266"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Previously filed as Exhibit 10.4 to the Company’s Current Report</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Previously filed as Exhibit 10.4 to the Company’s Current Report</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0"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Previously filed as Exhibit 10.5 to the Company’s Current Report</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Previously filed as Exhibit 10.6 to the Company’s Current Report</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spacing w:after="0" w:line="261"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Previously filed as Exhibit 10.2 to the Company’s Quarterly Report</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on Form 10-Q for the period ended June 30, 2020 (File No. 1-</w:t>
        </w:r>
      </w:hyperlink>
      <w:hyperlink r:id="rId197">
        <w:r>
          <w:rPr>
            <w:rFonts w:ascii="Times New Roman" w:cs="Times New Roman" w:eastAsia="Times New Roman" w:hAnsi="Times New Roman"/>
            <w:sz w:val="18"/>
            <w:szCs w:val="18"/>
            <w:u w:val="single" w:color="auto"/>
            <w:color w:val="0000FF"/>
          </w:rPr>
          <w:t>36756) filed on August 6, 2020 and incorporated herein by</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reference.</w:t>
        </w:r>
      </w:hyperlink>
    </w:p>
    <w:p>
      <w:pPr>
        <w:spacing w:after="0" w:line="288" w:lineRule="exact"/>
        <w:rPr>
          <w:rFonts w:ascii="Times New Roman" w:cs="Times New Roman" w:eastAsia="Times New Roman" w:hAnsi="Times New Roman"/>
          <w:sz w:val="18"/>
          <w:szCs w:val="18"/>
          <w:u w:val="single" w:color="auto"/>
          <w:color w:val="0000FF"/>
        </w:rPr>
      </w:pPr>
    </w:p>
    <w:p>
      <w:pPr>
        <w:spacing w:after="0" w:line="261"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Previously filed as Exhibit 10.3 to the Company’s Quarterly Report</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on Form 10-Q for the period ended June 30, 2020 (File No. 1-</w:t>
        </w:r>
      </w:hyperlink>
      <w:hyperlink r:id="rId198">
        <w:r>
          <w:rPr>
            <w:rFonts w:ascii="Times New Roman" w:cs="Times New Roman" w:eastAsia="Times New Roman" w:hAnsi="Times New Roman"/>
            <w:sz w:val="18"/>
            <w:szCs w:val="18"/>
            <w:u w:val="single" w:color="auto"/>
            <w:color w:val="0000FF"/>
          </w:rPr>
          <w:t>36756) filed on August 6, 2020 and incorporated herein by</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6200" w:space="140"/>
            <w:col w:w="4840"/>
          </w:cols>
          <w:pgMar w:left="320" w:top="121" w:right="3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the Receivables Financing Agreement, dated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June 30, 2020, among Lamar Media, as Initial Servicer,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Receivables, LLC and Lamar QRS Receivables, LLC</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borrowers, and PNC Bank, National Association, as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a Lender.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 to the Receivables Financing Agreement,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as of October 23, 2020, among Lamar Media, as Initial</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Servicer, Lamar TRS Receivables, LLC and Lamar QRS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borrowers, and PNC Bank, National</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a Lender.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Fifth Amendment to the Receivables Financing Agreement, dated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May 24, 2021, among Lamar Media, as Initial Servicer,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Receivables, LLC and Lamar QRS Receivables, LLC</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borrowers, and PNC Bank, National Association, as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a Lender.</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Amendment to the Receivables Financing Agreement, dated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June 24, 2022, among Lamar Media, as Initial Servicer, the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SPEs, as Borrowers, and PNC Bank, National Association, as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a Lender. Previously filed as Exhibit</w:t>
            </w:r>
          </w:p>
        </w:tc>
      </w:tr>
    </w:tbl>
    <w:p>
      <w:pPr>
        <w:ind w:left="1320" w:right="240"/>
        <w:spacing w:after="0" w:line="255" w:lineRule="auto"/>
        <w:rPr>
          <w:sz w:val="20"/>
          <w:szCs w:val="20"/>
          <w:color w:val="auto"/>
        </w:rPr>
      </w:pPr>
      <w:r>
        <w:rPr>
          <w:rFonts w:ascii="Times New Roman" w:cs="Times New Roman" w:eastAsia="Times New Roman" w:hAnsi="Times New Roman"/>
          <w:sz w:val="18"/>
          <w:szCs w:val="18"/>
          <w:color w:val="auto"/>
        </w:rPr>
        <w:t>10.1 to the Company’s Current Report on Form 8-K (File No. 1-36756) filed on June 30, 2022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68" w:lineRule="exact"/>
        <w:rPr>
          <w:sz w:val="20"/>
          <w:szCs w:val="20"/>
          <w:color w:val="auto"/>
        </w:rPr>
      </w:pPr>
    </w:p>
    <w:p>
      <w:pPr>
        <w:ind w:right="140"/>
        <w:spacing w:after="0" w:line="266"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on Form 8-K (File No. 1-36756) filed on July 6, 2020 and</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0"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on Form 8-K (File No. 1-36756) filed on October 26, 2020 and</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86" w:lineRule="exact"/>
        <w:rPr>
          <w:rFonts w:ascii="Times New Roman" w:cs="Times New Roman" w:eastAsia="Times New Roman" w:hAnsi="Times New Roman"/>
          <w:sz w:val="18"/>
          <w:szCs w:val="18"/>
          <w:u w:val="single" w:color="auto"/>
          <w:color w:val="0000FF"/>
        </w:rPr>
      </w:pPr>
    </w:p>
    <w:p>
      <w:pPr>
        <w:ind w:right="140"/>
        <w:spacing w:after="0" w:line="250"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on Form 8-K (File No. 1-36756) filed on May 28, 2021 and</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55"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on Form 8-K (File No. 1-36756) filed on June 30, 2022 and</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incorporated herein by reference.</w:t>
        </w:r>
      </w:hyperlink>
    </w:p>
    <w:p>
      <w:pPr>
        <w:spacing w:after="0" w:line="93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10(e)(14)</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Seventh Amendment to the Receivables Financing Agreement,</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dated as of October 15, 2024, among Lamar Media, as Initial</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Servicer, the SPEs, as Borrowers, and PNC Bank, National</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Association, as Administrative Agent and a Lender.</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10(e)(15)</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Joinder Agreement, dated as of July 1, 2024, to the Fourth</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6,</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2020 (as amended), among Lamar Media, the subsidiary borrower</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party thereto and North Carolina Logos, LLC.</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10(f)(1)</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Agreement dated as of April 28, 2010 by and among Lamar</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Media, Lamar Advertising of Puerto Rico, Inc., the Subsidiary</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Guarantors named therein, each additional Subsidiary Borrower</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that may be designated as such thereunder, the Lenders named</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therein, and JPMorgan Chase Bank, N.A., as administrative agent.</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10(f)(2)</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 No. 1, dated as of June 11, 2010, to the Credit</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Agreement dated as of April 28, 2010 by and among Lamar Media,</w:t>
            </w:r>
          </w:p>
        </w:tc>
      </w:tr>
      <w:tr>
        <w:trPr>
          <w:trHeight w:val="216"/>
        </w:trPr>
        <w:tc>
          <w:tcPr>
            <w:tcW w:w="100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Lamar Advertising of Puerto Rico, Inc., the Subsidiary Guarantors</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named therein, each additional Subsidiary Borrower that may be</w:t>
            </w:r>
          </w:p>
        </w:tc>
      </w:tr>
    </w:tbl>
    <w:p>
      <w:pPr>
        <w:ind w:left="1320" w:right="360"/>
        <w:spacing w:after="0" w:line="260" w:lineRule="auto"/>
        <w:rPr>
          <w:sz w:val="20"/>
          <w:szCs w:val="20"/>
          <w:color w:val="auto"/>
        </w:rPr>
      </w:pPr>
      <w:r>
        <w:rPr>
          <w:rFonts w:ascii="Times New Roman" w:cs="Times New Roman" w:eastAsia="Times New Roman" w:hAnsi="Times New Roman"/>
          <w:sz w:val="18"/>
          <w:szCs w:val="18"/>
          <w:color w:val="auto"/>
        </w:rPr>
        <w:t>designated as such thereunder, the Lenders named therein, and JPMorgan Chase Bank, N.A., as administrative agent.</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40"/>
        <w:spacing w:after="0" w:line="266"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on Form 8-K (File No. 1-36756) filed on October 21, 2024 and</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incorporated herein by reference.</w:t>
        </w:r>
      </w:hyperlink>
    </w:p>
    <w:p>
      <w:pPr>
        <w:spacing w:after="0" w:line="284" w:lineRule="exact"/>
        <w:rPr>
          <w:rFonts w:ascii="Times New Roman" w:cs="Times New Roman" w:eastAsia="Times New Roman" w:hAnsi="Times New Roman"/>
          <w:sz w:val="18"/>
          <w:szCs w:val="18"/>
          <w:u w:val="single" w:color="auto"/>
          <w:color w:val="0000FF"/>
        </w:rPr>
      </w:pPr>
    </w:p>
    <w:p>
      <w:pPr>
        <w:spacing w:after="0" w:line="261"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Previously filed as Exhibit 10.1 to the Company's Quarterly Report</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on Form 10-Q (File No. 1-36756) for the period ended September</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30, 2024 filed on November 8, 2024 and incorporated herein by</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reference.</w:t>
        </w:r>
      </w:hyperlink>
    </w:p>
    <w:p>
      <w:pPr>
        <w:spacing w:after="0" w:line="288"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on Form 8-K (File No. 0-30242) filed on May 3, 2010, and</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0" w:lineRule="exact"/>
        <w:rPr>
          <w:rFonts w:ascii="Times New Roman" w:cs="Times New Roman" w:eastAsia="Times New Roman" w:hAnsi="Times New Roman"/>
          <w:sz w:val="18"/>
          <w:szCs w:val="18"/>
          <w:u w:val="single" w:color="auto"/>
          <w:color w:val="0000FF"/>
        </w:rPr>
      </w:pPr>
    </w:p>
    <w:p>
      <w:pPr>
        <w:ind w:right="100"/>
        <w:spacing w:after="0" w:line="261"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Previously filed as Exhibit 10(p)(2) to the Company’s Annual</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Report on Form 10-K for the year ended December 31, 2010 (File</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No. 0-30242) filed on February 25, 2011 and incorporated herein</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180" w:space="160"/>
            <w:col w:w="4840"/>
          </w:cols>
          <w:pgMar w:left="320" w:top="121" w:right="3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November 18, 2010, to the Credit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April 28, 2010 by and among Lamar Media,</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Puerto Rico, Inc., the Subsidiary Guarantors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therein, each additional Subsidiary Borrower that may be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as such thereunder, the Lenders named therein, and</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8" w:lineRule="exact"/>
        <w:rPr>
          <w:sz w:val="20"/>
          <w:szCs w:val="20"/>
          <w:color w:val="auto"/>
        </w:rPr>
      </w:pPr>
    </w:p>
    <w:p>
      <w:pPr>
        <w:spacing w:after="0" w:line="261"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Previously filed as Exhibit 10(p)(3) to the Company’s Annual</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Report on Form 10-K for the year ended December 31, 2010 (File</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No. 0-30242) filed on February 25, 2011 and incorporated herein</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by reference.</w:t>
        </w:r>
      </w:hyperlink>
    </w:p>
    <w:p>
      <w:pPr>
        <w:spacing w:after="0" w:line="50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740"/>
          </w:cols>
          <w:pgMar w:left="320" w:top="121" w:right="4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10(f)(4)</w:t>
            </w:r>
          </w:p>
        </w:tc>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Restatement Agreement, dated as of February 9, 2012, to the</w:t>
            </w:r>
          </w:p>
        </w:tc>
      </w:tr>
      <w:tr>
        <w:trPr>
          <w:trHeight w:val="234"/>
        </w:trPr>
        <w:tc>
          <w:tcPr>
            <w:tcW w:w="94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Credit Agreement dated as of April 28, 2010 by and among Lamar</w:t>
            </w:r>
          </w:p>
        </w:tc>
      </w:tr>
    </w:tbl>
    <w:p>
      <w:pPr>
        <w:ind w:left="1320" w:right="60"/>
        <w:spacing w:after="0" w:line="253" w:lineRule="auto"/>
        <w:rPr>
          <w:sz w:val="20"/>
          <w:szCs w:val="20"/>
          <w:color w:val="auto"/>
        </w:rPr>
      </w:pPr>
      <w:r>
        <w:rPr>
          <w:rFonts w:ascii="Times New Roman" w:cs="Times New Roman" w:eastAsia="Times New Roman" w:hAnsi="Times New Roman"/>
          <w:sz w:val="18"/>
          <w:szCs w:val="18"/>
          <w:color w:val="auto"/>
        </w:rPr>
        <w:t>Media, Lamar Advertising of Puerto Rico, Inc., the Subsidiary Guarantors named therein, each additional Subsidiary Borrower that may be designated as such thereunder, the Lenders named therein, and JPMorgan Chase Bank, N.A., as administrative agent (including the Amended and Restated Credit Agreement).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40"/>
        <w:spacing w:after="0" w:line="266"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on Form 8-K (File No. 0-30242) filed on February 14, 2012 and</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incorporated herein by reference.</w:t>
        </w:r>
      </w:hyperlink>
    </w:p>
    <w:p>
      <w:pPr>
        <w:spacing w:after="0" w:line="93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20" w:space="220"/>
            <w:col w:w="4740"/>
          </w:cols>
          <w:pgMar w:left="320" w:top="121" w:right="4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10(f)(5)</w:t>
            </w: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No. 1, dated as of October 24, 2013, to the Amended</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Restated Credit Agreement dated as of February 9, 2012</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r>
      <w:tr>
        <w:trPr>
          <w:trHeight w:val="234"/>
        </w:trPr>
        <w:tc>
          <w:tcPr>
            <w:tcW w:w="94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r>
      <w:tr>
        <w:trPr>
          <w:trHeight w:val="30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10(f)(6)</w:t>
            </w: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Restatement Agreement, dated as of February 3, 2014, by</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and among Lamar Media, the Company, the Subsidiary Guarantors</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N.A., as administrative agent (including the Second</w:t>
            </w:r>
          </w:p>
        </w:tc>
      </w:tr>
      <w:tr>
        <w:trPr>
          <w:trHeight w:val="234"/>
        </w:trPr>
        <w:tc>
          <w:tcPr>
            <w:tcW w:w="94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Credit Agreement as Exhibit A thereto).</w:t>
            </w:r>
          </w:p>
        </w:tc>
      </w:tr>
      <w:tr>
        <w:trPr>
          <w:trHeight w:val="30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10(f)(7)</w:t>
            </w: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No. 1, dated as of April 18, 2014, to the Second</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2014, by and among Lamar Media, the Company, the Subsidiary</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Guarantors named therein, the Lenders named therein, and</w:t>
            </w:r>
          </w:p>
        </w:tc>
      </w:tr>
      <w:tr>
        <w:trPr>
          <w:trHeight w:val="234"/>
        </w:trPr>
        <w:tc>
          <w:tcPr>
            <w:tcW w:w="94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r>
      <w:tr>
        <w:trPr>
          <w:trHeight w:val="30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10(f)(8)</w:t>
            </w: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Incremental Amendment No. 1 dated January 7, 2016 to the</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3, 2014, as amended by and among Lamar Media, the</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named therein, and JPMorgan Chase Bank, N.A., as</w:t>
            </w:r>
          </w:p>
        </w:tc>
      </w:tr>
      <w:tr>
        <w:trPr>
          <w:trHeight w:val="234"/>
        </w:trPr>
        <w:tc>
          <w:tcPr>
            <w:tcW w:w="94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Agent.</w:t>
            </w:r>
          </w:p>
        </w:tc>
      </w:tr>
      <w:tr>
        <w:trPr>
          <w:trHeight w:val="30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10(f)(9)</w:t>
            </w: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No. 2, dated as of March 4, 2016, to the Second</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r>
      <w:tr>
        <w:trPr>
          <w:trHeight w:val="216"/>
        </w:trPr>
        <w:tc>
          <w:tcPr>
            <w:tcW w:w="94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2014, as amended by and among Lamar Media, the Company,</w:t>
            </w:r>
          </w:p>
        </w:tc>
      </w:tr>
      <w:tr>
        <w:trPr>
          <w:trHeight w:val="234"/>
        </w:trPr>
        <w:tc>
          <w:tcPr>
            <w:tcW w:w="940" w:type="dxa"/>
            <w:vAlign w:val="bottom"/>
          </w:tcPr>
          <w:p>
            <w:pPr>
              <w:spacing w:after="0"/>
              <w:rPr>
                <w:sz w:val="20"/>
                <w:szCs w:val="20"/>
                <w:color w:val="auto"/>
              </w:rPr>
            </w:pPr>
          </w:p>
        </w:tc>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certain of Lamar Media’s subsidiaries as Guarantors, JPMorgan</w:t>
            </w:r>
          </w:p>
        </w:tc>
      </w:tr>
    </w:tbl>
    <w:p>
      <w:pPr>
        <w:ind w:left="1320" w:right="100"/>
        <w:spacing w:after="0" w:line="260" w:lineRule="auto"/>
        <w:rPr>
          <w:sz w:val="20"/>
          <w:szCs w:val="20"/>
          <w:color w:val="auto"/>
        </w:rPr>
      </w:pPr>
      <w:r>
        <w:rPr>
          <w:rFonts w:ascii="Times New Roman" w:cs="Times New Roman" w:eastAsia="Times New Roman" w:hAnsi="Times New Roman"/>
          <w:sz w:val="18"/>
          <w:szCs w:val="18"/>
          <w:color w:val="auto"/>
        </w:rPr>
        <w:t>Chase Bank, N.A. as Administrative Agent and the Lenders party thereto.</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ind w:left="55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1"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Previously filed as Exhibit 10(f)(11) to the Company’s Annual</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Report on Form 10-K for the year ended December 31, 2013 (File</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No. 0-30242) filed on February 27, 2014 and incorporated herein</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by reference.</w:t>
        </w:r>
      </w:hyperlink>
    </w:p>
    <w:p>
      <w:pPr>
        <w:spacing w:after="0" w:line="288"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on Form 8-K (File No. 0-30242) filed on February 7, 2014 and</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0"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on Form 8-K (File No. 0-30242) filed on April 22, 2014 and</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0"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on Form 8-K (File No. 1-36756) filed on January 13, 2016 and</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6"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on Form 8-K (File No. 1-36756) filed on March 8, 2016 and</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140" w:space="200"/>
            <w:col w:w="4740"/>
          </w:cols>
          <w:pgMar w:left="320" w:top="121" w:right="4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Restatement Agreement, dated as of May 15, 2017, by and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Lamar Media, the Company, the Subsidiary Guarantors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 as Administrative Agent (including the Third</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as Exhibit A thereto).</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March 16, 2018 to the Third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Restatement Agreement, by and among Lamar Media, the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therein, and JPMorgan Chase Bank, N.A., as administrative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(including the Third Amended and Restated Credit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as amended for Amendment No. 1, as Exhibit A</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December 6, 2018 to the Third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Restatement Agreement, by and among Lamar Media, the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therein, and JPMorgan Chase Bank, N.A., as administrative</w:t>
            </w:r>
          </w:p>
        </w:tc>
      </w:tr>
    </w:tbl>
    <w:p>
      <w:pPr>
        <w:ind w:left="1320" w:right="520"/>
        <w:spacing w:after="0" w:line="255" w:lineRule="auto"/>
        <w:rPr>
          <w:sz w:val="20"/>
          <w:szCs w:val="20"/>
          <w:color w:val="auto"/>
        </w:rPr>
      </w:pPr>
      <w:r>
        <w:rPr>
          <w:rFonts w:ascii="Times New Roman" w:cs="Times New Roman" w:eastAsia="Times New Roman" w:hAnsi="Times New Roman"/>
          <w:sz w:val="18"/>
          <w:szCs w:val="18"/>
          <w:color w:val="auto"/>
        </w:rPr>
        <w:t>agent (including the Third Amended and Restated Credit Agreement, as amended for Amendment No. 2, as Exhibit A thereto).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8"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on Form 8-K (File No. 1-36756) filed on May 19, 2017 and</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0"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on Form 8-K (File No. 1-36756) filed on March 21, 2018 and</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32" w:lineRule="exact"/>
        <w:rPr>
          <w:rFonts w:ascii="Times New Roman" w:cs="Times New Roman" w:eastAsia="Times New Roman" w:hAnsi="Times New Roman"/>
          <w:sz w:val="18"/>
          <w:szCs w:val="18"/>
          <w:u w:val="single" w:color="auto"/>
          <w:color w:val="0000FF"/>
        </w:rPr>
      </w:pPr>
    </w:p>
    <w:p>
      <w:pPr>
        <w:jc w:val="both"/>
        <w:ind w:right="40"/>
        <w:spacing w:after="0" w:line="26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on Form 8-K (File No. 1-36756) filed on December 12, 2018 and</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incorporated herein by reference.</w:t>
        </w:r>
      </w:hyperlink>
    </w:p>
    <w:p>
      <w:pPr>
        <w:spacing w:after="0" w:line="105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740"/>
          </w:cols>
          <w:pgMar w:left="320" w:top="121" w:right="499" w:bottom="1440" w:gutter="0" w:footer="0" w:header="0"/>
          <w:type w:val="continuous"/>
        </w:sectPr>
      </w:pPr>
    </w:p>
    <w:p>
      <w:pPr>
        <w:spacing w:after="0" w:line="94"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10(f)(13)</w:t>
            </w: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Incremental Amendment No. 1, dated January 17, 2019, by and</w:t>
            </w:r>
          </w:p>
        </w:tc>
      </w:tr>
      <w:tr>
        <w:trPr>
          <w:trHeight w:val="234"/>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among Lamar Media, Lamar Advertising, the subsidiary guarantors</w:t>
            </w:r>
          </w:p>
        </w:tc>
      </w:tr>
    </w:tbl>
    <w:p>
      <w:pPr>
        <w:ind w:left="1320" w:right="220"/>
        <w:spacing w:after="0" w:line="260" w:lineRule="auto"/>
        <w:rPr>
          <w:sz w:val="20"/>
          <w:szCs w:val="20"/>
          <w:color w:val="auto"/>
        </w:rPr>
      </w:pPr>
      <w:r>
        <w:rPr>
          <w:rFonts w:ascii="Times New Roman" w:cs="Times New Roman" w:eastAsia="Times New Roman" w:hAnsi="Times New Roman"/>
          <w:sz w:val="18"/>
          <w:szCs w:val="18"/>
          <w:color w:val="auto"/>
        </w:rPr>
        <w:t>named therein, the Lenders named therein, and JPMorgan Chase Bank, N.A., as Administrative Agent.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74" w:lineRule="exact"/>
        <w:rPr>
          <w:rFonts w:ascii="Times New Roman" w:cs="Times New Roman" w:eastAsia="Times New Roman" w:hAnsi="Times New Roman"/>
          <w:sz w:val="18"/>
          <w:szCs w:val="18"/>
          <w:u w:val="single" w:color="auto"/>
          <w:color w:val="0000FF"/>
        </w:rPr>
      </w:pPr>
    </w:p>
    <w:p>
      <w:pPr>
        <w:spacing w:after="0" w:line="26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Previously filed as Exhibit 10.1 to Lamar Advertising’s Current</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Report on Form 8-K (File No. 1-36756) filed on January 22, 2019</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and incorporated herein by reference.</w:t>
        </w:r>
      </w:hyperlink>
    </w:p>
    <w:p>
      <w:pPr>
        <w:spacing w:after="0" w:line="41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740"/>
          </w:cols>
          <w:pgMar w:left="320" w:top="121" w:right="499" w:bottom="1440" w:gutter="0" w:footer="0" w:header="0"/>
          <w:type w:val="continuous"/>
        </w:sectPr>
      </w:pPr>
    </w:p>
    <w:p>
      <w:pPr>
        <w:spacing w:after="0" w:line="89"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10(f)(14)</w:t>
            </w: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Joinder Agreement, dated as of July 19, 2010, to the Credit</w:t>
            </w:r>
          </w:p>
        </w:tc>
      </w:tr>
      <w:tr>
        <w:trPr>
          <w:trHeight w:val="234"/>
        </w:trPr>
        <w:tc>
          <w:tcPr>
            <w:tcW w:w="980" w:type="dxa"/>
            <w:vAlign w:val="bottom"/>
          </w:tcPr>
          <w:p>
            <w:pPr>
              <w:spacing w:after="0"/>
              <w:rPr>
                <w:sz w:val="20"/>
                <w:szCs w:val="20"/>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Agreement dated as of April 28, 2010 among Lamar Media, the</w:t>
            </w:r>
          </w:p>
        </w:tc>
      </w:tr>
    </w:tbl>
    <w:p>
      <w:pPr>
        <w:ind w:left="1320"/>
        <w:spacing w:after="0" w:line="255" w:lineRule="auto"/>
        <w:rPr>
          <w:sz w:val="20"/>
          <w:szCs w:val="20"/>
          <w:color w:val="auto"/>
        </w:rPr>
      </w:pPr>
      <w:r>
        <w:rPr>
          <w:rFonts w:ascii="Times New Roman" w:cs="Times New Roman" w:eastAsia="Times New Roman" w:hAnsi="Times New Roman"/>
          <w:sz w:val="18"/>
          <w:szCs w:val="18"/>
          <w:color w:val="auto"/>
        </w:rPr>
        <w:t>subsidiary borrower party thereto, the subsidiary guarantors party thereto, the lenders party thereto and JPMorgan Chase Bank, N.A., as administrative agent, by Arizona Logos, L.L.C.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69" w:lineRule="exact"/>
        <w:rPr>
          <w:rFonts w:ascii="Times New Roman" w:cs="Times New Roman" w:eastAsia="Times New Roman" w:hAnsi="Times New Roman"/>
          <w:sz w:val="18"/>
          <w:szCs w:val="18"/>
          <w:u w:val="single" w:color="auto"/>
          <w:color w:val="0000FF"/>
        </w:rPr>
      </w:pPr>
    </w:p>
    <w:p>
      <w:pPr>
        <w:spacing w:after="0" w:line="261"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Previously filed as Exhibit 10(p)(4) to the Company’s Annual</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Report on Form 10-K for the year ended December 31, 2011 (File</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No. 0-30242) filed on February 27, 2012 and incorporated herein</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by reference.</w:t>
        </w:r>
      </w:hyperlink>
    </w:p>
    <w:p>
      <w:pPr>
        <w:spacing w:after="0" w:line="40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40" w:space="200"/>
            <w:col w:w="4740"/>
          </w:cols>
          <w:pgMar w:left="320" w:top="121" w:right="499" w:bottom="1440" w:gutter="0" w:footer="0" w:header="0"/>
          <w:type w:val="continuous"/>
        </w:sectPr>
      </w:pPr>
    </w:p>
    <w:p>
      <w:pPr>
        <w:spacing w:after="0" w:line="94"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10(f)(15)</w:t>
            </w: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Joinder Agreement, dated as of April 21, 2011, to the Credit</w:t>
            </w:r>
          </w:p>
        </w:tc>
      </w:tr>
      <w:tr>
        <w:trPr>
          <w:trHeight w:val="216"/>
        </w:trPr>
        <w:tc>
          <w:tcPr>
            <w:tcW w:w="98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dated as of April 28, 2010 among Lamar Media, the</w:t>
            </w:r>
          </w:p>
        </w:tc>
      </w:tr>
      <w:tr>
        <w:trPr>
          <w:trHeight w:val="216"/>
        </w:trPr>
        <w:tc>
          <w:tcPr>
            <w:tcW w:w="98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r>
      <w:tr>
        <w:trPr>
          <w:trHeight w:val="216"/>
        </w:trPr>
        <w:tc>
          <w:tcPr>
            <w:tcW w:w="98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thereto, the lenders party thereto and JPMorgan Chase Bank, N.A.,</w:t>
            </w:r>
          </w:p>
        </w:tc>
      </w:tr>
      <w:tr>
        <w:trPr>
          <w:trHeight w:val="234"/>
        </w:trPr>
        <w:tc>
          <w:tcPr>
            <w:tcW w:w="98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administrative agent, by Wisconsin Logos, LLC.</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74" w:lineRule="exact"/>
        <w:rPr>
          <w:rFonts w:ascii="Times New Roman" w:cs="Times New Roman" w:eastAsia="Times New Roman" w:hAnsi="Times New Roman"/>
          <w:sz w:val="18"/>
          <w:szCs w:val="18"/>
          <w:u w:val="single" w:color="auto"/>
          <w:color w:val="0000FF"/>
        </w:rPr>
      </w:pPr>
    </w:p>
    <w:p>
      <w:pPr>
        <w:spacing w:after="0" w:line="261"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Previously filed as Exhibit 10(p)(5) to the Company’s Annual</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Report on Form 10-K for the year ended December 31, 2011 (File</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No. 0-30242) filed on February 27, 2012 and incorporated herein</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by reference.</w:t>
        </w:r>
      </w:hyperlink>
    </w:p>
    <w:p>
      <w:pPr>
        <w:spacing w:after="0" w:line="39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40" w:space="200"/>
            <w:col w:w="4740"/>
          </w:cols>
          <w:pgMar w:left="320" w:top="121" w:right="499" w:bottom="1440" w:gutter="0" w:footer="0" w:header="0"/>
          <w:type w:val="continuous"/>
        </w:sectPr>
      </w:pPr>
    </w:p>
    <w:p>
      <w:pPr>
        <w:spacing w:after="0" w:line="106"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10(f)(16)</w:t>
            </w: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Joinder Agreement, dated as of August 26, 2011, to the Credit</w:t>
            </w:r>
          </w:p>
        </w:tc>
      </w:tr>
      <w:tr>
        <w:trPr>
          <w:trHeight w:val="216"/>
        </w:trPr>
        <w:tc>
          <w:tcPr>
            <w:tcW w:w="98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dated as of April 28, 2010 among Lamar Media, the</w:t>
            </w:r>
          </w:p>
        </w:tc>
      </w:tr>
      <w:tr>
        <w:trPr>
          <w:trHeight w:val="234"/>
        </w:trPr>
        <w:tc>
          <w:tcPr>
            <w:tcW w:w="980" w:type="dxa"/>
            <w:vAlign w:val="bottom"/>
          </w:tcPr>
          <w:p>
            <w:pPr>
              <w:spacing w:after="0"/>
              <w:rPr>
                <w:sz w:val="20"/>
                <w:szCs w:val="20"/>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subsidiary borrower party thereto, the subsidiary guarantors party</w:t>
            </w:r>
          </w:p>
        </w:tc>
      </w:tr>
    </w:tbl>
    <w:p>
      <w:pPr>
        <w:ind w:left="1320"/>
        <w:spacing w:after="0" w:line="260" w:lineRule="auto"/>
        <w:rPr>
          <w:sz w:val="20"/>
          <w:szCs w:val="20"/>
          <w:color w:val="auto"/>
        </w:rPr>
      </w:pPr>
      <w:r>
        <w:rPr>
          <w:rFonts w:ascii="Times New Roman" w:cs="Times New Roman" w:eastAsia="Times New Roman" w:hAnsi="Times New Roman"/>
          <w:sz w:val="18"/>
          <w:szCs w:val="18"/>
          <w:color w:val="auto"/>
        </w:rPr>
        <w:t>thereto, the lenders party thereto and JPMorgan Chase Bank, N.A., as administrative agent, by Montana Logos, LLC.</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86" w:lineRule="exact"/>
        <w:rPr>
          <w:rFonts w:ascii="Times New Roman" w:cs="Times New Roman" w:eastAsia="Times New Roman" w:hAnsi="Times New Roman"/>
          <w:sz w:val="18"/>
          <w:szCs w:val="18"/>
          <w:u w:val="single" w:color="auto"/>
          <w:color w:val="0000FF"/>
        </w:rPr>
      </w:pPr>
    </w:p>
    <w:p>
      <w:pPr>
        <w:spacing w:after="0" w:line="261" w:lineRule="auto"/>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Previously filed as Exhibit 10(p)(6) to the Company’s Annual</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Report on Form 10-K for the year ended December 31, 2011 (File</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No. 0-30242) filed on February 27, 2012 and incorporated herein</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140" w:space="200"/>
            <w:col w:w="4740"/>
          </w:cols>
          <w:pgMar w:left="320" w:top="121" w:right="4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JPMorgan Chase Bank, N.A., as administrative agent, by</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NextMedia Outdoor,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8" w:lineRule="exact"/>
        <w:rPr>
          <w:sz w:val="20"/>
          <w:szCs w:val="20"/>
          <w:color w:val="auto"/>
        </w:rPr>
      </w:pPr>
    </w:p>
    <w:p>
      <w:pPr>
        <w:spacing w:after="0" w:line="261"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Previously filed as Exhibit 10(f)(9) to the Company’s Annual</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Report on Form 10-K for the year ended December 31, 2012 (File</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No. 0-30242) filed on February 28, 2013 and incorporated herein</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by reference.</w:t>
        </w:r>
      </w:hyperlink>
    </w:p>
    <w:p>
      <w:pPr>
        <w:spacing w:after="0" w:line="50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740"/>
          </w:cols>
          <w:pgMar w:left="320" w:top="121" w:right="4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10(f)(18)</w:t>
            </w: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r>
      <w:tr>
        <w:trPr>
          <w:trHeight w:val="234"/>
        </w:trPr>
        <w:tc>
          <w:tcPr>
            <w:tcW w:w="980" w:type="dxa"/>
            <w:vAlign w:val="bottom"/>
          </w:tcPr>
          <w:p>
            <w:pPr>
              <w:spacing w:after="0"/>
              <w:rPr>
                <w:sz w:val="20"/>
                <w:szCs w:val="20"/>
                <w:color w:val="auto"/>
              </w:rPr>
            </w:pP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Amended and Restated Credit Agreement dated as of February 9,</w:t>
            </w:r>
          </w:p>
        </w:tc>
      </w:tr>
    </w:tbl>
    <w:p>
      <w:pPr>
        <w:ind w:left="1320"/>
        <w:spacing w:after="0" w:line="253" w:lineRule="auto"/>
        <w:rPr>
          <w:sz w:val="20"/>
          <w:szCs w:val="20"/>
          <w:color w:val="auto"/>
        </w:rPr>
      </w:pPr>
      <w:r>
        <w:rPr>
          <w:rFonts w:ascii="Times New Roman" w:cs="Times New Roman" w:eastAsia="Times New Roman" w:hAnsi="Times New Roman"/>
          <w:sz w:val="18"/>
          <w:szCs w:val="18"/>
          <w:color w:val="auto"/>
        </w:rPr>
        <w:t>2012 among Lamar Media, the subsidiary borrower party thereto, the subsidiary guarantors party thereto, the lenders party thereto and JPMorgan Chase Bank, N.A., as administrative agent, by NextMedia Outdoor, Inc.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1"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Previously filed as Exhibit 10(f)(9) to the Company’s Annual</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Report on Form 10-K for the year ended December 31, 2012 (File</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No. 0-30242) filed on February 28, 2013 and incorporated herein</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by reference.</w:t>
        </w:r>
      </w:hyperlink>
    </w:p>
    <w:p>
      <w:pPr>
        <w:spacing w:after="0" w:line="50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40" w:space="300"/>
            <w:col w:w="4740"/>
          </w:cols>
          <w:pgMar w:left="320" w:top="121" w:right="4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10(f)(19)</w:t>
            </w: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r>
      <w:tr>
        <w:trPr>
          <w:trHeight w:val="216"/>
        </w:trPr>
        <w:tc>
          <w:tcPr>
            <w:tcW w:w="98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Amended and Restated Credit Agreement dated as of February 9,</w:t>
            </w:r>
          </w:p>
        </w:tc>
      </w:tr>
      <w:tr>
        <w:trPr>
          <w:trHeight w:val="216"/>
        </w:trPr>
        <w:tc>
          <w:tcPr>
            <w:tcW w:w="98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2012 among Lamar Media, the subsidiary borrower party thereto,</w:t>
            </w:r>
          </w:p>
        </w:tc>
      </w:tr>
      <w:tr>
        <w:trPr>
          <w:trHeight w:val="234"/>
        </w:trPr>
        <w:tc>
          <w:tcPr>
            <w:tcW w:w="980" w:type="dxa"/>
            <w:vAlign w:val="bottom"/>
          </w:tcPr>
          <w:p>
            <w:pPr>
              <w:spacing w:after="0"/>
              <w:rPr>
                <w:sz w:val="20"/>
                <w:szCs w:val="20"/>
                <w:color w:val="auto"/>
              </w:rPr>
            </w:pPr>
          </w:p>
        </w:tc>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r>
    </w:tbl>
    <w:p>
      <w:pPr>
        <w:ind w:left="1320" w:right="300"/>
        <w:spacing w:after="0" w:line="260" w:lineRule="auto"/>
        <w:rPr>
          <w:sz w:val="20"/>
          <w:szCs w:val="20"/>
          <w:color w:val="auto"/>
        </w:rPr>
      </w:pPr>
      <w:r>
        <w:rPr>
          <w:rFonts w:ascii="Times New Roman" w:cs="Times New Roman" w:eastAsia="Times New Roman" w:hAnsi="Times New Roman"/>
          <w:sz w:val="18"/>
          <w:szCs w:val="18"/>
          <w:color w:val="auto"/>
        </w:rPr>
        <w:t>and JPMorgan Chase Bank, N.A., as administrative agent, by NMG Outdoor I Corp.</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1"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Previously filed as Exhibit 10(f)(10) to the Company’s Annual</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Report on Form 10-K for the year ended December 31, 2012 (File</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No. 0-30242) filed on February 28, 2013 and incorporated herein</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by reference.</w:t>
        </w:r>
      </w:hyperlink>
    </w:p>
    <w:p>
      <w:pPr>
        <w:spacing w:after="0" w:line="50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040" w:space="300"/>
            <w:col w:w="4740"/>
          </w:cols>
          <w:pgMar w:left="320" w:top="121" w:right="4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10(f)(20)</w:t>
            </w: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Joinder Agreement, dated as of December 5, 2013, to the Amended</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Restated Credit Agreement dated as of February 9, 2012</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r>
      <w:tr>
        <w:trPr>
          <w:trHeight w:val="234"/>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r>
    </w:tbl>
    <w:p>
      <w:pPr>
        <w:ind w:left="1320" w:right="240"/>
        <w:spacing w:after="0" w:line="260" w:lineRule="auto"/>
        <w:rPr>
          <w:sz w:val="20"/>
          <w:szCs w:val="20"/>
          <w:color w:val="auto"/>
        </w:rPr>
      </w:pPr>
      <w:r>
        <w:rPr>
          <w:rFonts w:ascii="Times New Roman" w:cs="Times New Roman" w:eastAsia="Times New Roman" w:hAnsi="Times New Roman"/>
          <w:sz w:val="18"/>
          <w:szCs w:val="18"/>
          <w:color w:val="auto"/>
        </w:rPr>
        <w:t>JPMorgan Chase Bank, N.A., as administrative agent, by Lamar TRS Holdings, LLC.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1"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Previously filed as Exhibit 10(f)(12) to the Company’s Annual</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Report on Form 10-K for the year ended December 31, 2013 (File</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No. 0-30242) filed on February 27, 2014 and incorporated herein</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by reference.</w:t>
        </w:r>
      </w:hyperlink>
    </w:p>
    <w:p>
      <w:pPr>
        <w:spacing w:after="0" w:line="50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740"/>
          </w:cols>
          <w:pgMar w:left="320" w:top="121" w:right="4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10(f)(21)</w:t>
            </w: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Joinder Agreement, dated as of December 5, 2013, to the Amended</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Restated Credit Agreement dated as of February 9, 2012</w:t>
            </w:r>
          </w:p>
        </w:tc>
      </w:tr>
      <w:tr>
        <w:trPr>
          <w:trHeight w:val="234"/>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r>
    </w:tbl>
    <w:p>
      <w:pPr>
        <w:jc w:val="both"/>
        <w:ind w:left="1320" w:right="220"/>
        <w:spacing w:after="0" w:line="255" w:lineRule="auto"/>
        <w:rPr>
          <w:sz w:val="20"/>
          <w:szCs w:val="20"/>
          <w:color w:val="auto"/>
        </w:rPr>
      </w:pPr>
      <w:r>
        <w:rPr>
          <w:rFonts w:ascii="Times New Roman" w:cs="Times New Roman" w:eastAsia="Times New Roman" w:hAnsi="Times New Roman"/>
          <w:sz w:val="18"/>
          <w:szCs w:val="18"/>
          <w:color w:val="auto"/>
        </w:rPr>
        <w:t>subsidiary guarantors party thereto, the lenders party thereto and JPMorgan Chase Bank, N.A., as administrative agent, by Lamar Service Company, LLC.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1"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Previously filed as Exhibit 10(f)(13) to the Company’s Annual</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Report on Form 10-K for the year ended December 31, 2013 (File</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No. 0-30242) filed on February 27, 2014 and incorporated herein</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by reference.</w:t>
        </w:r>
      </w:hyperlink>
    </w:p>
    <w:p>
      <w:pPr>
        <w:spacing w:after="0" w:line="50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740"/>
          </w:cols>
          <w:pgMar w:left="320" w:top="121" w:right="4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10(f)(22)</w:t>
            </w: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Joinder Agreement, dated as of December 5, 2013, to the Amended</w:t>
            </w:r>
          </w:p>
        </w:tc>
      </w:tr>
      <w:tr>
        <w:trPr>
          <w:trHeight w:val="234"/>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Restated Credit Agreement dated as of February 9, 2012</w:t>
            </w:r>
          </w:p>
        </w:tc>
      </w:tr>
    </w:tbl>
    <w:p>
      <w:pPr>
        <w:jc w:val="both"/>
        <w:ind w:left="1320" w:right="220"/>
        <w:spacing w:after="0" w:line="253" w:lineRule="auto"/>
        <w:rPr>
          <w:sz w:val="20"/>
          <w:szCs w:val="20"/>
          <w:color w:val="auto"/>
        </w:rPr>
      </w:pPr>
      <w:r>
        <w:rPr>
          <w:rFonts w:ascii="Times New Roman" w:cs="Times New Roman" w:eastAsia="Times New Roman" w:hAnsi="Times New Roman"/>
          <w:sz w:val="18"/>
          <w:szCs w:val="18"/>
          <w:color w:val="auto"/>
        </w:rPr>
        <w:t>among Lamar Media, the subsidiary borrower party thereto, the subsidiary guarantors party thereto, the lenders party thereto and JPMorgan Chase Bank, N.A., as administrative agent, by Lamar Investments, LLC.</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1"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Previously filed as Exhibit 10(f)(14) to the Company’s Annual</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Report on Form 10-K for the year ended December 31, 2013 (File</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No. 0-30242) filed on February 27, 2014 and incorporated herein</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by reference.</w:t>
        </w:r>
      </w:hyperlink>
    </w:p>
    <w:p>
      <w:pPr>
        <w:spacing w:after="0" w:line="503"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740"/>
          </w:cols>
          <w:pgMar w:left="320" w:top="121" w:right="4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10(f)(23)</w:t>
            </w: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Joinder Agreement, dated as of December 5, 2013, to the Amended</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Restated Credit Agreement dated as of February 9, 2012</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r>
      <w:tr>
        <w:trPr>
          <w:trHeight w:val="234"/>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r>
    </w:tbl>
    <w:p>
      <w:pPr>
        <w:ind w:left="1320" w:right="240"/>
        <w:spacing w:after="0" w:line="260" w:lineRule="auto"/>
        <w:rPr>
          <w:sz w:val="20"/>
          <w:szCs w:val="20"/>
          <w:color w:val="auto"/>
        </w:rPr>
      </w:pPr>
      <w:r>
        <w:rPr>
          <w:rFonts w:ascii="Times New Roman" w:cs="Times New Roman" w:eastAsia="Times New Roman" w:hAnsi="Times New Roman"/>
          <w:sz w:val="18"/>
          <w:szCs w:val="18"/>
          <w:color w:val="auto"/>
        </w:rPr>
        <w:t>JPMorgan Chase Bank, N.A., as administrative agent, by Lamar Transit, LLC.</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61"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Previously filed as Exhibit 10(f)(15) to the Company’s Annual</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Report on Form 10-K for the year ended December 31, 2013 (File</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No. 0-30242) filed on February 27, 2014 and incorporated herein</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180" w:space="160"/>
            <w:col w:w="4740"/>
          </w:cols>
          <w:pgMar w:left="320" w:top="121" w:right="4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July 28, 2015, to the Second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 as amended, among Lamar Media, the subsidiary borrower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Lamar Alliance Airport Advertising Company.</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30, 2018, to the Third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May 15,</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as amended, among Lamar Media, the subsidiary borrower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Interstate Logos TRS, LLC.</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15, 2019, to the Third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May 15,</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as amended, among Lamar Media, the subsidiary borrower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FMG Outdoor Holdings, LLC, Lamar-Fairway Blocker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Inc., Lamar-Fairway Blocker 2, Inc., Magic Media, Inc.,</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Media Group, LLC, Fairway Outdoor Advertising, LLC,</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Holdings, LLC, Fairway Outdoor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LLC, MCC Outdoor, LLC, Magic Media Real Estate,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 FMO Real Estate, LLC, Douglas Outdoor Advertising of</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 Inc., Olympus Media/Indiana, LLC and Fairway CCO</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 LLC.</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15, 2019, to the Third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May 15,</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as amended, among Lamar Media, the subsidiary borrower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New Hampshire Logos, L.L.C.</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August 15, 2019, to the Third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May 15,</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as amended, among Lamar Media, the subsidiary borrower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Ashby Street Outdoor Holdings LLC, Ashby Street</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CC, LLC and Ashby Street Outdoor LLC.</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Amended and Restated Credit Agreement, dated as of</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6, 2020, by and among Lamar Media, the Subsidiary</w:t>
            </w:r>
          </w:p>
        </w:tc>
      </w:tr>
    </w:tbl>
    <w:p>
      <w:pPr>
        <w:ind w:left="1320" w:right="660"/>
        <w:spacing w:after="0" w:line="290" w:lineRule="auto"/>
        <w:rPr>
          <w:sz w:val="20"/>
          <w:szCs w:val="20"/>
          <w:color w:val="auto"/>
        </w:rPr>
      </w:pPr>
      <w:r>
        <w:rPr>
          <w:rFonts w:ascii="Times New Roman" w:cs="Times New Roman" w:eastAsia="Times New Roman" w:hAnsi="Times New Roman"/>
          <w:sz w:val="17"/>
          <w:szCs w:val="17"/>
          <w:color w:val="auto"/>
        </w:rPr>
        <w:t>Guarantors named therein, the Lenders named therein, and JPMorgan 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8" w:lineRule="exact"/>
        <w:rPr>
          <w:sz w:val="20"/>
          <w:szCs w:val="20"/>
          <w:color w:val="auto"/>
        </w:rPr>
      </w:pPr>
    </w:p>
    <w:p>
      <w:pPr>
        <w:ind w:right="100"/>
        <w:spacing w:after="0" w:line="261"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Previously filed as Exhibit 10(f)(20) to the Company’s Annual</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Report on Form 10-K for the year ended December 31, 2016 (File</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No. 1-36756) filed on February 24, 2017 and incorporated herein</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4" w:lineRule="exact"/>
        <w:rPr>
          <w:rFonts w:ascii="Times New Roman" w:cs="Times New Roman" w:eastAsia="Times New Roman" w:hAnsi="Times New Roman"/>
          <w:sz w:val="18"/>
          <w:szCs w:val="18"/>
          <w:u w:val="single" w:color="auto"/>
          <w:color w:val="0000FF"/>
        </w:rPr>
      </w:pPr>
    </w:p>
    <w:p>
      <w:pPr>
        <w:spacing w:after="0" w:line="289" w:lineRule="auto"/>
        <w:rPr>
          <w:rFonts w:ascii="Times New Roman" w:cs="Times New Roman" w:eastAsia="Times New Roman" w:hAnsi="Times New Roman"/>
          <w:sz w:val="17"/>
          <w:szCs w:val="17"/>
          <w:u w:val="single" w:color="auto"/>
          <w:color w:val="0000FF"/>
        </w:rPr>
      </w:pPr>
      <w:hyperlink r:id="rId238">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38">
        <w:r>
          <w:rPr>
            <w:rFonts w:ascii="Times New Roman" w:cs="Times New Roman" w:eastAsia="Times New Roman" w:hAnsi="Times New Roman"/>
            <w:sz w:val="17"/>
            <w:szCs w:val="17"/>
            <w:u w:val="single" w:color="auto"/>
            <w:color w:val="0000FF"/>
          </w:rPr>
          <w:t>on Form 10-Q for the period ended March 31, 2018 (File No. 1-</w:t>
        </w:r>
      </w:hyperlink>
      <w:hyperlink r:id="rId238">
        <w:r>
          <w:rPr>
            <w:rFonts w:ascii="Times New Roman" w:cs="Times New Roman" w:eastAsia="Times New Roman" w:hAnsi="Times New Roman"/>
            <w:sz w:val="17"/>
            <w:szCs w:val="17"/>
            <w:u w:val="single" w:color="auto"/>
            <w:color w:val="0000FF"/>
          </w:rPr>
          <w:t>36756) filed on May 5, 2018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98" w:lineRule="exact"/>
        <w:rPr>
          <w:rFonts w:ascii="Times New Roman" w:cs="Times New Roman" w:eastAsia="Times New Roman" w:hAnsi="Times New Roman"/>
          <w:sz w:val="17"/>
          <w:szCs w:val="17"/>
          <w:u w:val="single" w:color="auto"/>
          <w:color w:val="0000FF"/>
        </w:rPr>
      </w:pPr>
    </w:p>
    <w:p>
      <w:pPr>
        <w:spacing w:after="0" w:line="289" w:lineRule="auto"/>
        <w:rPr>
          <w:rFonts w:ascii="Times New Roman" w:cs="Times New Roman" w:eastAsia="Times New Roman" w:hAnsi="Times New Roman"/>
          <w:sz w:val="17"/>
          <w:szCs w:val="17"/>
          <w:u w:val="single" w:color="auto"/>
          <w:color w:val="0000FF"/>
        </w:rPr>
      </w:pPr>
      <w:hyperlink r:id="rId239">
        <w:r>
          <w:rPr>
            <w:rFonts w:ascii="Times New Roman" w:cs="Times New Roman" w:eastAsia="Times New Roman" w:hAnsi="Times New Roman"/>
            <w:sz w:val="17"/>
            <w:szCs w:val="17"/>
            <w:u w:val="single" w:color="auto"/>
            <w:color w:val="0000FF"/>
          </w:rPr>
          <w:t>Previously filed as Exhibit 10.3 to the Company’s Quarterly Report</w:t>
        </w:r>
      </w:hyperlink>
      <w:r>
        <w:rPr>
          <w:rFonts w:ascii="Times New Roman" w:cs="Times New Roman" w:eastAsia="Times New Roman" w:hAnsi="Times New Roman"/>
          <w:sz w:val="17"/>
          <w:szCs w:val="17"/>
          <w:u w:val="single" w:color="auto"/>
          <w:color w:val="0000FF"/>
        </w:rPr>
        <w:t xml:space="preserve"> </w:t>
      </w:r>
      <w:hyperlink r:id="rId239">
        <w:r>
          <w:rPr>
            <w:rFonts w:ascii="Times New Roman" w:cs="Times New Roman" w:eastAsia="Times New Roman" w:hAnsi="Times New Roman"/>
            <w:sz w:val="17"/>
            <w:szCs w:val="17"/>
            <w:u w:val="single" w:color="auto"/>
            <w:color w:val="0000FF"/>
          </w:rPr>
          <w:t>on Form 10-Q for the period ended March 31, 2019 (File No. 1-</w:t>
        </w:r>
      </w:hyperlink>
      <w:hyperlink r:id="rId239">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0" w:lineRule="exact"/>
        <w:rPr>
          <w:rFonts w:ascii="Times New Roman" w:cs="Times New Roman" w:eastAsia="Times New Roman" w:hAnsi="Times New Roman"/>
          <w:sz w:val="17"/>
          <w:szCs w:val="17"/>
          <w:u w:val="single" w:color="auto"/>
          <w:color w:val="0000FF"/>
        </w:rPr>
      </w:pPr>
    </w:p>
    <w:p>
      <w:pPr>
        <w:spacing w:after="0" w:line="289" w:lineRule="auto"/>
        <w:rPr>
          <w:rFonts w:ascii="Times New Roman" w:cs="Times New Roman" w:eastAsia="Times New Roman" w:hAnsi="Times New Roman"/>
          <w:sz w:val="17"/>
          <w:szCs w:val="17"/>
          <w:u w:val="single" w:color="auto"/>
          <w:color w:val="0000FF"/>
        </w:rPr>
      </w:pPr>
      <w:hyperlink r:id="rId240">
        <w:r>
          <w:rPr>
            <w:rFonts w:ascii="Times New Roman" w:cs="Times New Roman" w:eastAsia="Times New Roman" w:hAnsi="Times New Roman"/>
            <w:sz w:val="17"/>
            <w:szCs w:val="17"/>
            <w:u w:val="single" w:color="auto"/>
            <w:color w:val="0000FF"/>
          </w:rPr>
          <w:t>Previously filed as Exhibit 10.4 to the Company’s Quarterly Report</w:t>
        </w:r>
      </w:hyperlink>
      <w:r>
        <w:rPr>
          <w:rFonts w:ascii="Times New Roman" w:cs="Times New Roman" w:eastAsia="Times New Roman" w:hAnsi="Times New Roman"/>
          <w:sz w:val="17"/>
          <w:szCs w:val="17"/>
          <w:u w:val="single" w:color="auto"/>
          <w:color w:val="0000FF"/>
        </w:rPr>
        <w:t xml:space="preserve"> </w:t>
      </w:r>
      <w:hyperlink r:id="rId240">
        <w:r>
          <w:rPr>
            <w:rFonts w:ascii="Times New Roman" w:cs="Times New Roman" w:eastAsia="Times New Roman" w:hAnsi="Times New Roman"/>
            <w:sz w:val="17"/>
            <w:szCs w:val="17"/>
            <w:u w:val="single" w:color="auto"/>
            <w:color w:val="0000FF"/>
          </w:rPr>
          <w:t>on Form 10-Q for the period ended March 31, 2019 (File No. 1-</w:t>
        </w:r>
      </w:hyperlink>
      <w:hyperlink r:id="rId240">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98" w:lineRule="exact"/>
        <w:rPr>
          <w:rFonts w:ascii="Times New Roman" w:cs="Times New Roman" w:eastAsia="Times New Roman" w:hAnsi="Times New Roman"/>
          <w:sz w:val="17"/>
          <w:szCs w:val="17"/>
          <w:u w:val="single" w:color="auto"/>
          <w:color w:val="0000FF"/>
        </w:rPr>
      </w:pPr>
    </w:p>
    <w:p>
      <w:pPr>
        <w:spacing w:after="0" w:line="276" w:lineRule="auto"/>
        <w:rPr>
          <w:rFonts w:ascii="Times New Roman" w:cs="Times New Roman" w:eastAsia="Times New Roman" w:hAnsi="Times New Roman"/>
          <w:sz w:val="17"/>
          <w:szCs w:val="17"/>
          <w:u w:val="single" w:color="auto"/>
          <w:color w:val="0000FF"/>
        </w:rPr>
      </w:pPr>
      <w:hyperlink r:id="rId241">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41">
        <w:r>
          <w:rPr>
            <w:rFonts w:ascii="Times New Roman" w:cs="Times New Roman" w:eastAsia="Times New Roman" w:hAnsi="Times New Roman"/>
            <w:sz w:val="17"/>
            <w:szCs w:val="17"/>
            <w:u w:val="single" w:color="auto"/>
            <w:color w:val="0000FF"/>
          </w:rPr>
          <w:t>on Form 10-Q for the period ended September 30, 2019 (File No.</w:t>
        </w:r>
      </w:hyperlink>
    </w:p>
    <w:p>
      <w:pPr>
        <w:spacing w:after="0" w:line="1" w:lineRule="exact"/>
        <w:rPr>
          <w:sz w:val="20"/>
          <w:szCs w:val="20"/>
          <w:color w:val="auto"/>
        </w:rPr>
      </w:pPr>
    </w:p>
    <w:p>
      <w:pPr>
        <w:ind w:right="180"/>
        <w:spacing w:after="0" w:line="260"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1-36756) filed on November 5, 2019, and incorporated herein by</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reference.</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spacing w:after="0" w:line="266"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Previously filed as Exhibit 10.3 to the Company’s Current Report</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March 17, 2022, to the Fourth</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6,</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(as amended by that certain Amendment No. 1, dated as of</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 2021, and as further amended), among Lamar Media, the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Sky High Murals-Colossal Media,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8" w:lineRule="exact"/>
        <w:rPr>
          <w:sz w:val="20"/>
          <w:szCs w:val="20"/>
          <w:color w:val="auto"/>
        </w:rPr>
      </w:pPr>
    </w:p>
    <w:p>
      <w:pPr>
        <w:jc w:val="both"/>
        <w:ind w:right="120"/>
        <w:spacing w:after="0" w:line="266"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Previously filed as Exhibit 10.1 to Lamar Advertising’s Quarterly</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and incorporated herein by reference.</w:t>
        </w:r>
      </w:hyperlink>
    </w:p>
    <w:p>
      <w:pPr>
        <w:spacing w:after="0" w:line="93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10(f)(31)</w:t>
            </w: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Joinder Agreement, dated as of June 7, 2022, to the Fourth</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6,</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2020 (as amended by that certain Amendment No. 1, dated as of</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July 2, 2021, and as further amended), among Lamar Media, the</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as administrative agent, by Lamar Advertising Limited Partnership,</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Lamar Advertising General Partner, and Sky High Murals-Colossal</w:t>
            </w:r>
          </w:p>
        </w:tc>
      </w:tr>
      <w:tr>
        <w:trPr>
          <w:trHeight w:val="234"/>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Media, LLC.</w:t>
            </w: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10(f)(32)</w:t>
            </w: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2, dated as of July 29, 2022 to the Fourth</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and among Lamar Media, as Borrower, the Company, Lamar</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Media’s subsidiary guarantors party thereto, JPMorgan Chase</w:t>
            </w:r>
          </w:p>
        </w:tc>
      </w:tr>
      <w:tr>
        <w:trPr>
          <w:trHeight w:val="216"/>
        </w:trPr>
        <w:tc>
          <w:tcPr>
            <w:tcW w:w="98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N.A., as Administrative Agent and certain lenders from time</w:t>
            </w:r>
          </w:p>
        </w:tc>
      </w:tr>
      <w:tr>
        <w:trPr>
          <w:trHeight w:val="234"/>
        </w:trPr>
        <w:tc>
          <w:tcPr>
            <w:tcW w:w="98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time party thereto.</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jc w:val="both"/>
        <w:ind w:right="60"/>
        <w:spacing w:after="0" w:line="266"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Previously filed as Exhibit 10.1 to Lamar Advertising’s Quarterly</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4"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on Form 8-K (File No. 1-36756) filed on August 3, 2022 and</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incorporated herein by reference.</w:t>
        </w:r>
      </w:hyperlink>
    </w:p>
    <w:p>
      <w:pPr>
        <w:spacing w:after="0" w:line="716"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10(f)(33)</w:t>
            </w:r>
          </w:p>
        </w:tc>
        <w:tc>
          <w:tcPr>
            <w:tcW w:w="5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3, dated as of April 26, 2023 to the Fourth</w:t>
            </w:r>
          </w:p>
        </w:tc>
      </w:tr>
      <w:tr>
        <w:trPr>
          <w:trHeight w:val="216"/>
        </w:trPr>
        <w:tc>
          <w:tcPr>
            <w:tcW w:w="980" w:type="dxa"/>
            <w:vAlign w:val="bottom"/>
          </w:tcPr>
          <w:p>
            <w:pPr>
              <w:spacing w:after="0"/>
              <w:rPr>
                <w:sz w:val="18"/>
                <w:szCs w:val="18"/>
                <w:color w:val="auto"/>
              </w:rPr>
            </w:pPr>
          </w:p>
        </w:tc>
        <w:tc>
          <w:tcPr>
            <w:tcW w:w="50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Amended and Restated Credit Agreement dated February 6, 2020,</w:t>
            </w:r>
          </w:p>
        </w:tc>
      </w:tr>
      <w:tr>
        <w:trPr>
          <w:trHeight w:val="234"/>
        </w:trPr>
        <w:tc>
          <w:tcPr>
            <w:tcW w:w="980" w:type="dxa"/>
            <w:vAlign w:val="bottom"/>
          </w:tcPr>
          <w:p>
            <w:pPr>
              <w:spacing w:after="0"/>
              <w:rPr>
                <w:sz w:val="20"/>
                <w:szCs w:val="20"/>
                <w:color w:val="auto"/>
              </w:rPr>
            </w:pPr>
          </w:p>
        </w:tc>
        <w:tc>
          <w:tcPr>
            <w:tcW w:w="5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and among Lamar Media, as Borrower, the Company, Lamar</w:t>
            </w:r>
          </w:p>
        </w:tc>
      </w:tr>
    </w:tbl>
    <w:p>
      <w:pPr>
        <w:ind w:left="1320"/>
        <w:spacing w:after="0" w:line="255" w:lineRule="auto"/>
        <w:rPr>
          <w:sz w:val="20"/>
          <w:szCs w:val="20"/>
          <w:color w:val="auto"/>
        </w:rPr>
      </w:pPr>
      <w:r>
        <w:rPr>
          <w:rFonts w:ascii="Times New Roman" w:cs="Times New Roman" w:eastAsia="Times New Roman" w:hAnsi="Times New Roman"/>
          <w:sz w:val="18"/>
          <w:szCs w:val="18"/>
          <w:color w:val="auto"/>
        </w:rPr>
        <w:t>Media's subsidiary guarantors party thereto, JPMorgan Chase Bank, N.A., as Administrative Agent and certain lenders from time to time party thereto.</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40"/>
        <w:spacing w:after="0" w:line="266"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on Form 8-K (File No. 1-36756) filed on May 5, 2023 and</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incorporated herein by reference.</w:t>
        </w:r>
      </w:hyperlink>
    </w:p>
    <w:p>
      <w:pPr>
        <w:spacing w:after="0" w:line="71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60" w:space="18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10(f)(34)</w:t>
            </w:r>
          </w:p>
        </w:tc>
        <w:tc>
          <w:tcPr>
            <w:tcW w:w="5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4, dated as of July 31, 2023 to the Fourth</w:t>
            </w:r>
          </w:p>
        </w:tc>
      </w:tr>
      <w:tr>
        <w:trPr>
          <w:trHeight w:val="234"/>
        </w:trPr>
        <w:tc>
          <w:tcPr>
            <w:tcW w:w="980" w:type="dxa"/>
            <w:vAlign w:val="bottom"/>
          </w:tcPr>
          <w:p>
            <w:pPr>
              <w:spacing w:after="0"/>
              <w:rPr>
                <w:sz w:val="20"/>
                <w:szCs w:val="20"/>
                <w:color w:val="auto"/>
              </w:rPr>
            </w:pPr>
          </w:p>
        </w:tc>
        <w:tc>
          <w:tcPr>
            <w:tcW w:w="50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Amended and Restated Credit Agreement dated February 6, 2020,</w:t>
            </w:r>
          </w:p>
        </w:tc>
      </w:tr>
    </w:tbl>
    <w:p>
      <w:pPr>
        <w:ind w:left="1320"/>
        <w:spacing w:after="0" w:line="253" w:lineRule="auto"/>
        <w:rPr>
          <w:sz w:val="20"/>
          <w:szCs w:val="20"/>
          <w:color w:val="auto"/>
        </w:rPr>
      </w:pPr>
      <w:r>
        <w:rPr>
          <w:rFonts w:ascii="Times New Roman" w:cs="Times New Roman" w:eastAsia="Times New Roman" w:hAnsi="Times New Roman"/>
          <w:sz w:val="18"/>
          <w:szCs w:val="18"/>
          <w:color w:val="auto"/>
        </w:rPr>
        <w:t>by and among Lamar Media, as Borrower, the Company, Lamar Media's subsidiary guarantors party thereto, JPMorgan Chase Bank, N.A., as Administrative Agent and certain lenders from time to time party thereto.</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140"/>
        <w:spacing w:after="0" w:line="266" w:lineRule="auto"/>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on Form 8-K (File No. 1-36756) filed on August 2, 2023 and</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incorporated herein by reference.</w:t>
        </w:r>
      </w:hyperlink>
    </w:p>
    <w:p>
      <w:pPr>
        <w:spacing w:after="0" w:line="71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60" w:space="18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10(f)(35)</w:t>
            </w: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Joinder Agreement, dated as of May 14, 2024, to the Fourth</w:t>
            </w:r>
          </w:p>
        </w:tc>
      </w:tr>
      <w:tr>
        <w:trPr>
          <w:trHeight w:val="216"/>
        </w:trPr>
        <w:tc>
          <w:tcPr>
            <w:tcW w:w="98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Amended and Restated Credit Agreement dated as of February 6,</w:t>
            </w:r>
          </w:p>
        </w:tc>
      </w:tr>
      <w:tr>
        <w:trPr>
          <w:trHeight w:val="234"/>
        </w:trPr>
        <w:tc>
          <w:tcPr>
            <w:tcW w:w="980" w:type="dxa"/>
            <w:vAlign w:val="bottom"/>
          </w:tcPr>
          <w:p>
            <w:pPr>
              <w:spacing w:after="0"/>
              <w:rPr>
                <w:sz w:val="20"/>
                <w:szCs w:val="20"/>
                <w:color w:val="auto"/>
              </w:rPr>
            </w:pPr>
          </w:p>
        </w:tc>
        <w:tc>
          <w:tcPr>
            <w:tcW w:w="5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2020 (as amended by that certain Amendment No. 1, dated as of</w:t>
            </w:r>
          </w:p>
        </w:tc>
      </w:tr>
    </w:tbl>
    <w:p>
      <w:pPr>
        <w:jc w:val="both"/>
        <w:ind w:left="1320"/>
        <w:spacing w:after="0" w:line="255" w:lineRule="auto"/>
        <w:rPr>
          <w:sz w:val="20"/>
          <w:szCs w:val="20"/>
          <w:color w:val="auto"/>
        </w:rPr>
      </w:pPr>
      <w:r>
        <w:rPr>
          <w:rFonts w:ascii="Times New Roman" w:cs="Times New Roman" w:eastAsia="Times New Roman" w:hAnsi="Times New Roman"/>
          <w:sz w:val="18"/>
          <w:szCs w:val="18"/>
          <w:color w:val="auto"/>
        </w:rPr>
        <w:t>July 2, 2021, and as further amended), among Lamar Media, the subsidiary borrower party thereto, the subsidiary guarantors party thereto, the lenders party thereto and Alabama Logos, LLC.</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9"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89" w:lineRule="auto"/>
        <w:rPr>
          <w:rFonts w:ascii="Times New Roman" w:cs="Times New Roman" w:eastAsia="Times New Roman" w:hAnsi="Times New Roman"/>
          <w:sz w:val="17"/>
          <w:szCs w:val="17"/>
          <w:u w:val="single" w:color="auto"/>
          <w:color w:val="0000FF"/>
        </w:rPr>
      </w:pPr>
      <w:hyperlink r:id="rId250">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50">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250">
        <w:r>
          <w:rPr>
            <w:rFonts w:ascii="Times New Roman" w:cs="Times New Roman" w:eastAsia="Times New Roman" w:hAnsi="Times New Roman"/>
            <w:sz w:val="17"/>
            <w:szCs w:val="17"/>
            <w:u w:val="single" w:color="auto"/>
            <w:color w:val="0000FF"/>
          </w:rPr>
          <w:t>2024 filed on August 8, 2024 and incorporated herein by reference.</w:t>
        </w:r>
      </w:hyperlink>
    </w:p>
    <w:p>
      <w:pPr>
        <w:sectPr>
          <w:pgSz w:w="11900" w:h="16838" w:orient="portrait"/>
          <w:cols w:equalWidth="0" w:num="2">
            <w:col w:w="6040" w:space="300"/>
            <w:col w:w="4840"/>
          </w:cols>
          <w:pgMar w:left="320" w:top="121" w:right="39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6, 2024, to the Fourth</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6,</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(as amended by that certain Amendment No. 1, dated as of</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 2021, and as further amended), among Lamar Media, the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 the lenders party thereto and OBCM, LLC.</w:t>
            </w:r>
          </w:p>
        </w:tc>
      </w:tr>
      <w:tr>
        <w:trPr>
          <w:trHeight w:val="30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5, dated as of September 23, 2025 to the Fourth</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and among Lamar Media, as Borrower, the Company, Lamar</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Media’s subsidiary guarantors party thereto, JPMorgan Chase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 as Administrative Agent and certain lenders from time</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time party thereto.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3111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8" w:lineRule="exact"/>
        <w:rPr>
          <w:sz w:val="20"/>
          <w:szCs w:val="20"/>
          <w:color w:val="auto"/>
        </w:rPr>
      </w:pPr>
    </w:p>
    <w:p>
      <w:pPr>
        <w:ind w:right="100"/>
        <w:spacing w:after="0" w:line="261" w:lineRule="auto"/>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Previously filed as Exhibit 10(f)(36) to the Company’s Annual</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Report on Form 10-K for the year ended December 31, 2024 (File</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No. 1-36756) filed on February 20, 2025 and incorporated herein</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04" w:lineRule="exact"/>
        <w:rPr>
          <w:rFonts w:ascii="Times New Roman" w:cs="Times New Roman" w:eastAsia="Times New Roman" w:hAnsi="Times New Roman"/>
          <w:sz w:val="18"/>
          <w:szCs w:val="18"/>
          <w:u w:val="single" w:color="auto"/>
          <w:color w:val="0000FF"/>
        </w:rPr>
      </w:pPr>
    </w:p>
    <w:p>
      <w:pPr>
        <w:jc w:val="both"/>
        <w:ind w:right="120"/>
        <w:spacing w:after="0" w:line="266" w:lineRule="auto"/>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on Form 8-K (File No. 1-36756) filed on September 24, 2025 and</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incorporated herein by reference.</w:t>
        </w:r>
      </w:hyperlink>
    </w:p>
    <w:p>
      <w:pPr>
        <w:spacing w:after="0" w:line="716"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840"/>
          </w:cols>
          <w:pgMar w:left="320" w:top="121" w:right="399" w:bottom="1440" w:gutter="0" w:footer="0" w:header="0"/>
          <w:type w:val="continuous"/>
        </w:sectPr>
      </w:pPr>
    </w:p>
    <w:p>
      <w:pPr>
        <w:jc w:val="center"/>
        <w:ind w:right="3740"/>
        <w:spacing w:after="0"/>
        <w:tabs>
          <w:tab w:leader="none" w:pos="620" w:val="left"/>
          <w:tab w:leader="none" w:pos="360" w:val="left"/>
        </w:tabs>
        <w:rPr>
          <w:sz w:val="20"/>
          <w:szCs w:val="20"/>
          <w:color w:val="auto"/>
        </w:rPr>
      </w:pPr>
      <w:r>
        <w:rPr>
          <w:rFonts w:ascii="Times New Roman" w:cs="Times New Roman" w:eastAsia="Times New Roman" w:hAnsi="Times New Roman"/>
          <w:sz w:val="18"/>
          <w:szCs w:val="18"/>
          <w:color w:val="auto"/>
        </w:rPr>
        <w:t>10(f)(38)</w:t>
      </w:r>
      <w:r>
        <w:rPr>
          <w:sz w:val="20"/>
          <w:szCs w:val="20"/>
          <w:color w:val="auto"/>
        </w:rPr>
        <w:tab/>
      </w:r>
      <w:r>
        <w:rPr>
          <w:rFonts w:ascii="Times New Roman" w:cs="Times New Roman" w:eastAsia="Times New Roman" w:hAnsi="Times New Roman"/>
          <w:sz w:val="18"/>
          <w:szCs w:val="18"/>
          <w:color w:val="auto"/>
        </w:rPr>
        <w:t>Joinder Agreement, dated as of December 6, 2024, to the Fourth</w:t>
      </w:r>
      <w:r>
        <w:rPr>
          <w:sz w:val="20"/>
          <w:szCs w:val="20"/>
          <w:color w:val="auto"/>
        </w:rPr>
        <w:tab/>
      </w:r>
      <w:r>
        <w:rPr>
          <w:rFonts w:ascii="Times New Roman" w:cs="Times New Roman" w:eastAsia="Times New Roman" w:hAnsi="Times New Roman"/>
          <w:sz w:val="17"/>
          <w:szCs w:val="17"/>
          <w:u w:val="single" w:color="auto"/>
          <w:color w:val="0000FF"/>
        </w:rPr>
        <w:t>Filed herewith.</w:t>
      </w:r>
    </w:p>
    <w:p>
      <w:pPr>
        <w:spacing w:after="0" w:line="27" w:lineRule="exact"/>
        <w:rPr>
          <w:rFonts w:ascii="Times New Roman" w:cs="Times New Roman" w:eastAsia="Times New Roman" w:hAnsi="Times New Roman"/>
          <w:sz w:val="18"/>
          <w:szCs w:val="18"/>
          <w:u w:val="single" w:color="auto"/>
          <w:color w:val="0000FF"/>
        </w:rPr>
      </w:pPr>
    </w:p>
    <w:p>
      <w:pPr>
        <w:jc w:val="center"/>
        <w:ind w:right="3840"/>
        <w:spacing w:after="0"/>
        <w:rPr>
          <w:sz w:val="20"/>
          <w:szCs w:val="20"/>
          <w:color w:val="auto"/>
        </w:rPr>
      </w:pPr>
      <w:r>
        <w:rPr>
          <w:rFonts w:ascii="Times New Roman" w:cs="Times New Roman" w:eastAsia="Times New Roman" w:hAnsi="Times New Roman"/>
          <w:sz w:val="18"/>
          <w:szCs w:val="18"/>
          <w:color w:val="auto"/>
        </w:rPr>
        <w:t>Amended and Restated Credit Agreement dated as of February 6,</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2020 (as amended by that certain Amendment No. 1, dated as of</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July 2, 2021, and as further amended), among Lamar Media, the</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p>
      <w:pPr>
        <w:spacing w:after="0" w:line="9" w:lineRule="exact"/>
        <w:rPr>
          <w:rFonts w:ascii="Times New Roman" w:cs="Times New Roman" w:eastAsia="Times New Roman" w:hAnsi="Times New Roman"/>
          <w:sz w:val="18"/>
          <w:szCs w:val="18"/>
          <w:u w:val="single" w:color="auto"/>
          <w:color w:val="0000FF"/>
        </w:rPr>
      </w:pPr>
    </w:p>
    <w:p>
      <w:pPr>
        <w:ind w:left="1320"/>
        <w:spacing w:after="0"/>
        <w:rPr>
          <w:sz w:val="20"/>
          <w:szCs w:val="20"/>
          <w:color w:val="auto"/>
        </w:rPr>
      </w:pPr>
      <w:r>
        <w:rPr>
          <w:rFonts w:ascii="Times New Roman" w:cs="Times New Roman" w:eastAsia="Times New Roman" w:hAnsi="Times New Roman"/>
          <w:sz w:val="18"/>
          <w:szCs w:val="18"/>
          <w:color w:val="auto"/>
        </w:rPr>
        <w:t>thereto, the lenders party thereto and Arkansas Logos, LLC.</w:t>
      </w:r>
    </w:p>
    <w:p>
      <w:pPr>
        <w:sectPr>
          <w:pgSz w:w="11900" w:h="16838" w:orient="portrait"/>
          <w:cols w:equalWidth="0" w:num="1">
            <w:col w:w="11180"/>
          </w:cols>
          <w:pgMar w:left="320" w:top="121" w:right="399" w:bottom="1440" w:gutter="0" w:footer="0" w:header="0"/>
          <w:type w:val="continuous"/>
        </w:sectPr>
      </w:pPr>
    </w:p>
    <w:p>
      <w:pPr>
        <w:spacing w:after="0" w:line="99"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10(g)(1)</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Limited Partnership Agreement of Lamar</w:t>
            </w:r>
          </w:p>
        </w:tc>
      </w:tr>
      <w:tr>
        <w:trPr>
          <w:trHeight w:val="234"/>
        </w:trPr>
        <w:tc>
          <w:tcPr>
            <w:tcW w:w="100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Advertising Limited Partnership, dated July 1, 2022.</w:t>
            </w:r>
          </w:p>
        </w:tc>
      </w:tr>
      <w:tr>
        <w:trPr>
          <w:trHeight w:val="54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10(g)(2)*</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2022 LTIP Unit Award Agreement.</w:t>
            </w:r>
          </w:p>
        </w:tc>
      </w:tr>
      <w:tr>
        <w:trPr>
          <w:trHeight w:val="75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10(g)(3)*</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2023 LTIP Unit Award Agreement.</w:t>
            </w:r>
          </w:p>
        </w:tc>
      </w:tr>
      <w:tr>
        <w:trPr>
          <w:trHeight w:val="75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10(g)(4)*</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2024 LTIP Unit Award Agreement.</w:t>
            </w:r>
          </w:p>
        </w:tc>
      </w:tr>
      <w:tr>
        <w:trPr>
          <w:trHeight w:val="7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10(l)*</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Indemnification Agreement between the Company and the</w:t>
            </w:r>
          </w:p>
        </w:tc>
      </w:tr>
      <w:tr>
        <w:trPr>
          <w:trHeight w:val="216"/>
        </w:trPr>
        <w:tc>
          <w:tcPr>
            <w:tcW w:w="100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directors and executive officers of the Company, dated as of</w:t>
            </w:r>
          </w:p>
        </w:tc>
      </w:tr>
      <w:tr>
        <w:trPr>
          <w:trHeight w:val="234"/>
        </w:trPr>
        <w:tc>
          <w:tcPr>
            <w:tcW w:w="100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18, 2014.</w:t>
            </w: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14(a)</w:t>
            </w: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Lamar Advertising Company Code of Business Conduct and</w:t>
            </w:r>
          </w:p>
        </w:tc>
      </w:tr>
      <w:tr>
        <w:trPr>
          <w:trHeight w:val="234"/>
        </w:trPr>
        <w:tc>
          <w:tcPr>
            <w:tcW w:w="100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Ethics.</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79"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on Form 8-K (File No. 1-36756) filed on July 7, 2022 and</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on Form 8-K (File No. 1-36756) filed on July 7, 2022 and</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140"/>
        <w:spacing w:after="0" w:line="266" w:lineRule="auto"/>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on Form 8-K (File No. 1-36756) filed on March 2, 2023 and</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spacing w:after="0" w:line="289" w:lineRule="auto"/>
        <w:rPr>
          <w:rFonts w:ascii="Times New Roman" w:cs="Times New Roman" w:eastAsia="Times New Roman" w:hAnsi="Times New Roman"/>
          <w:sz w:val="17"/>
          <w:szCs w:val="17"/>
          <w:u w:val="single" w:color="auto"/>
          <w:color w:val="0000FF"/>
        </w:rPr>
      </w:pPr>
      <w:hyperlink r:id="rId257">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57">
        <w:r>
          <w:rPr>
            <w:rFonts w:ascii="Times New Roman" w:cs="Times New Roman" w:eastAsia="Times New Roman" w:hAnsi="Times New Roman"/>
            <w:sz w:val="17"/>
            <w:szCs w:val="17"/>
            <w:u w:val="single" w:color="auto"/>
            <w:color w:val="0000FF"/>
          </w:rPr>
          <w:t>on Form 10-Q (File No. 1-36756) for the period ended March 31,</w:t>
        </w:r>
      </w:hyperlink>
      <w:r>
        <w:rPr>
          <w:rFonts w:ascii="Times New Roman" w:cs="Times New Roman" w:eastAsia="Times New Roman" w:hAnsi="Times New Roman"/>
          <w:sz w:val="17"/>
          <w:szCs w:val="17"/>
          <w:u w:val="single" w:color="auto"/>
          <w:color w:val="0000FF"/>
        </w:rPr>
        <w:t xml:space="preserve"> </w:t>
      </w:r>
      <w:hyperlink r:id="rId257">
        <w:r>
          <w:rPr>
            <w:rFonts w:ascii="Times New Roman" w:cs="Times New Roman" w:eastAsia="Times New Roman" w:hAnsi="Times New Roman"/>
            <w:sz w:val="17"/>
            <w:szCs w:val="17"/>
            <w:u w:val="single" w:color="auto"/>
            <w:color w:val="0000FF"/>
          </w:rPr>
          <w:t>2024 filed on May 2, 2024 and incorporated herein by reference.</w:t>
        </w:r>
      </w:hyperlink>
    </w:p>
    <w:p>
      <w:pPr>
        <w:spacing w:after="0" w:line="50" w:lineRule="exact"/>
        <w:rPr>
          <w:rFonts w:ascii="Times New Roman" w:cs="Times New Roman" w:eastAsia="Times New Roman" w:hAnsi="Times New Roman"/>
          <w:sz w:val="17"/>
          <w:szCs w:val="17"/>
          <w:u w:val="single" w:color="auto"/>
          <w:color w:val="0000FF"/>
        </w:rPr>
      </w:pPr>
    </w:p>
    <w:p>
      <w:pPr>
        <w:jc w:val="both"/>
        <w:ind w:right="120"/>
        <w:spacing w:after="0" w:line="266" w:lineRule="auto"/>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on 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incorporated herein by reference.</w:t>
        </w:r>
      </w:hyperlink>
    </w:p>
    <w:p>
      <w:pPr>
        <w:spacing w:after="0" w:line="68" w:lineRule="exact"/>
        <w:rPr>
          <w:rFonts w:ascii="Times New Roman" w:cs="Times New Roman" w:eastAsia="Times New Roman" w:hAnsi="Times New Roman"/>
          <w:sz w:val="18"/>
          <w:szCs w:val="18"/>
          <w:u w:val="single" w:color="auto"/>
          <w:color w:val="0000FF"/>
        </w:rPr>
      </w:pPr>
    </w:p>
    <w:p>
      <w:pPr>
        <w:ind w:right="100"/>
        <w:spacing w:after="0" w:line="261" w:lineRule="auto"/>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Previously filed as Exhibit 14(a) to the Company's Annual Report</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on Form 10-K for the year ended December 31, 2022 (File No. 1-</w:t>
        </w:r>
      </w:hyperlink>
      <w:hyperlink r:id="rId259">
        <w:r>
          <w:rPr>
            <w:rFonts w:ascii="Times New Roman" w:cs="Times New Roman" w:eastAsia="Times New Roman" w:hAnsi="Times New Roman"/>
            <w:sz w:val="18"/>
            <w:szCs w:val="18"/>
            <w:u w:val="single" w:color="auto"/>
            <w:color w:val="0000FF"/>
          </w:rPr>
          <w:t>36756) filed on February 24, 2023 and incorporated herein by</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reference.</w:t>
        </w:r>
      </w:hyperlink>
    </w:p>
    <w:p>
      <w:pPr>
        <w:spacing w:after="0" w:line="7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60" w:space="180"/>
            <w:col w:w="4840"/>
          </w:cols>
          <w:pgMar w:left="320" w:top="121" w:right="399" w:bottom="1440" w:gutter="0" w:footer="0" w:header="0"/>
          <w:type w:val="continuous"/>
        </w:sectPr>
      </w:pPr>
    </w:p>
    <w:p>
      <w:pPr>
        <w:ind w:left="1320" w:right="200" w:hanging="1294"/>
        <w:spacing w:after="0" w:line="282" w:lineRule="auto"/>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Lamar Advertising Policy on Securities Trading and Inside Information.</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07" w:lineRule="exact"/>
        <w:rPr>
          <w:rFonts w:ascii="Times New Roman" w:cs="Times New Roman" w:eastAsia="Times New Roman" w:hAnsi="Times New Roman"/>
          <w:sz w:val="18"/>
          <w:szCs w:val="18"/>
          <w:u w:val="single" w:color="auto"/>
          <w:color w:val="0000FF"/>
        </w:rPr>
      </w:pPr>
    </w:p>
    <w:p>
      <w:pPr>
        <w:jc w:val="right"/>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60"/>
        <w:spacing w:after="0" w:line="261"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Previously filed as Exhibit 19 to the Company’s Annual Report on</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Form 10-K for the year ended December 31, 2024 (File No. 1-</w:t>
        </w:r>
      </w:hyperlink>
      <w:hyperlink r:id="rId261">
        <w:r>
          <w:rPr>
            <w:rFonts w:ascii="Times New Roman" w:cs="Times New Roman" w:eastAsia="Times New Roman" w:hAnsi="Times New Roman"/>
            <w:sz w:val="18"/>
            <w:szCs w:val="18"/>
            <w:u w:val="single" w:color="auto"/>
            <w:color w:val="0000FF"/>
          </w:rPr>
          <w:t>36756) filed on February 20, 2025 and incorporated herein by</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5760" w:space="580"/>
            <w:col w:w="4840"/>
          </w:cols>
          <w:pgMar w:left="320" w:top="121" w:right="3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190"/>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2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37"/>
        </w:trPr>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r>
      <w:tr>
        <w:trPr>
          <w:trHeight w:val="196"/>
        </w:trPr>
        <w:tc>
          <w:tcPr>
            <w:tcW w:w="13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21(a)</w:t>
            </w:r>
          </w:p>
        </w:tc>
        <w:tc>
          <w:tcPr>
            <w:tcW w:w="5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Subsidiaries of the Company.</w:t>
            </w:r>
          </w:p>
        </w:tc>
        <w:tc>
          <w:tcPr>
            <w:tcW w:w="20" w:type="dxa"/>
            <w:vAlign w:val="bottom"/>
          </w:tcPr>
          <w:p>
            <w:pPr>
              <w:spacing w:after="0"/>
              <w:rPr>
                <w:sz w:val="17"/>
                <w:szCs w:val="17"/>
                <w:color w:val="auto"/>
              </w:rPr>
            </w:pPr>
          </w:p>
        </w:tc>
        <w:tc>
          <w:tcPr>
            <w:tcW w:w="10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Filed herewith.</w:t>
            </w:r>
          </w:p>
        </w:tc>
        <w:tc>
          <w:tcPr>
            <w:tcW w:w="3800" w:type="dxa"/>
            <w:vAlign w:val="bottom"/>
          </w:tcPr>
          <w:p>
            <w:pPr>
              <w:spacing w:after="0"/>
              <w:rPr>
                <w:sz w:val="17"/>
                <w:szCs w:val="17"/>
                <w:color w:val="auto"/>
              </w:rPr>
            </w:pPr>
          </w:p>
        </w:tc>
      </w:tr>
      <w:tr>
        <w:trPr>
          <w:trHeight w:val="30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22(a)</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Subsidiary guarantors of Lamar Media.</w:t>
            </w:r>
          </w:p>
        </w:tc>
        <w:tc>
          <w:tcPr>
            <w:tcW w:w="20" w:type="dxa"/>
            <w:vAlign w:val="bottom"/>
          </w:tcPr>
          <w:p>
            <w:pPr>
              <w:spacing w:after="0"/>
              <w:rPr>
                <w:sz w:val="24"/>
                <w:szCs w:val="24"/>
                <w:color w:val="auto"/>
              </w:rPr>
            </w:pPr>
          </w:p>
        </w:tc>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Filed herewith.</w:t>
            </w:r>
          </w:p>
        </w:tc>
        <w:tc>
          <w:tcPr>
            <w:tcW w:w="3800" w:type="dxa"/>
            <w:vAlign w:val="bottom"/>
          </w:tcPr>
          <w:p>
            <w:pPr>
              <w:spacing w:after="0"/>
              <w:rPr>
                <w:sz w:val="24"/>
                <w:szCs w:val="24"/>
                <w:color w:val="auto"/>
              </w:rPr>
            </w:pPr>
          </w:p>
        </w:tc>
      </w:tr>
      <w:tr>
        <w:trPr>
          <w:trHeight w:val="30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23(a)</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of KPMG LLP.</w:t>
            </w:r>
          </w:p>
        </w:tc>
        <w:tc>
          <w:tcPr>
            <w:tcW w:w="20" w:type="dxa"/>
            <w:vAlign w:val="bottom"/>
          </w:tcPr>
          <w:p>
            <w:pPr>
              <w:spacing w:after="0"/>
              <w:rPr>
                <w:sz w:val="24"/>
                <w:szCs w:val="24"/>
                <w:color w:val="auto"/>
              </w:rPr>
            </w:pPr>
          </w:p>
        </w:tc>
        <w:tc>
          <w:tcPr>
            <w:tcW w:w="1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Filed herewith.</w:t>
            </w:r>
          </w:p>
        </w:tc>
        <w:tc>
          <w:tcPr>
            <w:tcW w:w="3800" w:type="dxa"/>
            <w:vAlign w:val="bottom"/>
          </w:tcPr>
          <w:p>
            <w:pPr>
              <w:spacing w:after="0"/>
              <w:rPr>
                <w:sz w:val="24"/>
                <w:szCs w:val="24"/>
                <w:color w:val="auto"/>
              </w:rPr>
            </w:pPr>
          </w:p>
        </w:tc>
      </w:tr>
      <w:tr>
        <w:trPr>
          <w:trHeight w:val="30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31(a)</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the Company and</w:t>
            </w:r>
          </w:p>
        </w:tc>
        <w:tc>
          <w:tcPr>
            <w:tcW w:w="2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Filed herewith.</w:t>
            </w: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Lamar Media pursuant to Securities Exchange Act Rules 13a-14(a)</w:t>
            </w:r>
          </w:p>
        </w:tc>
        <w:tc>
          <w:tcPr>
            <w:tcW w:w="20" w:type="dxa"/>
            <w:vAlign w:val="bottom"/>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the Company and</w:t>
            </w:r>
          </w:p>
        </w:tc>
        <w:tc>
          <w:tcPr>
            <w:tcW w:w="2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Filed herewith.</w:t>
            </w: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Lamar Media pursuant to Securities Exchange Act Rules 13a-14(a)</w:t>
            </w:r>
          </w:p>
        </w:tc>
        <w:tc>
          <w:tcPr>
            <w:tcW w:w="20" w:type="dxa"/>
            <w:vAlign w:val="bottom"/>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32(a)</w:t>
            </w: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tc>
        <w:tc>
          <w:tcPr>
            <w:tcW w:w="2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Filed herewith.</w:t>
            </w:r>
          </w:p>
        </w:tc>
      </w:tr>
      <w:tr>
        <w:trPr>
          <w:trHeight w:val="237"/>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20" w:type="dxa"/>
            <w:vAlign w:val="bottom"/>
          </w:tcPr>
          <w:p>
            <w:pPr>
              <w:spacing w:after="0"/>
              <w:rPr>
                <w:sz w:val="20"/>
                <w:szCs w:val="20"/>
                <w:color w:val="auto"/>
              </w:rPr>
            </w:pPr>
          </w:p>
        </w:tc>
        <w:tc>
          <w:tcPr>
            <w:tcW w:w="1080" w:type="dxa"/>
            <w:vAlign w:val="bottom"/>
            <w:tcBorders>
              <w:top w:val="single" w:sz="8" w:color="0000FF"/>
            </w:tcBorders>
          </w:tcPr>
          <w:p>
            <w:pPr>
              <w:spacing w:after="0"/>
              <w:rPr>
                <w:sz w:val="20"/>
                <w:szCs w:val="20"/>
                <w:color w:val="auto"/>
              </w:rPr>
            </w:pPr>
          </w:p>
        </w:tc>
        <w:tc>
          <w:tcPr>
            <w:tcW w:w="380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220"/>
          </w:cols>
          <w:pgMar w:left="320" w:top="121" w:right="359" w:bottom="1440" w:gutter="0" w:footer="0" w:header="0"/>
        </w:sect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20" w:hanging="1294"/>
        <w:spacing w:after="0" w:line="252" w:lineRule="auto"/>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combined Annual Report of the Company and Lamar Media Corp. on Form 10-K for the year ended December 31, 2025, formatted in Inline XBRL (eXtensible Business Reporting Language): (i) Consolidated Balance Sheets as of December 31, 2025 and 2024 of the Company and Lamar Media, (ii) Consolidated Statements of Income and Comprehensive Income for the years ended December 31, 2025, 2024 and 2023 of the Company and Lamar Media, (iii) Consolidated Statements of Stockholders’ Equity for the years ended December 31, 2025, 2024 and 2023 of the Company and Lamar Media, (iv) Consolidated Statements of Cash Flows for the years ended December 31, 2025, 2024 and 2023 of the Company and Lamar Media, and (v) Notes to Consolidated Financial Statements of the Company and Lamar Media.</w:t>
      </w:r>
    </w:p>
    <w:p>
      <w:pPr>
        <w:spacing w:after="0" w:line="89" w:lineRule="exact"/>
        <w:rPr>
          <w:sz w:val="20"/>
          <w:szCs w:val="20"/>
          <w:color w:val="auto"/>
        </w:rPr>
      </w:pPr>
    </w:p>
    <w:p>
      <w:pPr>
        <w:ind w:left="1320" w:right="200" w:hanging="1294"/>
        <w:spacing w:after="0" w:line="282" w:lineRule="auto"/>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ind w:right="120"/>
        <w:spacing w:after="0" w:line="261" w:lineRule="auto"/>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Previously filed as Exhibit 97 to the Company's Annual Report on</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Form 10-K for the year ended December 31, 2023 (File No. 1-</w:t>
        </w:r>
      </w:hyperlink>
      <w:hyperlink r:id="rId262">
        <w:r>
          <w:rPr>
            <w:rFonts w:ascii="Times New Roman" w:cs="Times New Roman" w:eastAsia="Times New Roman" w:hAnsi="Times New Roman"/>
            <w:sz w:val="18"/>
            <w:szCs w:val="18"/>
            <w:u w:val="single" w:color="auto"/>
            <w:color w:val="0000FF"/>
          </w:rPr>
          <w:t>36756) filed on February 23, 2024 and incorporated herein by</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reference.</w:t>
        </w:r>
      </w:hyperlink>
    </w:p>
    <w:p>
      <w:pPr>
        <w:spacing w:after="0" w:line="375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80"/>
          </w:cols>
          <w:pgMar w:left="320" w:top="121" w:right="359" w:bottom="1440" w:gutter="0" w:footer="0" w:header="0"/>
          <w:type w:val="continuous"/>
        </w:sectPr>
      </w:pPr>
    </w:p>
    <w:p>
      <w:pPr>
        <w:jc w:val="center"/>
        <w:ind w:left="5480" w:right="780" w:hanging="5472"/>
        <w:spacing w:after="0" w:line="923" w:lineRule="auto"/>
        <w:tabs>
          <w:tab w:leader="none" w:pos="323"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Denotes management contract or compensatory plan or arrangement in which the executive officers or directors of the Company participate. 124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tc>
      </w:tr>
      <w:tr>
        <w:trPr>
          <w:trHeight w:val="54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2026</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7"/>
        </w:trPr>
        <w:tc>
          <w:tcPr>
            <w:tcW w:w="3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Sean E. Reilly</w:t>
            </w:r>
          </w:p>
        </w:tc>
      </w:tr>
      <w:tr>
        <w:trPr>
          <w:trHeight w:val="270"/>
        </w:trPr>
        <w:tc>
          <w:tcPr>
            <w:tcW w:w="32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4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30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7"/>
        </w:trPr>
        <w:tc>
          <w:tcPr>
            <w:tcW w:w="3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7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P. Reilly, Jr.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Reilly, Jr.</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Wendell S.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Wendell S. Reilly</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P. Mumblow</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Mumblow</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Mitchell Landrieu</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Mitchell Landrieu</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Marshall A. Loeb</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 A. Loeb</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Reifenheiser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Reifenheiser</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Anna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Anna Reilly</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E. Koerner, III</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 Koerner, III</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Elizabeth Thompson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Thompson</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Nancy Fletcher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Fletcher</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83" w:lineRule="exact"/>
        <w:rPr>
          <w:sz w:val="20"/>
          <w:szCs w:val="20"/>
          <w:color w:val="auto"/>
        </w:rPr>
      </w:pPr>
    </w:p>
    <w:p>
      <w:pPr>
        <w:ind w:left="20"/>
        <w:spacing w:after="0"/>
        <w:tabs>
          <w:tab w:leader="none" w:pos="5440" w:val="left"/>
          <w:tab w:leader="none" w:pos="6220" w:val="left"/>
        </w:tabs>
        <w:rPr>
          <w:sz w:val="20"/>
          <w:szCs w:val="20"/>
          <w:color w:val="auto"/>
        </w:rPr>
      </w:pPr>
      <w:r>
        <w:rPr>
          <w:rFonts w:ascii="Times New Roman" w:cs="Times New Roman" w:eastAsia="Times New Roman" w:hAnsi="Times New Roman"/>
          <w:sz w:val="18"/>
          <w:szCs w:val="18"/>
          <w:color w:val="auto"/>
        </w:rPr>
        <w:t>February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34290</wp:posOffset>
            </wp:positionV>
            <wp:extent cx="31635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Sean E. Reilly</w:t>
      </w:r>
    </w:p>
    <w:p>
      <w:pPr>
        <w:spacing w:after="0" w:line="6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74"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30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3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9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P. Reilly, Jr.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Reilly, Jr.</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c>
          <w:tcPr>
            <w:tcW w:w="100" w:type="dxa"/>
            <w:vAlign w:val="bottom"/>
          </w:tcPr>
          <w:p>
            <w:pPr>
              <w:spacing w:after="0"/>
              <w:rPr>
                <w:sz w:val="24"/>
                <w:szCs w:val="24"/>
                <w:color w:val="auto"/>
              </w:rPr>
            </w:pPr>
          </w:p>
        </w:tc>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Chief Financial and Accounting Officer and Director</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300" w:type="dxa"/>
            <w:vAlign w:val="bottom"/>
            <w:gridSpan w:val="2"/>
            <w:vMerge w:val="continue"/>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c>
          <w:tcPr>
            <w:tcW w:w="100" w:type="dxa"/>
            <w:vAlign w:val="bottom"/>
          </w:tcPr>
          <w:p>
            <w:pPr>
              <w:spacing w:after="0"/>
              <w:rPr>
                <w:sz w:val="20"/>
                <w:szCs w:val="20"/>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Lee Kantrow, Jr.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of Business Development</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2026</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Kantrow, Jr.</w:t>
            </w:r>
          </w:p>
        </w:tc>
        <w:tc>
          <w:tcPr>
            <w:tcW w:w="1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121" w:right="359" w:bottom="1440" w:gutter="0" w:footer="0" w:header="0"/>
        </w:sectPr>
      </w:pPr>
    </w:p>
    <w:bookmarkStart w:id="127" w:name="page128"/>
    <w:bookmarkEnd w:id="127"/>
    <w:p>
      <w:pPr>
        <w:ind w:left="9880"/>
        <w:spacing w:after="0"/>
        <w:rPr>
          <w:sz w:val="20"/>
          <w:szCs w:val="20"/>
          <w:color w:val="auto"/>
        </w:rPr>
      </w:pPr>
      <w:r>
        <w:rPr>
          <w:rFonts w:ascii="Times New Roman" w:cs="Times New Roman" w:eastAsia="Times New Roman" w:hAnsi="Times New Roman"/>
          <w:sz w:val="21"/>
          <w:szCs w:val="21"/>
          <w:b w:val="1"/>
          <w:bCs w:val="1"/>
          <w:color w:val="auto"/>
        </w:rPr>
        <w:t>Exhibit 4(b)(9)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94"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November 7, 2025,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ARKANSAS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3.750%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2" w:right="339" w:bottom="1440" w:gutter="0" w:footer="0" w:header="0"/>
        </w:sectPr>
      </w:pPr>
    </w:p>
    <w:bookmarkStart w:id="128" w:name="page129"/>
    <w:bookmarkEnd w:id="128"/>
    <w:p>
      <w:pPr>
        <w:jc w:val="both"/>
        <w:ind w:firstLine="656"/>
        <w:spacing w:after="0" w:line="257" w:lineRule="auto"/>
        <w:tabs>
          <w:tab w:leader="none" w:pos="10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29" w:name="page130"/>
    <w:bookmarkEnd w:id="129"/>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ARKANSAS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30" w:name="page131"/>
    <w:bookmarkEnd w:id="130"/>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31" w:name="page132"/>
    <w:bookmarkEnd w:id="131"/>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NORTH CAROLINA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8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7"/>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70"/>
        </w:trPr>
        <w:tc>
          <w:tcPr>
            <w:tcW w:w="760" w:type="dxa"/>
            <w:vAlign w:val="bottom"/>
          </w:tcPr>
          <w:p>
            <w:pPr>
              <w:spacing w:after="0"/>
              <w:rPr>
                <w:sz w:val="23"/>
                <w:szCs w:val="23"/>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3"/>
                <w:szCs w:val="23"/>
                <w:color w:val="auto"/>
              </w:rPr>
            </w:pPr>
          </w:p>
        </w:tc>
      </w:tr>
      <w:tr>
        <w:trPr>
          <w:trHeight w:val="257"/>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-529590</wp:posOffset>
            </wp:positionV>
            <wp:extent cx="1120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3000" w:type="dxa"/>
        <w:tblCellMar>
          <w:top w:w="0" w:type="dxa"/>
          <w:left w:w="0" w:type="dxa"/>
          <w:bottom w:w="0" w:type="dxa"/>
          <w:right w:w="0" w:type="dxa"/>
        </w:tblCellMar>
      </w:tblPr>
      <w:tr>
        <w:trPr>
          <w:trHeight w:val="253"/>
        </w:trPr>
        <w:tc>
          <w:tcPr>
            <w:tcW w:w="4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4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3"/>
        </w:trPr>
        <w:tc>
          <w:tcPr>
            <w:tcW w:w="112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color w:val="auto"/>
                <w:w w:val="98"/>
              </w:rPr>
              <w:t>Name:</w:t>
            </w: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Jay L. Johnson</w:t>
            </w:r>
          </w:p>
        </w:tc>
        <w:tc>
          <w:tcPr>
            <w:tcW w:w="2480" w:type="dxa"/>
            <w:vAlign w:val="bottom"/>
          </w:tcPr>
          <w:p>
            <w:pPr>
              <w:spacing w:after="0"/>
              <w:rPr>
                <w:sz w:val="22"/>
                <w:szCs w:val="22"/>
                <w:color w:val="auto"/>
              </w:rPr>
            </w:pPr>
          </w:p>
        </w:tc>
      </w:tr>
      <w:tr>
        <w:trPr>
          <w:trHeight w:val="270"/>
        </w:trPr>
        <w:tc>
          <w:tcPr>
            <w:tcW w:w="11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rPr>
              <w:t>Title:</w:t>
            </w: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Treasurer</w:t>
            </w: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33" w:name="page134"/>
    <w:bookmarkEnd w:id="133"/>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63"/>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2"/>
                <w:szCs w:val="22"/>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34" w:name="page135"/>
    <w:bookmarkEnd w:id="134"/>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1" w:right="919" w:bottom="1440" w:gutter="0" w:footer="0" w:header="0"/>
        </w:sectPr>
      </w:pPr>
    </w:p>
    <w:bookmarkStart w:id="135" w:name="page136"/>
    <w:bookmarkEnd w:id="135"/>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1" w:right="919" w:bottom="1440" w:gutter="0" w:footer="0" w:header="0"/>
        </w:sectPr>
      </w:pPr>
    </w:p>
    <w:bookmarkStart w:id="136" w:name="page137"/>
    <w:bookmarkEnd w:id="136"/>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37" w:name="page138"/>
    <w:bookmarkEnd w:id="137"/>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8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80"/>
        </w:trPr>
        <w:tc>
          <w:tcPr>
            <w:tcW w:w="3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bl>
    <w:p>
      <w:pPr>
        <w:ind w:left="30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39" w:name="page140"/>
    <w:bookmarkEnd w:id="139"/>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1" w:right="919" w:bottom="1440" w:gutter="0" w:footer="0" w:header="0"/>
        </w:sectPr>
      </w:pPr>
    </w:p>
    <w:bookmarkStart w:id="140" w:name="page141"/>
    <w:bookmarkEnd w:id="140"/>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77"/>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4"/>
                <w:szCs w:val="24"/>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41" w:name="page142"/>
    <w:bookmarkEnd w:id="141"/>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42" w:name="page143"/>
    <w:bookmarkEnd w:id="142"/>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1" w:right="579" w:bottom="1440" w:gutter="0" w:footer="0" w:header="0"/>
        </w:sectPr>
      </w:pPr>
    </w:p>
    <w:bookmarkStart w:id="143" w:name="page144"/>
    <w:bookmarkEnd w:id="143"/>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1" w:right="339" w:bottom="1440" w:gutter="0" w:footer="0" w:header="0"/>
        </w:sectPr>
      </w:pPr>
    </w:p>
    <w:bookmarkStart w:id="144" w:name="page145"/>
    <w:bookmarkEnd w:id="144"/>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3"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1" w:right="599" w:bottom="1440" w:gutter="0" w:footer="0" w:header="0"/>
        </w:sectPr>
      </w:pPr>
    </w:p>
    <w:bookmarkStart w:id="145" w:name="page146"/>
    <w:bookmarkEnd w:id="145"/>
    <w:p>
      <w:pPr>
        <w:spacing w:after="0" w:line="200" w:lineRule="exact"/>
        <w:rPr>
          <w:sz w:val="20"/>
          <w:szCs w:val="20"/>
          <w:color w:val="auto"/>
        </w:rPr>
      </w:pPr>
    </w:p>
    <w:p>
      <w:pPr>
        <w:spacing w:after="0" w:line="34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0">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740"/>
          </w:cols>
          <w:pgMar w:left="1440" w:top="1440" w:right="7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b w:val="1"/>
          <w:bCs w:val="1"/>
          <w:color w:val="auto"/>
        </w:rPr>
        <w:t>Exhibit 4(c)(9)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94"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November 7, 2025,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ARKANSAS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4.000% Senior Notes due 2030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1" w:right="339" w:bottom="1440" w:gutter="0" w:footer="0" w:header="0"/>
        </w:sectPr>
      </w:pPr>
    </w:p>
    <w:bookmarkStart w:id="147" w:name="page148"/>
    <w:bookmarkEnd w:id="147"/>
    <w:p>
      <w:pPr>
        <w:jc w:val="both"/>
        <w:ind w:firstLine="656"/>
        <w:spacing w:after="0" w:line="257" w:lineRule="auto"/>
        <w:tabs>
          <w:tab w:leader="none" w:pos="10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1" w:right="339" w:bottom="1440" w:gutter="0" w:footer="0" w:header="0"/>
        </w:sectPr>
      </w:pPr>
    </w:p>
    <w:bookmarkStart w:id="148" w:name="page149"/>
    <w:bookmarkEnd w:id="148"/>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ARKANSAS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1" w:right="339" w:bottom="1440" w:gutter="0" w:footer="0" w:header="0"/>
        </w:sectPr>
      </w:pPr>
    </w:p>
    <w:bookmarkStart w:id="149" w:name="page150"/>
    <w:bookmarkEnd w:id="149"/>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7" w:right="1440" w:bottom="1440" w:gutter="0" w:footer="0" w:header="0"/>
        </w:sectPr>
      </w:pPr>
    </w:p>
    <w:bookmarkStart w:id="150" w:name="page151"/>
    <w:bookmarkEnd w:id="150"/>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NORTH CAROLINA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8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6"/>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70"/>
        </w:trPr>
        <w:tc>
          <w:tcPr>
            <w:tcW w:w="760" w:type="dxa"/>
            <w:vAlign w:val="bottom"/>
          </w:tcPr>
          <w:p>
            <w:pPr>
              <w:spacing w:after="0"/>
              <w:rPr>
                <w:sz w:val="23"/>
                <w:szCs w:val="23"/>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3"/>
                <w:szCs w:val="23"/>
                <w:color w:val="auto"/>
              </w:rPr>
            </w:pPr>
          </w:p>
        </w:tc>
      </w:tr>
      <w:tr>
        <w:trPr>
          <w:trHeight w:val="257"/>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-530225</wp:posOffset>
            </wp:positionV>
            <wp:extent cx="11201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3">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3000" w:type="dxa"/>
        <w:tblCellMar>
          <w:top w:w="0" w:type="dxa"/>
          <w:left w:w="0" w:type="dxa"/>
          <w:bottom w:w="0" w:type="dxa"/>
          <w:right w:w="0" w:type="dxa"/>
        </w:tblCellMar>
      </w:tblPr>
      <w:tr>
        <w:trPr>
          <w:trHeight w:val="253"/>
        </w:trPr>
        <w:tc>
          <w:tcPr>
            <w:tcW w:w="4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4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3"/>
        </w:trPr>
        <w:tc>
          <w:tcPr>
            <w:tcW w:w="112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color w:val="auto"/>
                <w:w w:val="98"/>
              </w:rPr>
              <w:t>Name:</w:t>
            </w: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Jay L. Johnson</w:t>
            </w:r>
          </w:p>
        </w:tc>
        <w:tc>
          <w:tcPr>
            <w:tcW w:w="2480" w:type="dxa"/>
            <w:vAlign w:val="bottom"/>
          </w:tcPr>
          <w:p>
            <w:pPr>
              <w:spacing w:after="0"/>
              <w:rPr>
                <w:sz w:val="22"/>
                <w:szCs w:val="22"/>
                <w:color w:val="auto"/>
              </w:rPr>
            </w:pPr>
          </w:p>
        </w:tc>
      </w:tr>
      <w:tr>
        <w:trPr>
          <w:trHeight w:val="270"/>
        </w:trPr>
        <w:tc>
          <w:tcPr>
            <w:tcW w:w="11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rPr>
              <w:t>Title:</w:t>
            </w: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Treasurer</w:t>
            </w: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52" w:name="page153"/>
    <w:bookmarkEnd w:id="152"/>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63"/>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2"/>
                <w:szCs w:val="22"/>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53" w:name="page154"/>
    <w:bookmarkEnd w:id="153"/>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54" w:name="page155"/>
    <w:bookmarkEnd w:id="154"/>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55" w:name="page156"/>
    <w:bookmarkEnd w:id="155"/>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56" w:name="page157"/>
    <w:bookmarkEnd w:id="156"/>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49"/>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8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80"/>
        </w:trPr>
        <w:tc>
          <w:tcPr>
            <w:tcW w:w="3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bl>
    <w:p>
      <w:pPr>
        <w:ind w:left="30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58" w:name="page159"/>
    <w:bookmarkEnd w:id="158"/>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59" w:name="page160"/>
    <w:bookmarkEnd w:id="159"/>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277"/>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4"/>
                <w:szCs w:val="24"/>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60" w:name="page161"/>
    <w:bookmarkEnd w:id="160"/>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By: 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61" w:name="page162"/>
    <w:bookmarkEnd w:id="161"/>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162" w:name="page163"/>
    <w:bookmarkEnd w:id="162"/>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163" w:name="page164"/>
    <w:bookmarkEnd w:id="163"/>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164" w:name="page165"/>
    <w:bookmarkEnd w:id="164"/>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5">
                      <a:extLst>
                        <a:ext uri="{28A0092B-C50C-407E-A947-70E740481C1C}"/>
                      </a:extLst>
                    </a:blip>
                    <a:srcRect/>
                    <a:stretch>
                      <a:fillRect/>
                    </a:stretch>
                  </pic:blipFill>
                  <pic:spPr bwMode="auto">
                    <a:xfrm>
                      <a:off x="0" y="0"/>
                      <a:ext cx="1376045" cy="8890"/>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9740"/>
          </w:cols>
          <w:pgMar w:left="1440" w:top="1440" w:right="719" w:bottom="1440" w:gutter="0" w:footer="0" w:header="0"/>
        </w:sectPr>
      </w:pPr>
    </w:p>
    <w:bookmarkStart w:id="165" w:name="page166"/>
    <w:bookmarkEnd w:id="165"/>
    <w:p>
      <w:pPr>
        <w:ind w:left="9880"/>
        <w:spacing w:after="0"/>
        <w:rPr>
          <w:sz w:val="20"/>
          <w:szCs w:val="20"/>
          <w:color w:val="auto"/>
        </w:rPr>
      </w:pPr>
      <w:r>
        <w:rPr>
          <w:rFonts w:ascii="Times New Roman" w:cs="Times New Roman" w:eastAsia="Times New Roman" w:hAnsi="Times New Roman"/>
          <w:sz w:val="21"/>
          <w:szCs w:val="21"/>
          <w:b w:val="1"/>
          <w:bCs w:val="1"/>
          <w:color w:val="auto"/>
        </w:rPr>
        <w:t>Exhibit 4(d)(9)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MAY 13, 2020</w:t>
      </w:r>
    </w:p>
    <w:p>
      <w:pPr>
        <w:spacing w:after="0" w:line="200" w:lineRule="exact"/>
        <w:rPr>
          <w:sz w:val="20"/>
          <w:szCs w:val="20"/>
          <w:color w:val="auto"/>
        </w:rPr>
      </w:pPr>
    </w:p>
    <w:p>
      <w:pPr>
        <w:spacing w:after="0" w:line="294"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November 7, 2025,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ARKANSAS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May 13,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4.875%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2" w:right="339" w:bottom="1440" w:gutter="0" w:footer="0" w:header="0"/>
        </w:sectPr>
      </w:pPr>
    </w:p>
    <w:bookmarkStart w:id="166" w:name="page167"/>
    <w:bookmarkEnd w:id="166"/>
    <w:p>
      <w:pPr>
        <w:jc w:val="both"/>
        <w:ind w:firstLine="656"/>
        <w:spacing w:after="0" w:line="257" w:lineRule="auto"/>
        <w:tabs>
          <w:tab w:leader="none" w:pos="10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67" w:name="page168"/>
    <w:bookmarkEnd w:id="167"/>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ARKANSAS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68" w:name="page169"/>
    <w:bookmarkEnd w:id="168"/>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7">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69" w:name="page170"/>
    <w:bookmarkEnd w:id="169"/>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NORTH CAROLINA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8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6"/>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70"/>
        </w:trPr>
        <w:tc>
          <w:tcPr>
            <w:tcW w:w="760" w:type="dxa"/>
            <w:vAlign w:val="bottom"/>
          </w:tcPr>
          <w:p>
            <w:pPr>
              <w:spacing w:after="0"/>
              <w:rPr>
                <w:sz w:val="23"/>
                <w:szCs w:val="23"/>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3"/>
                <w:szCs w:val="23"/>
                <w:color w:val="auto"/>
              </w:rPr>
            </w:pPr>
          </w:p>
        </w:tc>
      </w:tr>
      <w:tr>
        <w:trPr>
          <w:trHeight w:val="256"/>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-530225</wp:posOffset>
            </wp:positionV>
            <wp:extent cx="11201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8">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3000" w:type="dxa"/>
        <w:tblCellMar>
          <w:top w:w="0" w:type="dxa"/>
          <w:left w:w="0" w:type="dxa"/>
          <w:bottom w:w="0" w:type="dxa"/>
          <w:right w:w="0" w:type="dxa"/>
        </w:tblCellMar>
      </w:tblPr>
      <w:tr>
        <w:trPr>
          <w:trHeight w:val="253"/>
        </w:trPr>
        <w:tc>
          <w:tcPr>
            <w:tcW w:w="4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4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3"/>
        </w:trPr>
        <w:tc>
          <w:tcPr>
            <w:tcW w:w="112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color w:val="auto"/>
                <w:w w:val="98"/>
              </w:rPr>
              <w:t>Name:</w:t>
            </w: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Jay L. Johnson</w:t>
            </w:r>
          </w:p>
        </w:tc>
        <w:tc>
          <w:tcPr>
            <w:tcW w:w="2480" w:type="dxa"/>
            <w:vAlign w:val="bottom"/>
          </w:tcPr>
          <w:p>
            <w:pPr>
              <w:spacing w:after="0"/>
              <w:rPr>
                <w:sz w:val="22"/>
                <w:szCs w:val="22"/>
                <w:color w:val="auto"/>
              </w:rPr>
            </w:pPr>
          </w:p>
        </w:tc>
      </w:tr>
      <w:tr>
        <w:trPr>
          <w:trHeight w:val="270"/>
        </w:trPr>
        <w:tc>
          <w:tcPr>
            <w:tcW w:w="11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rPr>
              <w:t>Title:</w:t>
            </w: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Treasurer</w:t>
            </w: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71" w:name="page172"/>
    <w:bookmarkEnd w:id="171"/>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8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jc w:val="center"/>
        <w:ind w:right="28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63"/>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2"/>
                <w:szCs w:val="22"/>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72" w:name="page173"/>
    <w:bookmarkEnd w:id="172"/>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73" w:name="page174"/>
    <w:bookmarkEnd w:id="173"/>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74" w:name="page175"/>
    <w:bookmarkEnd w:id="174"/>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75" w:name="page176"/>
    <w:bookmarkEnd w:id="175"/>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8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81"/>
        </w:trPr>
        <w:tc>
          <w:tcPr>
            <w:tcW w:w="3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bl>
    <w:p>
      <w:pPr>
        <w:ind w:left="30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77" w:name="page178"/>
    <w:bookmarkEnd w:id="177"/>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49"/>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7"/>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78" w:name="page179"/>
    <w:bookmarkEnd w:id="178"/>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277"/>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4"/>
                <w:szCs w:val="24"/>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79" w:name="page180"/>
    <w:bookmarkEnd w:id="179"/>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80" w:name="page181"/>
    <w:bookmarkEnd w:id="180"/>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181" w:name="page182"/>
    <w:bookmarkEnd w:id="181"/>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182" w:name="page183"/>
    <w:bookmarkEnd w:id="182"/>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183" w:name="page184"/>
    <w:bookmarkEnd w:id="183"/>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0">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9740"/>
          </w:cols>
          <w:pgMar w:left="1440" w:top="1440" w:right="7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b w:val="1"/>
          <w:bCs w:val="1"/>
          <w:color w:val="auto"/>
        </w:rPr>
        <w:t>Exhibit 4(e)(9)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JANUARY 22, 2021</w:t>
      </w:r>
    </w:p>
    <w:p>
      <w:pPr>
        <w:spacing w:after="0" w:line="200" w:lineRule="exact"/>
        <w:rPr>
          <w:sz w:val="20"/>
          <w:szCs w:val="20"/>
          <w:color w:val="auto"/>
        </w:rPr>
      </w:pPr>
    </w:p>
    <w:p>
      <w:pPr>
        <w:spacing w:after="0" w:line="294"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November 7, 2025,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ARKANSAS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January 22, 2021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3.625% Senior Notes due 2031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2" w:right="339" w:bottom="1440" w:gutter="0" w:footer="0" w:header="0"/>
        </w:sectPr>
      </w:pPr>
    </w:p>
    <w:bookmarkStart w:id="185" w:name="page186"/>
    <w:bookmarkEnd w:id="185"/>
    <w:p>
      <w:pPr>
        <w:jc w:val="both"/>
        <w:ind w:firstLine="656"/>
        <w:spacing w:after="0" w:line="257" w:lineRule="auto"/>
        <w:tabs>
          <w:tab w:leader="none" w:pos="10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86" w:name="page187"/>
    <w:bookmarkEnd w:id="186"/>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ARKANSAS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187" w:name="page188"/>
    <w:bookmarkEnd w:id="187"/>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88" w:name="page189"/>
    <w:bookmarkEnd w:id="188"/>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NORTH CAROLINA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8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7"/>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70"/>
        </w:trPr>
        <w:tc>
          <w:tcPr>
            <w:tcW w:w="760" w:type="dxa"/>
            <w:vAlign w:val="bottom"/>
          </w:tcPr>
          <w:p>
            <w:pPr>
              <w:spacing w:after="0"/>
              <w:rPr>
                <w:sz w:val="23"/>
                <w:szCs w:val="23"/>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3"/>
                <w:szCs w:val="23"/>
                <w:color w:val="auto"/>
              </w:rPr>
            </w:pPr>
          </w:p>
        </w:tc>
      </w:tr>
      <w:tr>
        <w:trPr>
          <w:trHeight w:val="257"/>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-529590</wp:posOffset>
            </wp:positionV>
            <wp:extent cx="11201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jc w:val="center"/>
        <w:ind w:right="28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3000" w:type="dxa"/>
        <w:tblCellMar>
          <w:top w:w="0" w:type="dxa"/>
          <w:left w:w="0" w:type="dxa"/>
          <w:bottom w:w="0" w:type="dxa"/>
          <w:right w:w="0" w:type="dxa"/>
        </w:tblCellMar>
      </w:tblPr>
      <w:tr>
        <w:trPr>
          <w:trHeight w:val="253"/>
        </w:trPr>
        <w:tc>
          <w:tcPr>
            <w:tcW w:w="4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4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3"/>
        </w:trPr>
        <w:tc>
          <w:tcPr>
            <w:tcW w:w="112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color w:val="auto"/>
                <w:w w:val="98"/>
              </w:rPr>
              <w:t>Name:</w:t>
            </w: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Jay L. Johnson</w:t>
            </w:r>
          </w:p>
        </w:tc>
        <w:tc>
          <w:tcPr>
            <w:tcW w:w="2480" w:type="dxa"/>
            <w:vAlign w:val="bottom"/>
          </w:tcPr>
          <w:p>
            <w:pPr>
              <w:spacing w:after="0"/>
              <w:rPr>
                <w:sz w:val="22"/>
                <w:szCs w:val="22"/>
                <w:color w:val="auto"/>
              </w:rPr>
            </w:pPr>
          </w:p>
        </w:tc>
      </w:tr>
      <w:tr>
        <w:trPr>
          <w:trHeight w:val="270"/>
        </w:trPr>
        <w:tc>
          <w:tcPr>
            <w:tcW w:w="11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rPr>
              <w:t>Title:</w:t>
            </w: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Treasurer</w:t>
            </w: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90" w:name="page191"/>
    <w:bookmarkEnd w:id="190"/>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63"/>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2"/>
                <w:szCs w:val="22"/>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91" w:name="page192"/>
    <w:bookmarkEnd w:id="191"/>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92" w:name="page193"/>
    <w:bookmarkEnd w:id="192"/>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93" w:name="page194"/>
    <w:bookmarkEnd w:id="193"/>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94" w:name="page195"/>
    <w:bookmarkEnd w:id="194"/>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50"/>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8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81"/>
        </w:trPr>
        <w:tc>
          <w:tcPr>
            <w:tcW w:w="3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bl>
    <w:p>
      <w:pPr>
        <w:ind w:left="30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196" w:name="page197"/>
    <w:bookmarkEnd w:id="196"/>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7"/>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197" w:name="page198"/>
    <w:bookmarkEnd w:id="197"/>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77"/>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4"/>
                <w:szCs w:val="24"/>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98" w:name="page199"/>
    <w:bookmarkEnd w:id="198"/>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199" w:name="page200"/>
    <w:bookmarkEnd w:id="199"/>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200" w:name="page201"/>
    <w:bookmarkEnd w:id="200"/>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201" w:name="page202"/>
    <w:bookmarkEnd w:id="201"/>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202" w:name="page203"/>
    <w:bookmarkEnd w:id="202"/>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85">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9740"/>
          </w:cols>
          <w:pgMar w:left="1440" w:top="1440" w:right="719" w:bottom="1440" w:gutter="0" w:footer="0" w:header="0"/>
        </w:sectPr>
      </w:pPr>
    </w:p>
    <w:bookmarkStart w:id="203" w:name="page204"/>
    <w:bookmarkEnd w:id="203"/>
    <w:p>
      <w:pPr>
        <w:ind w:left="9920"/>
        <w:spacing w:after="0"/>
        <w:rPr>
          <w:sz w:val="20"/>
          <w:szCs w:val="20"/>
          <w:color w:val="auto"/>
        </w:rPr>
      </w:pPr>
      <w:r>
        <w:rPr>
          <w:rFonts w:ascii="Times New Roman" w:cs="Times New Roman" w:eastAsia="Times New Roman" w:hAnsi="Times New Roman"/>
          <w:sz w:val="21"/>
          <w:szCs w:val="21"/>
          <w:b w:val="1"/>
          <w:bCs w:val="1"/>
          <w:color w:val="auto"/>
        </w:rPr>
        <w:t>Exhibit 4(f)(3)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SEPTEMBER 25, 2025</w:t>
      </w:r>
    </w:p>
    <w:p>
      <w:pPr>
        <w:spacing w:after="0" w:line="200" w:lineRule="exact"/>
        <w:rPr>
          <w:sz w:val="20"/>
          <w:szCs w:val="20"/>
          <w:color w:val="auto"/>
        </w:rPr>
      </w:pPr>
    </w:p>
    <w:p>
      <w:pPr>
        <w:spacing w:after="0" w:line="294"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November 7, 2025,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ARKANSAS LOGOS,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Trustee an Indenture, dated as of September 25, 2025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5.375% Senior Notes due 2033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200"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206"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ectPr>
          <w:pgSz w:w="11900" w:h="16838" w:orient="portrait"/>
          <w:cols w:equalWidth="0" w:num="1">
            <w:col w:w="11240"/>
          </w:cols>
          <w:pgMar w:left="320" w:top="122" w:right="339" w:bottom="1440" w:gutter="0" w:footer="0" w:header="0"/>
        </w:sectPr>
      </w:pPr>
    </w:p>
    <w:bookmarkStart w:id="204" w:name="page205"/>
    <w:bookmarkEnd w:id="204"/>
    <w:p>
      <w:pPr>
        <w:jc w:val="both"/>
        <w:ind w:firstLine="656"/>
        <w:spacing w:after="0" w:line="257" w:lineRule="auto"/>
        <w:tabs>
          <w:tab w:leader="none" w:pos="10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 other provisions in the Indenture and the Notes, to the extent not inconsistent with the terms and provisions of this Supplemental Indenture, shall remain in full force and effect.</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06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7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02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0" w:lineRule="exact"/>
        <w:rPr>
          <w:rFonts w:ascii="Times New Roman" w:cs="Times New Roman" w:eastAsia="Times New Roman" w:hAnsi="Times New Roman"/>
          <w:sz w:val="22"/>
          <w:szCs w:val="22"/>
          <w:color w:val="auto"/>
        </w:rPr>
      </w:pPr>
    </w:p>
    <w:p>
      <w:pPr>
        <w:ind w:right="20" w:firstLine="656"/>
        <w:spacing w:after="0" w:line="271" w:lineRule="auto"/>
        <w:tabs>
          <w:tab w:leader="none" w:pos="106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205" w:name="page206"/>
    <w:bookmarkEnd w:id="205"/>
    <w:p>
      <w:pPr>
        <w:ind w:firstLine="285"/>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3"/>
          <w:szCs w:val="23"/>
          <w:color w:val="auto"/>
        </w:rPr>
        <w:t>ARKANSAS LOGOS, LLC</w:t>
      </w:r>
    </w:p>
    <w:p>
      <w:pPr>
        <w:spacing w:after="0" w:line="28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206" w:name="page207"/>
    <w:bookmarkEnd w:id="206"/>
    <w:p>
      <w:pPr>
        <w:ind w:left="2120"/>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47"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1201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2120"/>
        <w:spacing w:after="0"/>
        <w:tabs>
          <w:tab w:leader="none" w:pos="29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207" w:name="page208"/>
    <w:bookmarkEnd w:id="207"/>
    <w:p>
      <w:pPr>
        <w:spacing w:after="0" w:line="221" w:lineRule="exact"/>
        <w:rPr>
          <w:sz w:val="20"/>
          <w:szCs w:val="20"/>
          <w:color w:val="auto"/>
        </w:rPr>
      </w:pPr>
    </w:p>
    <w:tbl>
      <w:tblPr>
        <w:tblLayout w:type="fixed"/>
        <w:tblInd w:w="2340" w:type="dxa"/>
        <w:tblCellMar>
          <w:top w:w="0" w:type="dxa"/>
          <w:left w:w="0" w:type="dxa"/>
          <w:bottom w:w="0" w:type="dxa"/>
          <w:right w:w="0" w:type="dxa"/>
        </w:tblCellMar>
      </w:tblPr>
      <w:tr>
        <w:trPr>
          <w:trHeight w:val="286"/>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8"/>
              </w:rPr>
              <w:t>GUARANTORS</w:t>
            </w:r>
            <w:r>
              <w:rPr>
                <w:rFonts w:ascii="Times New Roman" w:cs="Times New Roman" w:eastAsia="Times New Roman" w:hAnsi="Times New Roman"/>
                <w:sz w:val="22"/>
                <w:szCs w:val="22"/>
                <w:color w:val="auto"/>
                <w:w w:val="98"/>
              </w:rPr>
              <w:t>:</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4"/>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ALABAMA LOGOS, LLC</w:t>
            </w:r>
          </w:p>
        </w:tc>
        <w:tc>
          <w:tcPr>
            <w:tcW w:w="1880" w:type="dxa"/>
            <w:vAlign w:val="bottom"/>
          </w:tcPr>
          <w:p>
            <w:pPr>
              <w:spacing w:after="0"/>
              <w:rPr>
                <w:sz w:val="24"/>
                <w:szCs w:val="24"/>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ARIZONA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COLORADO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DELAWARE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GEORGIA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KANSAS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KENTUCKY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LOUISIANA INTERSTATE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MAINE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MICHIGAN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MINNESOTA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MISSISSIPPI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MISSOURI LOGOS, LLC</w:t>
            </w:r>
          </w:p>
        </w:tc>
        <w:tc>
          <w:tcPr>
            <w:tcW w:w="1880" w:type="dxa"/>
            <w:vAlign w:val="bottom"/>
          </w:tcPr>
          <w:p>
            <w:pPr>
              <w:spacing w:after="0"/>
              <w:rPr>
                <w:sz w:val="23"/>
                <w:szCs w:val="23"/>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MONTANA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NEBRASKA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NEVADA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HAMPSHIRE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JERSEY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NEW MEXICO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NORTH CAROLINA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OHIO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OKLAHOMA LOGOS, L.L.C.</w:t>
            </w:r>
          </w:p>
        </w:tc>
        <w:tc>
          <w:tcPr>
            <w:tcW w:w="1880" w:type="dxa"/>
            <w:vAlign w:val="bottom"/>
          </w:tcPr>
          <w:p>
            <w:pPr>
              <w:spacing w:after="0"/>
              <w:rPr>
                <w:sz w:val="22"/>
                <w:szCs w:val="22"/>
                <w:color w:val="auto"/>
              </w:rPr>
            </w:pPr>
          </w:p>
        </w:tc>
      </w:tr>
      <w:tr>
        <w:trPr>
          <w:trHeight w:val="270"/>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SOUTH CAROLINA LOGOS, LLC</w:t>
            </w:r>
          </w:p>
        </w:tc>
        <w:tc>
          <w:tcPr>
            <w:tcW w:w="1880" w:type="dxa"/>
            <w:vAlign w:val="bottom"/>
          </w:tcPr>
          <w:p>
            <w:pPr>
              <w:spacing w:after="0"/>
              <w:rPr>
                <w:sz w:val="23"/>
                <w:szCs w:val="23"/>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TENNESSEE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UTAH LOGOS, LLC</w:t>
            </w:r>
          </w:p>
        </w:tc>
        <w:tc>
          <w:tcPr>
            <w:tcW w:w="1880" w:type="dxa"/>
            <w:vAlign w:val="bottom"/>
          </w:tcPr>
          <w:p>
            <w:pPr>
              <w:spacing w:after="0"/>
              <w:rPr>
                <w:sz w:val="22"/>
                <w:szCs w:val="22"/>
                <w:color w:val="auto"/>
              </w:rPr>
            </w:pPr>
          </w:p>
        </w:tc>
      </w:tr>
      <w:tr>
        <w:trPr>
          <w:trHeight w:val="256"/>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VIRGINIA LOGOS, LLC</w:t>
            </w:r>
          </w:p>
        </w:tc>
        <w:tc>
          <w:tcPr>
            <w:tcW w:w="1880" w:type="dxa"/>
            <w:vAlign w:val="bottom"/>
          </w:tcPr>
          <w:p>
            <w:pPr>
              <w:spacing w:after="0"/>
              <w:rPr>
                <w:sz w:val="22"/>
                <w:szCs w:val="22"/>
                <w:color w:val="auto"/>
              </w:rPr>
            </w:pPr>
          </w:p>
        </w:tc>
      </w:tr>
      <w:tr>
        <w:trPr>
          <w:trHeight w:val="25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WASHINGTON LOGOS, L.L.C.</w:t>
            </w:r>
          </w:p>
        </w:tc>
        <w:tc>
          <w:tcPr>
            <w:tcW w:w="1880" w:type="dxa"/>
            <w:vAlign w:val="bottom"/>
          </w:tcPr>
          <w:p>
            <w:pPr>
              <w:spacing w:after="0"/>
              <w:rPr>
                <w:sz w:val="22"/>
                <w:szCs w:val="22"/>
                <w:color w:val="auto"/>
              </w:rPr>
            </w:pP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WISCONSIN LOGOS, LLC</w:t>
            </w:r>
          </w:p>
        </w:tc>
        <w:tc>
          <w:tcPr>
            <w:tcW w:w="1880" w:type="dxa"/>
            <w:vAlign w:val="bottom"/>
          </w:tcPr>
          <w:p>
            <w:pPr>
              <w:spacing w:after="0"/>
              <w:rPr>
                <w:sz w:val="24"/>
                <w:szCs w:val="24"/>
                <w:color w:val="auto"/>
              </w:rPr>
            </w:pPr>
          </w:p>
        </w:tc>
      </w:tr>
      <w:tr>
        <w:trPr>
          <w:trHeight w:val="487"/>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Interstate Logos, L.L.C., its Managing Member</w:t>
            </w:r>
          </w:p>
        </w:tc>
        <w:tc>
          <w:tcPr>
            <w:tcW w:w="1880" w:type="dxa"/>
            <w:vAlign w:val="bottom"/>
          </w:tcPr>
          <w:p>
            <w:pPr>
              <w:spacing w:after="0"/>
              <w:rPr>
                <w:sz w:val="24"/>
                <w:szCs w:val="24"/>
                <w:color w:val="auto"/>
              </w:rPr>
            </w:pPr>
          </w:p>
        </w:tc>
      </w:tr>
      <w:tr>
        <w:trPr>
          <w:trHeight w:val="257"/>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6"/>
        </w:trPr>
        <w:tc>
          <w:tcPr>
            <w:tcW w:w="6980" w:type="dxa"/>
            <w:vAlign w:val="bottom"/>
            <w:gridSpan w:val="4"/>
          </w:tcPr>
          <w:p>
            <w:pPr>
              <w:ind w:left="440"/>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510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880" w:type="dxa"/>
            <w:vAlign w:val="bottom"/>
          </w:tcPr>
          <w:p>
            <w:pPr>
              <w:spacing w:after="0"/>
              <w:rPr>
                <w:sz w:val="24"/>
                <w:szCs w:val="24"/>
                <w:color w:val="auto"/>
              </w:rPr>
            </w:pPr>
          </w:p>
        </w:tc>
      </w:tr>
      <w:tr>
        <w:trPr>
          <w:trHeight w:val="663"/>
        </w:trPr>
        <w:tc>
          <w:tcPr>
            <w:tcW w:w="7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4"/>
              </w:rPr>
              <w:t>By:</w:t>
            </w: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4"/>
                <w:szCs w:val="24"/>
                <w:color w:val="auto"/>
              </w:rPr>
            </w:pPr>
          </w:p>
        </w:tc>
      </w:tr>
      <w:tr>
        <w:trPr>
          <w:trHeight w:val="270"/>
        </w:trPr>
        <w:tc>
          <w:tcPr>
            <w:tcW w:w="760" w:type="dxa"/>
            <w:vAlign w:val="bottom"/>
          </w:tcPr>
          <w:p>
            <w:pPr>
              <w:spacing w:after="0"/>
              <w:rPr>
                <w:sz w:val="23"/>
                <w:szCs w:val="23"/>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880" w:type="dxa"/>
            <w:vAlign w:val="bottom"/>
          </w:tcPr>
          <w:p>
            <w:pPr>
              <w:spacing w:after="0"/>
              <w:rPr>
                <w:sz w:val="23"/>
                <w:szCs w:val="23"/>
                <w:color w:val="auto"/>
              </w:rPr>
            </w:pPr>
          </w:p>
        </w:tc>
      </w:tr>
      <w:tr>
        <w:trPr>
          <w:trHeight w:val="257"/>
        </w:trPr>
        <w:tc>
          <w:tcPr>
            <w:tcW w:w="7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7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Treasurer</w:t>
            </w: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-529590</wp:posOffset>
            </wp:positionV>
            <wp:extent cx="11201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320"/>
          </w:cols>
          <w:pgMar w:left="1440" w:top="1440" w:right="1139" w:bottom="1440" w:gutter="0" w:footer="0" w:header="0"/>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LAMAR AIRPORT ADVERTISING COMPANY</w:t>
            </w:r>
          </w:p>
        </w:tc>
        <w:tc>
          <w:tcPr>
            <w:tcW w:w="2060" w:type="dxa"/>
            <w:vAlign w:val="bottom"/>
          </w:tcPr>
          <w:p>
            <w:pPr>
              <w:spacing w:after="0"/>
              <w:rPr>
                <w:sz w:val="24"/>
                <w:szCs w:val="24"/>
                <w:color w:val="auto"/>
              </w:rPr>
            </w:pPr>
          </w:p>
        </w:tc>
      </w:tr>
      <w:tr>
        <w:trPr>
          <w:trHeight w:val="690"/>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Treasurer</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43"/>
        </w:trPr>
        <w:tc>
          <w:tcPr>
            <w:tcW w:w="4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SKYHIGH MURALS – COLOSSAL MEDIA, LLC</w:t>
            </w:r>
          </w:p>
        </w:tc>
        <w:tc>
          <w:tcPr>
            <w:tcW w:w="2060" w:type="dxa"/>
            <w:vAlign w:val="bottom"/>
          </w:tcPr>
          <w:p>
            <w:pPr>
              <w:spacing w:after="0"/>
              <w:rPr>
                <w:sz w:val="24"/>
                <w:szCs w:val="24"/>
                <w:color w:val="auto"/>
              </w:rPr>
            </w:pPr>
          </w:p>
        </w:tc>
      </w:tr>
      <w:tr>
        <w:trPr>
          <w:trHeight w:val="90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7"/>
              </w:rPr>
              <w:t>Treasurer</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43" w:lineRule="exact"/>
        <w:rPr>
          <w:sz w:val="20"/>
          <w:szCs w:val="20"/>
          <w:color w:val="auto"/>
        </w:rPr>
      </w:pPr>
    </w:p>
    <w:tbl>
      <w:tblPr>
        <w:tblLayout w:type="fixed"/>
        <w:tblInd w:w="3000" w:type="dxa"/>
        <w:tblCellMar>
          <w:top w:w="0" w:type="dxa"/>
          <w:left w:w="0" w:type="dxa"/>
          <w:bottom w:w="0" w:type="dxa"/>
          <w:right w:w="0" w:type="dxa"/>
        </w:tblCellMar>
      </w:tblPr>
      <w:tr>
        <w:trPr>
          <w:trHeight w:val="253"/>
        </w:trPr>
        <w:tc>
          <w:tcPr>
            <w:tcW w:w="4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4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3"/>
        </w:trPr>
        <w:tc>
          <w:tcPr>
            <w:tcW w:w="112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color w:val="auto"/>
                <w:w w:val="98"/>
              </w:rPr>
              <w:t>Name:</w:t>
            </w: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Jay L. Johnson</w:t>
            </w:r>
          </w:p>
        </w:tc>
        <w:tc>
          <w:tcPr>
            <w:tcW w:w="2480" w:type="dxa"/>
            <w:vAlign w:val="bottom"/>
          </w:tcPr>
          <w:p>
            <w:pPr>
              <w:spacing w:after="0"/>
              <w:rPr>
                <w:sz w:val="22"/>
                <w:szCs w:val="22"/>
                <w:color w:val="auto"/>
              </w:rPr>
            </w:pPr>
          </w:p>
        </w:tc>
      </w:tr>
      <w:tr>
        <w:trPr>
          <w:trHeight w:val="270"/>
        </w:trPr>
        <w:tc>
          <w:tcPr>
            <w:tcW w:w="11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rPr>
              <w:t>Title:</w:t>
            </w:r>
          </w:p>
        </w:tc>
        <w:tc>
          <w:tcPr>
            <w:tcW w:w="3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4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Treasurer</w:t>
            </w: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209" w:name="page210"/>
    <w:bookmarkEnd w:id="209"/>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23"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220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8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15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6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w:t>
            </w:r>
          </w:p>
        </w:tc>
      </w:tr>
      <w:tr>
        <w:trPr>
          <w:trHeight w:val="282"/>
        </w:trPr>
        <w:tc>
          <w:tcPr>
            <w:tcW w:w="138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w w:val="99"/>
              </w:rPr>
              <w:t>Treasurer</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TRS Holdings,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9"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63"/>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2"/>
                <w:szCs w:val="22"/>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210" w:name="page211"/>
    <w:bookmarkEnd w:id="210"/>
    <w:p>
      <w:pPr>
        <w:ind w:left="280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Ashby Street Outdoor Holdings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Media Corp., its Managing Member</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1544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9" w:lineRule="exact"/>
        <w:rPr>
          <w:sz w:val="20"/>
          <w:szCs w:val="20"/>
          <w:color w:val="auto"/>
        </w:rPr>
      </w:pPr>
    </w:p>
    <w:p>
      <w:pPr>
        <w:ind w:left="3180"/>
        <w:spacing w:after="0"/>
        <w:tabs>
          <w:tab w:leader="none" w:pos="3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780" w:type="dxa"/>
        <w:tblCellMar>
          <w:top w:w="0" w:type="dxa"/>
          <w:left w:w="0" w:type="dxa"/>
          <w:bottom w:w="0" w:type="dxa"/>
          <w:right w:w="0" w:type="dxa"/>
        </w:tblCellMar>
      </w:tblP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LAMAR TEXAS LIMITED PARTNERSHIP</w:t>
            </w:r>
          </w:p>
        </w:tc>
        <w:tc>
          <w:tcPr>
            <w:tcW w:w="1920" w:type="dxa"/>
            <w:vAlign w:val="bottom"/>
          </w:tcPr>
          <w:p>
            <w:pPr>
              <w:spacing w:after="0"/>
              <w:rPr>
                <w:sz w:val="24"/>
                <w:szCs w:val="24"/>
                <w:color w:val="auto"/>
              </w:rPr>
            </w:pPr>
          </w:p>
        </w:tc>
      </w:tr>
      <w:tr>
        <w:trPr>
          <w:trHeight w:val="474"/>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The Lamar Company, L.L.C., its General Partner</w:t>
            </w:r>
          </w:p>
        </w:tc>
        <w:tc>
          <w:tcPr>
            <w:tcW w:w="1920" w:type="dxa"/>
            <w:vAlign w:val="bottom"/>
          </w:tcPr>
          <w:p>
            <w:pPr>
              <w:spacing w:after="0"/>
              <w:rPr>
                <w:sz w:val="24"/>
                <w:szCs w:val="24"/>
                <w:color w:val="auto"/>
              </w:rPr>
            </w:pP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70"/>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192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192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211" w:name="page212"/>
    <w:bookmarkEnd w:id="211"/>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212" w:name="page213"/>
    <w:bookmarkEnd w:id="212"/>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tbl>
      <w:tblPr>
        <w:tblLayout w:type="fixed"/>
        <w:tblInd w:w="2780" w:type="dxa"/>
        <w:tblCellMar>
          <w:top w:w="0" w:type="dxa"/>
          <w:left w:w="0" w:type="dxa"/>
          <w:bottom w:w="0" w:type="dxa"/>
          <w:right w:w="0" w:type="dxa"/>
        </w:tblCellMar>
      </w:tblPr>
      <w:tr>
        <w:trPr>
          <w:trHeight w:val="250"/>
        </w:trPr>
        <w:tc>
          <w:tcPr>
            <w:tcW w:w="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49"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8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18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22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0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22"/>
                <w:szCs w:val="22"/>
                <w:color w:val="auto"/>
                <w:w w:val="97"/>
              </w:rPr>
              <w:t>/s/ Jay L. Johnson</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7"/>
        </w:trPr>
        <w:tc>
          <w:tcPr>
            <w:tcW w:w="320" w:type="dxa"/>
            <w:vAlign w:val="bottom"/>
          </w:tcPr>
          <w:p>
            <w:pPr>
              <w:spacing w:after="0"/>
              <w:rPr>
                <w:sz w:val="24"/>
                <w:szCs w:val="24"/>
                <w:color w:val="auto"/>
              </w:rPr>
            </w:pPr>
          </w:p>
        </w:tc>
        <w:tc>
          <w:tcPr>
            <w:tcW w:w="4160" w:type="dxa"/>
            <w:vAlign w:val="bottom"/>
            <w:gridSpan w:val="3"/>
          </w:tcPr>
          <w:p>
            <w:pPr>
              <w:jc w:val="center"/>
              <w:ind w:right="1800"/>
              <w:spacing w:after="0"/>
              <w:rPr>
                <w:sz w:val="20"/>
                <w:szCs w:val="20"/>
                <w:color w:val="auto"/>
              </w:rPr>
            </w:pPr>
            <w:r>
              <w:rPr>
                <w:rFonts w:ascii="Times New Roman" w:cs="Times New Roman" w:eastAsia="Times New Roman" w:hAnsi="Times New Roman"/>
                <w:sz w:val="22"/>
                <w:szCs w:val="22"/>
                <w:color w:val="auto"/>
                <w:w w:val="98"/>
              </w:rPr>
              <w:t>Name: Jay L. Johnson</w:t>
            </w:r>
          </w:p>
        </w:tc>
        <w:tc>
          <w:tcPr>
            <w:tcW w:w="206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Treasurer</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213" w:name="page214"/>
    <w:bookmarkEnd w:id="213"/>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2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3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49"/>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2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 w:type="dxa"/>
            <w:vAlign w:val="bottom"/>
          </w:tcPr>
          <w:p>
            <w:pPr>
              <w:spacing w:after="0"/>
              <w:rPr>
                <w:sz w:val="21"/>
                <w:szCs w:val="21"/>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8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77"/>
        </w:trPr>
        <w:tc>
          <w:tcPr>
            <w:tcW w:w="38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4"/>
                <w:szCs w:val="24"/>
                <w:color w:val="auto"/>
              </w:rPr>
            </w:pPr>
          </w:p>
        </w:tc>
      </w:tr>
      <w:tr>
        <w:trPr>
          <w:trHeight w:val="280"/>
        </w:trPr>
        <w:tc>
          <w:tcPr>
            <w:tcW w:w="3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bl>
    <w:p>
      <w:pPr>
        <w:ind w:left="30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40" w:right="919" w:bottom="1440" w:gutter="0" w:footer="0" w:header="0"/>
        </w:sectPr>
      </w:pPr>
    </w:p>
    <w:bookmarkStart w:id="215" w:name="page216"/>
    <w:bookmarkEnd w:id="215"/>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21"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6440" w:type="dxa"/>
            <w:vAlign w:val="bottom"/>
            <w:gridSpan w:val="5"/>
          </w:tcPr>
          <w:p>
            <w:pPr>
              <w:ind w:left="260"/>
              <w:spacing w:after="0"/>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260" w:type="dxa"/>
            <w:vAlign w:val="bottom"/>
          </w:tcPr>
          <w:p>
            <w:pPr>
              <w:spacing w:after="0"/>
              <w:rPr>
                <w:sz w:val="24"/>
                <w:szCs w:val="24"/>
                <w:color w:val="auto"/>
              </w:rPr>
            </w:pPr>
          </w:p>
        </w:tc>
      </w:tr>
      <w:tr>
        <w:trPr>
          <w:trHeight w:val="636"/>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260" w:type="dxa"/>
            <w:vAlign w:val="bottom"/>
          </w:tcPr>
          <w:p>
            <w:pPr>
              <w:spacing w:after="0"/>
              <w:rPr>
                <w:sz w:val="22"/>
                <w:szCs w:val="22"/>
                <w:color w:val="auto"/>
              </w:rPr>
            </w:pPr>
          </w:p>
        </w:tc>
      </w:tr>
      <w:tr>
        <w:trPr>
          <w:trHeight w:val="270"/>
        </w:trPr>
        <w:tc>
          <w:tcPr>
            <w:tcW w:w="320" w:type="dxa"/>
            <w:vAlign w:val="bottom"/>
          </w:tcPr>
          <w:p>
            <w:pPr>
              <w:spacing w:after="0"/>
              <w:rPr>
                <w:sz w:val="23"/>
                <w:szCs w:val="2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tbl>
      <w:tblPr>
        <w:tblLayout w:type="fixed"/>
        <w:tblInd w:w="2780" w:type="dxa"/>
        <w:tblCellMar>
          <w:top w:w="0" w:type="dxa"/>
          <w:left w:w="0" w:type="dxa"/>
          <w:bottom w:w="0" w:type="dxa"/>
          <w:right w:w="0" w:type="dxa"/>
        </w:tblCellMar>
      </w:tblPr>
      <w:tr>
        <w:trPr>
          <w:trHeight w:val="236"/>
        </w:trPr>
        <w:tc>
          <w:tcPr>
            <w:tcW w:w="5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w:t>
            </w:r>
          </w:p>
        </w:tc>
        <w:tc>
          <w:tcPr>
            <w:tcW w:w="596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Lamar Advertising Limited Partnership, its Managing Member</w:t>
            </w:r>
          </w:p>
        </w:tc>
      </w:tr>
      <w:tr>
        <w:trPr>
          <w:trHeight w:val="257"/>
        </w:trPr>
        <w:tc>
          <w:tcPr>
            <w:tcW w:w="65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Lamar Advertising General Partner, LLC, its General Partner</w:t>
            </w:r>
          </w:p>
        </w:tc>
      </w:tr>
      <w:tr>
        <w:trPr>
          <w:trHeight w:val="282"/>
        </w:trPr>
        <w:tc>
          <w:tcPr>
            <w:tcW w:w="44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Lamar Media Corp., its Managing Member</w:t>
            </w:r>
          </w:p>
        </w:tc>
        <w:tc>
          <w:tcPr>
            <w:tcW w:w="2140" w:type="dxa"/>
            <w:vAlign w:val="bottom"/>
          </w:tcPr>
          <w:p>
            <w:pPr>
              <w:spacing w:after="0"/>
              <w:rPr>
                <w:sz w:val="24"/>
                <w:szCs w:val="24"/>
                <w:color w:val="auto"/>
              </w:rPr>
            </w:pPr>
          </w:p>
        </w:tc>
      </w:tr>
      <w:tr>
        <w:trPr>
          <w:trHeight w:val="650"/>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160" w:type="dxa"/>
            <w:vAlign w:val="bottom"/>
          </w:tcPr>
          <w:p>
            <w:pPr>
              <w:spacing w:after="0"/>
              <w:rPr>
                <w:sz w:val="22"/>
                <w:szCs w:val="22"/>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Jay L. Johnson</w:t>
            </w:r>
          </w:p>
        </w:tc>
        <w:tc>
          <w:tcPr>
            <w:tcW w:w="2140" w:type="dxa"/>
            <w:vAlign w:val="bottom"/>
          </w:tcPr>
          <w:p>
            <w:pPr>
              <w:spacing w:after="0"/>
              <w:rPr>
                <w:sz w:val="22"/>
                <w:szCs w:val="22"/>
                <w:color w:val="auto"/>
              </w:rPr>
            </w:pPr>
          </w:p>
        </w:tc>
      </w:tr>
      <w:tr>
        <w:trPr>
          <w:trHeight w:val="256"/>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Title:  Executive Vice-President, Chief</w:t>
            </w:r>
          </w:p>
        </w:tc>
        <w:tc>
          <w:tcPr>
            <w:tcW w:w="21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4400" w:type="dxa"/>
            <w:vAlign w:val="bottom"/>
            <w:gridSpan w:val="4"/>
          </w:tcPr>
          <w:p>
            <w:pPr>
              <w:ind w:left="320"/>
              <w:spacing w:after="0"/>
              <w:rPr>
                <w:sz w:val="20"/>
                <w:szCs w:val="20"/>
                <w:color w:val="auto"/>
              </w:rPr>
            </w:pPr>
            <w:r>
              <w:rPr>
                <w:rFonts w:ascii="Times New Roman" w:cs="Times New Roman" w:eastAsia="Times New Roman" w:hAnsi="Times New Roman"/>
                <w:sz w:val="22"/>
                <w:szCs w:val="22"/>
                <w:color w:val="auto"/>
              </w:rPr>
              <w:t>Treasurer</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540"/>
          </w:cols>
          <w:pgMar w:left="1440" w:top="1422" w:right="919" w:bottom="1440" w:gutter="0" w:footer="0" w:header="0"/>
        </w:sectPr>
      </w:pPr>
    </w:p>
    <w:bookmarkStart w:id="216" w:name="page217"/>
    <w:bookmarkEnd w:id="216"/>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47"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Class A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400"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6"/>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2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62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277"/>
        </w:trPr>
        <w:tc>
          <w:tcPr>
            <w:tcW w:w="4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Jay L. Johnson</w:t>
            </w:r>
          </w:p>
        </w:tc>
        <w:tc>
          <w:tcPr>
            <w:tcW w:w="3180" w:type="dxa"/>
            <w:vAlign w:val="bottom"/>
          </w:tcPr>
          <w:p>
            <w:pPr>
              <w:spacing w:after="0"/>
              <w:rPr>
                <w:sz w:val="24"/>
                <w:szCs w:val="24"/>
                <w:color w:val="auto"/>
              </w:rPr>
            </w:pPr>
          </w:p>
        </w:tc>
      </w:tr>
      <w:tr>
        <w:trPr>
          <w:trHeight w:val="282"/>
        </w:trPr>
        <w:tc>
          <w:tcPr>
            <w:tcW w:w="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1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217" w:name="page218"/>
    <w:bookmarkEnd w:id="217"/>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By: 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40" w:right="579" w:bottom="1440" w:gutter="0" w:footer="0" w:header="0"/>
        </w:sectPr>
      </w:pPr>
    </w:p>
    <w:bookmarkStart w:id="218" w:name="page219"/>
    <w:bookmarkEnd w:id="218"/>
    <w:p>
      <w:pPr>
        <w:ind w:left="280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77"/>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4"/>
                <w:szCs w:val="24"/>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4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4"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80"/>
          </w:cols>
          <w:pgMar w:left="1440" w:top="1422" w:right="579" w:bottom="1440" w:gutter="0" w:footer="0" w:header="0"/>
        </w:sectPr>
      </w:pPr>
    </w:p>
    <w:bookmarkStart w:id="219" w:name="page220"/>
    <w:bookmarkEnd w:id="219"/>
    <w:p>
      <w:pPr>
        <w:ind w:left="280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28"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800" w:type="dxa"/>
        <w:tblCellMar>
          <w:top w:w="0" w:type="dxa"/>
          <w:left w:w="0" w:type="dxa"/>
          <w:bottom w:w="0" w:type="dxa"/>
          <w:right w:w="0" w:type="dxa"/>
        </w:tblCellMar>
      </w:tblPr>
      <w:tr>
        <w:trPr>
          <w:trHeight w:val="253"/>
        </w:trPr>
        <w:tc>
          <w:tcPr>
            <w:tcW w:w="4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8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80" w:type="dxa"/>
            <w:vAlign w:val="bottom"/>
          </w:tcPr>
          <w:p>
            <w:pPr>
              <w:spacing w:after="0"/>
              <w:rPr>
                <w:sz w:val="22"/>
                <w:szCs w:val="22"/>
                <w:color w:val="auto"/>
              </w:rPr>
            </w:pPr>
          </w:p>
        </w:tc>
      </w:tr>
      <w:tr>
        <w:trPr>
          <w:trHeight w:val="282"/>
        </w:trPr>
        <w:tc>
          <w:tcPr>
            <w:tcW w:w="8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Title:</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LLC, its Managing</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Member</w:t>
      </w:r>
    </w:p>
    <w:p>
      <w:pPr>
        <w:spacing w:after="0" w:line="1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Funding Holdings,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Fairway Outdoor Advertising, LLC, its</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Managing Member</w:t>
      </w:r>
    </w:p>
    <w:p>
      <w:pPr>
        <w:spacing w:after="0" w:line="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5"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Lamar Advertising Limited Partnership, its Managing Member</w:t>
      </w:r>
    </w:p>
    <w:p>
      <w:pPr>
        <w:spacing w:after="0" w:line="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Lamar Media Corp., its Managing Member</w:t>
      </w:r>
    </w:p>
    <w:p>
      <w:pPr>
        <w:spacing w:after="0" w:line="388"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060" w:type="dxa"/>
            <w:vAlign w:val="bottom"/>
          </w:tcPr>
          <w:p>
            <w:pPr>
              <w:spacing w:after="0"/>
              <w:rPr>
                <w:sz w:val="21"/>
                <w:szCs w:val="2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7"/>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3060" w:type="dxa"/>
            <w:vAlign w:val="bottom"/>
          </w:tcPr>
          <w:p>
            <w:pPr>
              <w:spacing w:after="0"/>
              <w:rPr>
                <w:sz w:val="24"/>
                <w:szCs w:val="24"/>
                <w:color w:val="auto"/>
              </w:rPr>
            </w:pPr>
          </w:p>
        </w:tc>
      </w:tr>
      <w:tr>
        <w:trPr>
          <w:trHeight w:val="282"/>
        </w:trPr>
        <w:tc>
          <w:tcPr>
            <w:tcW w:w="11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Title:</w:t>
            </w:r>
          </w:p>
        </w:tc>
        <w:tc>
          <w:tcPr>
            <w:tcW w:w="3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0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0120"/>
          </w:cols>
          <w:pgMar w:left="1440" w:top="1422" w:right="339" w:bottom="1440" w:gutter="0" w:footer="0" w:header="0"/>
        </w:sectPr>
      </w:pPr>
    </w:p>
    <w:bookmarkStart w:id="220" w:name="page221"/>
    <w:bookmarkEnd w:id="220"/>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02" w:lineRule="exact"/>
        <w:rPr>
          <w:sz w:val="20"/>
          <w:szCs w:val="20"/>
          <w:color w:val="auto"/>
        </w:rPr>
      </w:pPr>
    </w:p>
    <w:tbl>
      <w:tblPr>
        <w:tblLayout w:type="fixed"/>
        <w:tblInd w:w="2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420" w:type="dxa"/>
            <w:vAlign w:val="bottom"/>
          </w:tcPr>
          <w:p>
            <w:pPr>
              <w:spacing w:after="0"/>
              <w:rPr>
                <w:sz w:val="22"/>
                <w:szCs w:val="22"/>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Jay L. Johnson</w:t>
            </w:r>
          </w:p>
        </w:tc>
        <w:tc>
          <w:tcPr>
            <w:tcW w:w="174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63"/>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Jay L. Johnson</w:t>
            </w:r>
          </w:p>
        </w:tc>
        <w:tc>
          <w:tcPr>
            <w:tcW w:w="2300" w:type="dxa"/>
            <w:vAlign w:val="bottom"/>
          </w:tcPr>
          <w:p>
            <w:pPr>
              <w:spacing w:after="0"/>
              <w:rPr>
                <w:sz w:val="22"/>
                <w:szCs w:val="22"/>
                <w:color w:val="auto"/>
              </w:rPr>
            </w:pPr>
          </w:p>
        </w:tc>
      </w:tr>
      <w:tr>
        <w:trPr>
          <w:trHeight w:val="257"/>
        </w:trPr>
        <w:tc>
          <w:tcPr>
            <w:tcW w:w="320" w:type="dxa"/>
            <w:vAlign w:val="bottom"/>
          </w:tcPr>
          <w:p>
            <w:pPr>
              <w:spacing w:after="0"/>
              <w:rPr>
                <w:sz w:val="22"/>
                <w:szCs w:val="22"/>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23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Financial Officer and</w:t>
            </w:r>
          </w:p>
        </w:tc>
      </w:tr>
      <w:tr>
        <w:trPr>
          <w:trHeight w:val="282"/>
        </w:trPr>
        <w:tc>
          <w:tcPr>
            <w:tcW w:w="3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Treasurer</w:t>
            </w: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212" w:lineRule="exact"/>
        <w:rPr>
          <w:sz w:val="20"/>
          <w:szCs w:val="20"/>
          <w:color w:val="auto"/>
        </w:rPr>
      </w:pPr>
    </w:p>
    <w:tbl>
      <w:tblPr>
        <w:tblLayout w:type="fixed"/>
        <w:tblInd w:w="2340" w:type="dxa"/>
        <w:tblCellMar>
          <w:top w:w="0" w:type="dxa"/>
          <w:left w:w="0" w:type="dxa"/>
          <w:bottom w:w="0" w:type="dxa"/>
          <w:right w:w="0" w:type="dxa"/>
        </w:tblCellMar>
      </w:tblPr>
      <w:tr>
        <w:trPr>
          <w:trHeight w:val="253"/>
        </w:trPr>
        <w:tc>
          <w:tcPr>
            <w:tcW w:w="4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Jay L. Johnson</w:t>
            </w:r>
          </w:p>
        </w:tc>
        <w:tc>
          <w:tcPr>
            <w:tcW w:w="328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3"/>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Jay L. Johnson</w:t>
            </w:r>
          </w:p>
        </w:tc>
        <w:tc>
          <w:tcPr>
            <w:tcW w:w="3280" w:type="dxa"/>
            <w:vAlign w:val="bottom"/>
          </w:tcPr>
          <w:p>
            <w:pPr>
              <w:spacing w:after="0"/>
              <w:rPr>
                <w:sz w:val="22"/>
                <w:szCs w:val="22"/>
                <w:color w:val="auto"/>
              </w:rPr>
            </w:pPr>
          </w:p>
        </w:tc>
      </w:tr>
      <w:tr>
        <w:trPr>
          <w:trHeight w:val="282"/>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Executive Vice-President, Chief</w:t>
            </w:r>
          </w:p>
        </w:tc>
        <w:tc>
          <w:tcPr>
            <w:tcW w:w="32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860"/>
          </w:cols>
          <w:pgMar w:left="1440" w:top="1422" w:right="599" w:bottom="1440" w:gutter="0" w:footer="0" w:header="0"/>
        </w:sectPr>
      </w:pPr>
    </w:p>
    <w:bookmarkStart w:id="221" w:name="page222"/>
    <w:bookmarkEnd w:id="221"/>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251" w:lineRule="exact"/>
        <w:rPr>
          <w:sz w:val="20"/>
          <w:szCs w:val="20"/>
          <w:color w:val="auto"/>
        </w:rPr>
      </w:pPr>
    </w:p>
    <w:p>
      <w:pPr>
        <w:ind w:left="2120"/>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6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1686560</wp:posOffset>
            </wp:positionH>
            <wp:positionV relativeFrom="paragraph">
              <wp:posOffset>-13970</wp:posOffset>
            </wp:positionV>
            <wp:extent cx="13760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0">
                      <a:extLst>
                        <a:ext uri="{28A0092B-C50C-407E-A947-70E740481C1C}"/>
                      </a:extLst>
                    </a:blip>
                    <a:srcRect/>
                    <a:stretch>
                      <a:fillRect/>
                    </a:stretch>
                  </pic:blipFill>
                  <pic:spPr bwMode="auto">
                    <a:xfrm>
                      <a:off x="0" y="0"/>
                      <a:ext cx="1376045" cy="8890"/>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 Wally Jones</w:t>
      </w:r>
    </w:p>
    <w:p>
      <w:pPr>
        <w:spacing w:after="0" w:line="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9740"/>
          </w:cols>
          <w:pgMar w:left="1440" w:top="1440" w:right="71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2"/>
          <w:szCs w:val="22"/>
          <w:b w:val="1"/>
          <w:bCs w:val="1"/>
          <w:color w:val="auto"/>
        </w:rPr>
        <w:t>Exhibit 10(c)(1)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b w:val="1"/>
          <w:bCs w:val="1"/>
          <w:color w:val="auto"/>
        </w:rPr>
        <w:t>LAMAR DEFERRED COMPENSATION PLAN</w:t>
      </w:r>
    </w:p>
    <w:p>
      <w:pPr>
        <w:spacing w:after="0" w:line="200" w:lineRule="exact"/>
        <w:rPr>
          <w:sz w:val="20"/>
          <w:szCs w:val="20"/>
          <w:color w:val="auto"/>
        </w:rPr>
      </w:pPr>
    </w:p>
    <w:p>
      <w:pPr>
        <w:spacing w:after="0" w:line="29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(As amended and restated effective January 1, 2025)</w:t>
      </w:r>
    </w:p>
    <w:p>
      <w:pPr>
        <w:sectPr>
          <w:pgSz w:w="11900" w:h="16838" w:orient="portrait"/>
          <w:cols w:equalWidth="0" w:num="1">
            <w:col w:w="10120"/>
          </w:cols>
          <w:pgMar w:left="1440" w:top="122"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2"/>
          <w:szCs w:val="22"/>
          <w:b w:val="1"/>
          <w:bCs w:val="1"/>
          <w:color w:val="auto"/>
        </w:rPr>
        <w:t>Exhibit 10(c)(1)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4440" w:type="dxa"/>
            <w:vAlign w:val="bottom"/>
          </w:tcPr>
          <w:p>
            <w:pPr>
              <w:spacing w:after="0"/>
              <w:rPr>
                <w:sz w:val="22"/>
                <w:szCs w:val="22"/>
                <w:color w:val="auto"/>
              </w:rPr>
            </w:pPr>
          </w:p>
        </w:tc>
      </w:tr>
      <w:tr>
        <w:trPr>
          <w:trHeight w:val="547"/>
        </w:trPr>
        <w:tc>
          <w:tcPr>
            <w:tcW w:w="67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LAMAR DEFERRED COMPENSATION PLAN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SECTION 1.</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THE PLAN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1.1</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History of the Plan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1.2</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Purpose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SECTION 2.</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“Account”</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2.2</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“Beneficiary”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2.3</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“Board”</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2.4</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“Code”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2.5</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“Committee”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2.6</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“Company”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2.7</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“Contributions”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2.8</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“Disability”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2.9</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“Effective Date”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2.10</w:t>
            </w:r>
          </w:p>
        </w:tc>
        <w:tc>
          <w:tcPr>
            <w:tcW w:w="59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“Eligible Employee”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2.11</w:t>
            </w:r>
          </w:p>
        </w:tc>
        <w:tc>
          <w:tcPr>
            <w:tcW w:w="59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“ERISA”</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2.12</w:t>
            </w:r>
          </w:p>
        </w:tc>
        <w:tc>
          <w:tcPr>
            <w:tcW w:w="59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“Participant”</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2.13</w:t>
            </w:r>
          </w:p>
        </w:tc>
        <w:tc>
          <w:tcPr>
            <w:tcW w:w="59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“Participation Agreement”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2.14</w:t>
            </w:r>
          </w:p>
        </w:tc>
        <w:tc>
          <w:tcPr>
            <w:tcW w:w="59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“Plan Year”</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2.15</w:t>
            </w:r>
          </w:p>
        </w:tc>
        <w:tc>
          <w:tcPr>
            <w:tcW w:w="59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“Separation from Service”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2.16</w:t>
            </w:r>
          </w:p>
        </w:tc>
        <w:tc>
          <w:tcPr>
            <w:tcW w:w="59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“Specified Employee”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2.17</w:t>
            </w:r>
          </w:p>
        </w:tc>
        <w:tc>
          <w:tcPr>
            <w:tcW w:w="59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“Trustee”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SECTION 3.</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PARTICIPATION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3.1</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Eligibility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3.2</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Election to Participate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3.3</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Termination of Eligibility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SECTION 4.</w:t>
            </w: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CONTRIBUTIONS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4.1</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Accounts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4.2</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Investment of Accounts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676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SECTION 5.  PAYMENT OF ACCOUNT</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5.1</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General</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5.2</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Separation from Service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5.3</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Change of Distribution Election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5.4</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Death Benefits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5.5</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Disability</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5.6</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Distributions for Payment of Employment Taxes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5.7</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Forfeiture of Benefits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5.8</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Delay of Payments Under Certain Circumstances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5.9</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Acceleration Prohibited</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676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SECTION 6.  RIGHTS OF PARTICIPANTS</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82"/>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6.1</w:t>
            </w: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Contractual Obligation</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pacing w:after="0" w:line="200" w:lineRule="exact"/>
        <w:rPr>
          <w:sz w:val="20"/>
          <w:szCs w:val="20"/>
          <w:color w:val="auto"/>
        </w:rPr>
      </w:pPr>
    </w:p>
    <w:p>
      <w:pPr>
        <w:sectPr>
          <w:pgSz w:w="11900" w:h="16838" w:orient="portrait"/>
          <w:cols w:equalWidth="0" w:num="1">
            <w:col w:w="11220"/>
          </w:cols>
          <w:pgMar w:left="3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Cambria" w:cs="Cambria" w:eastAsia="Cambria" w:hAnsi="Cambria"/>
          <w:sz w:val="19"/>
          <w:szCs w:val="19"/>
          <w:b w:val="1"/>
          <w:bCs w:val="1"/>
          <w:color w:val="auto"/>
        </w:rPr>
        <w:t>i</w:t>
      </w:r>
    </w:p>
    <w:p>
      <w:pPr>
        <w:sectPr>
          <w:pgSz w:w="11900" w:h="16838" w:orient="portrait"/>
          <w:cols w:equalWidth="0" w:num="1">
            <w:col w:w="11220"/>
          </w:cols>
          <w:pgMar w:left="340" w:top="122" w:right="339" w:bottom="1440" w:gutter="0" w:footer="0" w:header="0"/>
          <w:type w:val="continuous"/>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b w:val="1"/>
          <w:bCs w:val="1"/>
          <w:color w:val="auto"/>
        </w:rPr>
        <w:t>Exhibit 10(c)(1)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Unsecured Interest</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Company’s Right to Anticipate Plan Obligations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ADMINISTRATION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7.1</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Administration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Indemnification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7.3</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Expenses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Tax Withholding</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7.5</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Claims Procedure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MISCELLANEOUS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8.1</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Non-Transferrability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8.2</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Facility of Payment</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8.3</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Nonalienation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Discretionary Decisions</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8.5</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Rights Against the Company</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8.6</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Applicable Law and Construction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6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8.7</w:t>
            </w:r>
          </w:p>
        </w:tc>
        <w:tc>
          <w:tcPr>
            <w:tcW w:w="8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Illegality of Particular Provision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w:t>
            </w:r>
          </w:p>
        </w:tc>
        <w:tc>
          <w:tcPr>
            <w:tcW w:w="7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AMENDMENT, MODIFICATION, SUSPENSION OR TERMINATION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40"/>
        <w:spacing w:after="0"/>
        <w:rPr>
          <w:sz w:val="20"/>
          <w:szCs w:val="20"/>
          <w:color w:val="auto"/>
        </w:rPr>
      </w:pPr>
      <w:r>
        <w:rPr>
          <w:rFonts w:ascii="Cambria" w:cs="Cambria" w:eastAsia="Cambria" w:hAnsi="Cambria"/>
          <w:sz w:val="20"/>
          <w:szCs w:val="20"/>
          <w:b w:val="1"/>
          <w:bCs w:val="1"/>
          <w:color w:val="auto"/>
        </w:rPr>
        <w:t>ii</w:t>
      </w:r>
    </w:p>
    <w:p>
      <w:pPr>
        <w:sectPr>
          <w:pgSz w:w="11900" w:h="16838" w:orient="portrait"/>
          <w:cols w:equalWidth="0" w:num="1">
            <w:col w:w="11000"/>
          </w:cols>
          <w:pgMar w:left="560" w:top="122" w:right="339" w:bottom="1440" w:gutter="0" w:footer="0" w:header="0"/>
        </w:sectPr>
      </w:pPr>
    </w:p>
    <w:bookmarkStart w:id="225" w:name="page226"/>
    <w:bookmarkEnd w:id="225"/>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LAMAR DEFERRED COMPENSATION PLAN</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1. THE PLAN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History of the Plan</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Lamar Texas Limited Partnership and its affiliates and subsidiaries established an unfunded deferred compensation plan for certain eligible employees, known as the “Lamar Texas Limited Partnership Its Affiliates and Subsidiaries Deferred Compensation Plan.”</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Plan was renamed as the “Lamar Deferred Compensation Plan” and most recently restated and amended as of January 1, 2006 by the Board of Directors of Lamar Advertising (hereinafter referred to as the “Plan”). The Company (as subsequently defined) is restating and amending the Plan effective January 1, 2025, except where otherwise noted herein.</w:t>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Plan is intended to provide a select group of management or highly-compensated employees with additional compensation, payment of which is deferred until a later date. The Plan is intended to be exempt from the application of the Employee Retirement Income Security Act of 1974, as amended.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2. DEFINITIONS</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Capitalized terms used in the Plan shall have the respective meanings set forth below. As the context may require, the singular shall include the plural.</w:t>
      </w:r>
    </w:p>
    <w:p>
      <w:pPr>
        <w:spacing w:after="0" w:line="12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 “Account” </w:t>
      </w:r>
      <w:r>
        <w:rPr>
          <w:rFonts w:ascii="Times New Roman" w:cs="Times New Roman" w:eastAsia="Times New Roman" w:hAnsi="Times New Roman"/>
          <w:sz w:val="22"/>
          <w:szCs w:val="22"/>
          <w:color w:val="auto"/>
        </w:rPr>
        <w:t>shall mean a Participant’s Account to which the Contributions for a Participant are credited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books of the Company.</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2.2 “Beneficiary” </w:t>
      </w:r>
      <w:r>
        <w:rPr>
          <w:rFonts w:ascii="Times New Roman" w:cs="Times New Roman" w:eastAsia="Times New Roman" w:hAnsi="Times New Roman"/>
          <w:sz w:val="22"/>
          <w:szCs w:val="22"/>
          <w:color w:val="auto"/>
        </w:rPr>
        <w:t>shall mean the person designated as a beneficiary under Section 5.4, including any charitable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(as defined in Section 501(c)(3) of the Code), estate, trust, or other estate planning entity.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 xml:space="preserve">“Board” </w:t>
      </w:r>
      <w:r>
        <w:rPr>
          <w:rFonts w:ascii="Times New Roman" w:cs="Times New Roman" w:eastAsia="Times New Roman" w:hAnsi="Times New Roman"/>
          <w:sz w:val="21"/>
          <w:szCs w:val="21"/>
          <w:color w:val="auto"/>
        </w:rPr>
        <w:t>shall mean the Board of Directors of Lamar Advertising Company.</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2.4 “Code” </w:t>
      </w:r>
      <w:r>
        <w:rPr>
          <w:rFonts w:ascii="Times New Roman" w:cs="Times New Roman" w:eastAsia="Times New Roman" w:hAnsi="Times New Roman"/>
          <w:sz w:val="22"/>
          <w:szCs w:val="22"/>
          <w:color w:val="auto"/>
        </w:rPr>
        <w:t>shall mean the Internal Revenue Code of 1986, as amended. All citations to Sections of the Code are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Sections as they may from time to time be amended or renumbered.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2.5 “Committee” </w:t>
      </w:r>
      <w:r>
        <w:rPr>
          <w:rFonts w:ascii="Times New Roman" w:cs="Times New Roman" w:eastAsia="Times New Roman" w:hAnsi="Times New Roman"/>
          <w:sz w:val="22"/>
          <w:szCs w:val="22"/>
          <w:color w:val="auto"/>
        </w:rPr>
        <w:t>shall mean the Compensation Committee of the Board, or such other person or persons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from time to time by the Board to act as the Plan’s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383"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2.6 “Company” </w:t>
      </w:r>
      <w:r>
        <w:rPr>
          <w:rFonts w:ascii="Times New Roman" w:cs="Times New Roman" w:eastAsia="Times New Roman" w:hAnsi="Times New Roman"/>
          <w:sz w:val="22"/>
          <w:szCs w:val="22"/>
          <w:color w:val="auto"/>
        </w:rPr>
        <w:t>shall mean Lamar Media Corp. and (except where the context requires otherwise) its affiliates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which adopt the Plan.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2.7 “Contributions” </w:t>
      </w:r>
      <w:r>
        <w:rPr>
          <w:rFonts w:ascii="Times New Roman" w:cs="Times New Roman" w:eastAsia="Times New Roman" w:hAnsi="Times New Roman"/>
          <w:sz w:val="22"/>
          <w:szCs w:val="22"/>
          <w:color w:val="auto"/>
        </w:rPr>
        <w:t>shall mean the contributions, if any, made by the Company to the Participants’ Accounts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4.1.</w:t>
      </w:r>
    </w:p>
    <w:p>
      <w:pPr>
        <w:spacing w:after="0" w:line="14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2.8 “Disability” </w:t>
      </w:r>
      <w:r>
        <w:rPr>
          <w:rFonts w:ascii="Times New Roman" w:cs="Times New Roman" w:eastAsia="Times New Roman" w:hAnsi="Times New Roman"/>
          <w:sz w:val="21"/>
          <w:szCs w:val="21"/>
          <w:color w:val="auto"/>
        </w:rPr>
        <w:t>shall mean that the Participant (i) is unable to engage in any substantial gainful activity by reason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of the Company.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 xml:space="preserve">“Effective Date” </w:t>
      </w:r>
      <w:r>
        <w:rPr>
          <w:rFonts w:ascii="Times New Roman" w:cs="Times New Roman" w:eastAsia="Times New Roman" w:hAnsi="Times New Roman"/>
          <w:sz w:val="21"/>
          <w:szCs w:val="21"/>
          <w:color w:val="auto"/>
        </w:rPr>
        <w:t>shall mean January 1, 2025.</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2.10 “Eligible Employee” </w:t>
      </w:r>
      <w:r>
        <w:rPr>
          <w:rFonts w:ascii="Times New Roman" w:cs="Times New Roman" w:eastAsia="Times New Roman" w:hAnsi="Times New Roman"/>
          <w:sz w:val="21"/>
          <w:szCs w:val="21"/>
          <w:color w:val="auto"/>
        </w:rPr>
        <w:t>shall mean an employee who (i) is classified by the Committee as management or a highly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compensated employee, (ii) is employed full-time by the Company, (iii) has completed 5 non-consecutive years of service with the Company and/or the employee’s immediate predecessor employer who was acquired in whole or in part by the Company provided the employee transferred his employment from that predecessor employer to the Company as of the date of acquisition,</w:t>
      </w:r>
    </w:p>
    <w:p>
      <w:pPr>
        <w:spacing w:after="0" w:line="3" w:lineRule="exact"/>
        <w:rPr>
          <w:sz w:val="20"/>
          <w:szCs w:val="20"/>
          <w:color w:val="auto"/>
        </w:rPr>
      </w:pPr>
    </w:p>
    <w:p>
      <w:pPr>
        <w:ind w:firstLine="8"/>
        <w:spacing w:after="0" w:line="225" w:lineRule="auto"/>
        <w:tabs>
          <w:tab w:leader="none" w:pos="4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reached the status of officer, and (v) is designated as an Eligible Employee by the Committee. With respect to requirement (iv) in the preceding sentence, years of service with a predecessor employer will not be counted.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2.11 “ERISA” </w:t>
      </w:r>
      <w:r>
        <w:rPr>
          <w:rFonts w:ascii="Times New Roman" w:cs="Times New Roman" w:eastAsia="Times New Roman" w:hAnsi="Times New Roman"/>
          <w:sz w:val="22"/>
          <w:szCs w:val="22"/>
          <w:color w:val="auto"/>
        </w:rPr>
        <w:t>shall mean the Employee Retirement Income Security Act of 1974, as amended. All citations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of ERISA are to such Sections as they may from time to time be amended or renumbered.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b w:val="1"/>
          <w:bCs w:val="1"/>
          <w:color w:val="auto"/>
        </w:rPr>
        <w:t xml:space="preserve">“Participant” </w:t>
      </w:r>
      <w:r>
        <w:rPr>
          <w:rFonts w:ascii="Times New Roman" w:cs="Times New Roman" w:eastAsia="Times New Roman" w:hAnsi="Times New Roman"/>
          <w:sz w:val="21"/>
          <w:szCs w:val="21"/>
          <w:color w:val="auto"/>
        </w:rPr>
        <w:t>shall mean an Eligible Employee who participates in the Plan pursuant to Section 3.</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2.13 “Participation Agreement” </w:t>
      </w:r>
      <w:r>
        <w:rPr>
          <w:rFonts w:ascii="Times New Roman" w:cs="Times New Roman" w:eastAsia="Times New Roman" w:hAnsi="Times New Roman"/>
          <w:sz w:val="22"/>
          <w:szCs w:val="22"/>
          <w:color w:val="auto"/>
        </w:rPr>
        <w:t>shall mean a completed agreement between a Participant and the Company,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include any amendments, attachments and appendices thereto, in such form approved by the Administrator and filed in accordance with Section 3.2.</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1"/>
          <w:szCs w:val="21"/>
          <w:b w:val="1"/>
          <w:bCs w:val="1"/>
          <w:color w:val="auto"/>
        </w:rPr>
        <w:t xml:space="preserve">“Plan Year” </w:t>
      </w:r>
      <w:r>
        <w:rPr>
          <w:rFonts w:ascii="Times New Roman" w:cs="Times New Roman" w:eastAsia="Times New Roman" w:hAnsi="Times New Roman"/>
          <w:sz w:val="21"/>
          <w:szCs w:val="21"/>
          <w:color w:val="auto"/>
        </w:rPr>
        <w:t>shall mean the calendar year.</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2.15 “Separation from Service” </w:t>
      </w:r>
      <w:r>
        <w:rPr>
          <w:rFonts w:ascii="Times New Roman" w:cs="Times New Roman" w:eastAsia="Times New Roman" w:hAnsi="Times New Roman"/>
          <w:sz w:val="22"/>
          <w:szCs w:val="22"/>
          <w:color w:val="auto"/>
        </w:rPr>
        <w:t>shall mean a termination of employment from the Company within the meaning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409A(a)(2)(A)(i) of the Code and the guidance issued pursuant thereto.</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2.16 “Specified Employee” </w:t>
      </w:r>
      <w:r>
        <w:rPr>
          <w:rFonts w:ascii="Times New Roman" w:cs="Times New Roman" w:eastAsia="Times New Roman" w:hAnsi="Times New Roman"/>
          <w:sz w:val="22"/>
          <w:szCs w:val="22"/>
          <w:color w:val="auto"/>
        </w:rPr>
        <w:t>shall mean a key employee (as defined in Section 416(i) of the Code without regard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paragraph (5) thereof). For purposes of determining a Specified Employee, the identification date shall be December 31.</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b w:val="1"/>
          <w:bCs w:val="1"/>
          <w:color w:val="auto"/>
        </w:rPr>
        <w:t xml:space="preserve">“Trustee” </w:t>
      </w:r>
      <w:r>
        <w:rPr>
          <w:rFonts w:ascii="Times New Roman" w:cs="Times New Roman" w:eastAsia="Times New Roman" w:hAnsi="Times New Roman"/>
          <w:sz w:val="21"/>
          <w:szCs w:val="21"/>
          <w:color w:val="auto"/>
        </w:rPr>
        <w:t>shall mean T. Rowe Price Trust Company, a Maryland limited purpose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 PARTICIPATION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Eligibility</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Eligible Employee may become a Participant in the Plan. In the event that a Participant who is an employee of the Company ceases for any reason to be employed in a position which is included within the definition of Eligible Employee, but the individual remains with the Company as an employee, then any amounts in such Participant’s Account shall remain subject to the terms of this Plan until otherwise distributable in accordance with Section 5.</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Election to Participate</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Committee, in its sole discretion, may provide such election periods with respect to the completion of Participation Agreements as it deems appropriate for the administration of the Plan and which comply with Section 409A of the Code and applicable guidance.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Termination of Eligibility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shall cease to be a Participant as of the date the Participant’s Account is fully paid-out.</w:t>
      </w:r>
    </w:p>
    <w:p>
      <w:pPr>
        <w:spacing w:after="0" w:line="1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SECTION 4. CONTRIBUTIONS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Accounts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shall establish and maintain an Account for each Participant under the Plan on whose behalf a Company Contribution is credited to the Participant. For each year, the Company shall have the option to credit to the appropriate Account the amounts approved by the Committee. Periodically, each Participant shall be furnished with a statement setting forth the value of the Participant’s Account.</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Investment of Accounts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Participant may direct the investment of his or her Accounts, subject to the following:</w:t>
      </w:r>
    </w:p>
    <w:p>
      <w:pPr>
        <w:spacing w:after="0" w:line="220" w:lineRule="exact"/>
        <w:rPr>
          <w:sz w:val="20"/>
          <w:szCs w:val="20"/>
          <w:color w:val="auto"/>
        </w:rPr>
      </w:pPr>
    </w:p>
    <w:p>
      <w:pPr>
        <w:ind w:firstLine="1304"/>
        <w:spacing w:after="0" w:line="271" w:lineRule="auto"/>
        <w:tabs>
          <w:tab w:leader="none" w:pos="194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determine the investments which will be made available as investment options under the Plan from time to time and may but shall not be required to invest the Account in the manner directed by a Participant.</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investment directions shall be in accordance with such rules and regulations as the Company may establish from time to time for this purpose.</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earnings and losses on the investments held for a Participant’s Account shall be credited to such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p>
    <w:p>
      <w:pPr>
        <w:spacing w:after="0" w:line="214" w:lineRule="exact"/>
        <w:rPr>
          <w:sz w:val="20"/>
          <w:szCs w:val="20"/>
          <w:color w:val="auto"/>
        </w:rPr>
      </w:pPr>
    </w:p>
    <w:p>
      <w:pPr>
        <w:ind w:firstLine="1304"/>
        <w:spacing w:after="0" w:line="271" w:lineRule="auto"/>
        <w:tabs>
          <w:tab w:leader="none" w:pos="193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Trustee) shall at all times retain title to all assets held for the Accounts, and shall have the voting power with respect to all stock or other securities held for the Accounts.</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Accounts shall be valued by the Company (or its Trustee) at fair market value as of the last day of each calendar quarter and at such other times as may be necessary for the proper administration of the Plan.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5. PAYMENT OF ACCOUNT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At the time a Participant executes a Participation Agreement, the Participant shall duly designate, execute, and file with the Committee (on the Participation Agreement or other appropriate form designated by the Committee) the method of payment of the Participant’s Account. Except as otherwise permitted by the Internal Revenue Service or the US Treasury under Section 409A of the Code, a Participant’s Account shall not be distributed earlier than (i) the Participant’s Separation from Service from the Company, (ii) the Participant’s death, (iii) the Participant’s Disability, or (iv) the date necessary to satisfy the Participant’s employment tax obligations on the Company FICA Amount (as described in Section 5.6). Except as otherwise provided in the Plan, an election with respect to the method of payment shall be irrevocable.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Separation from Service</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Subject to the provisions of this Section 5 regarding payment upon death and Disability, at the time a Participant first executes a Participation Agreement under Section 3.2, or changes a distribution election in accordance with Section 5.3, the Participant shall elect one of the following methods of payment for the amount in the Participant’s Account upon Separation from Service:</w:t>
      </w:r>
    </w:p>
    <w:p>
      <w:pPr>
        <w:spacing w:after="0" w:line="179" w:lineRule="exact"/>
        <w:rPr>
          <w:sz w:val="20"/>
          <w:szCs w:val="20"/>
          <w:color w:val="auto"/>
        </w:rPr>
      </w:pPr>
    </w:p>
    <w:p>
      <w:pPr>
        <w:jc w:val="both"/>
        <w:ind w:firstLine="1304"/>
        <w:spacing w:after="0" w:line="263"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Lump Sum</w:t>
      </w:r>
      <w:r>
        <w:rPr>
          <w:rFonts w:ascii="Times New Roman" w:cs="Times New Roman" w:eastAsia="Times New Roman" w:hAnsi="Times New Roman"/>
          <w:sz w:val="22"/>
          <w:szCs w:val="22"/>
          <w:color w:val="auto"/>
        </w:rPr>
        <w:t>. The Participant shall receive a single sum cash payment equal to the amount credited to the Participant’s Account. The amount of the Participant’s Account shall be paid as soon as practicable but no more than 60 days following the Participant’s Separation from Service.</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w:t>
      </w:r>
      <w:r>
        <w:rPr>
          <w:rFonts w:ascii="Times New Roman" w:cs="Times New Roman" w:eastAsia="Times New Roman" w:hAnsi="Times New Roman"/>
          <w:sz w:val="22"/>
          <w:szCs w:val="22"/>
          <w:color w:val="auto"/>
        </w:rPr>
        <w:t>. Prior to January 1, 2025, a Participant may have elected to receive distribution of the Participant’s Account in installments (not more frequently than quarterly) over a period up to 5 years. On or after January 1, 2025, a Participant may elect to receive distribution of the Participant’s Account in installments (not more frequently than quarterly) over a period up to 10 years. Payments shall commence as soon as practicable but no more than 60 days following Separation from Service, and the amount of each installment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shall equal the balance in the Participant’s Account, divided by the number of remaining installments.</w:t>
      </w:r>
    </w:p>
    <w:p>
      <w:pPr>
        <w:spacing w:after="0" w:line="220" w:lineRule="exact"/>
        <w:rPr>
          <w:sz w:val="20"/>
          <w:szCs w:val="20"/>
          <w:color w:val="auto"/>
        </w:rPr>
      </w:pPr>
    </w:p>
    <w:p>
      <w:pPr>
        <w:jc w:val="both"/>
        <w:ind w:firstLine="1304"/>
        <w:spacing w:after="0" w:line="251" w:lineRule="auto"/>
        <w:tabs>
          <w:tab w:leader="none" w:pos="19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 to Specified Employees</w:t>
      </w:r>
      <w:r>
        <w:rPr>
          <w:rFonts w:ascii="Times New Roman" w:cs="Times New Roman" w:eastAsia="Times New Roman" w:hAnsi="Times New Roman"/>
          <w:sz w:val="22"/>
          <w:szCs w:val="22"/>
          <w:color w:val="auto"/>
        </w:rPr>
        <w:t>. Notwithstanding anything to the contrary provided in this Plan, distributions to Specified Employees upon Separation from Service, other than distributions due to death, shall not commence until at least 6 months after Separation from Service. If a Specified Employee elects installments as the method of payment, any installments payment to which such Specified Employee would otherwise be entitled during the 6-month period following the date of Separation from Service will be accumulated and paid on the first day of the seventh month following such Separation from Service. A Participant’s Account shall continue to be invested pursuant to Section 4.2.</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Change of Distribution Election</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 Participant may change an election under Section 5.2 to delay payment or change the form of payment at any time prior to commencement of distribution by duly completing, executing, and filing with the Committee a new election on an appropriate form designated by the Committee; provided however, that for any change of election to become effective: (i) such subsequent election may not take effect until at least 12 months after the date on which the election is made and (ii) in the case of an election (other than for reason of the Participant’s death or Disability), the first payment with respect to which such election is made must be deferred for a period of not less than 5 years from the date such payment would otherwise have been made. In the event a Participant has not made an election under Section 5.2 that is effective upon Separation from Service, then the Participant shall receive a lump sum distribution under Section 5.2.</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Death Benefits</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At the time the Participant executes a Participation Agreement and at any time thereafter, the Participant may designate a Beneficiary (or change a Beneficiary designation) to receive the unpaid amount under the Participant’s Account in the event of the death of the Participant by duly completing, executing, and filing with the Committee before the Participant’s death the appropriate form designated by the Committee. In the event of the death of the Participant prior to Separation from Service, the unpaid amount shall be paid in a lump sum cash payment to the Participant’s Beneficiary unless the Participant has directed that payment of the Participant’s Account is to be made upon the Participant’s death in one of the other methods of payment described in Section 5.2. Such payment shall be paid as soon as practicable but no more than 60 days following the death of the Participant. In the event of the death of the Participant on or after Separation from Service, the unpaid amount shall be paid to the Participant’s Beneficiary in accordance with the method of payment elected by the Participant for distribution upon Separation of Service unless the Participant has directed that upon the Participant’s death, payment is to be made in one of the other methods of payment described in Section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0" w:lineRule="exact"/>
        <w:rPr>
          <w:sz w:val="20"/>
          <w:szCs w:val="20"/>
          <w:color w:val="auto"/>
        </w:rPr>
      </w:pP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a Participant has failed to make an effective Beneficiary designation in accordance with this Section or the individual named in an effective Beneficiary election is not alive at the time of the Participant’s death, then the death benefits payable hereunder shall be paid to the Participant’s estate as soon as practicable in a lump sum.</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Disability</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Upon a determination by the Committee that a Participant has incurred a Disability, the Participant’s Account shall be paid to the Participant in a lump sum payment unless the Participant has directed that payment of the Participant’s Account be made upon the Participant’s Disability in one of the other methods of payment described in Section 5.2. Such payment shall be paid as soon as practicable but no more than 60 days following the Committee’s determination that a Participant has incurred a Disability.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Distributions for Payment of Employment Taxes</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Committee may permit the acceleration of the time or schedule of a payment to pay the Federal Insurance Contributions Act (“FICA”) tax imposed on compensation deferred under the Plan (the “FICA Amount”). Additionally, the Committee may permit the acceleration of time or schedule of a payment to pay the income tax at source on wages imposed on the FICA Amount, and to pay the additional income tax at source on wages attributable to the pyramiding wages and taxes. However, the total payment under this Section may not exceed the aggregate of the FICA Amount and the income tax withholding related to such FICA amount.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Forfeiture of Benefits</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anything herein contained to the contrary, no payment of a Participant’s Account shall be made and all rights under the Participation Agreement of the Participant, his or her Beneficiary, executors or administrators, or any other person, to receive payments thereof shall be forfeited if the Participant is discharged for malfeasance or wrongful conduct.</w:t>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color w:val="auto"/>
        </w:rPr>
        <w:t>Delay of Payments Under Certain Circumstances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the provisions of this Section 5, to the extent permitted by Section 409A of the Code and the regulations thereunder the Company, in its discretion, may delay payment to a date after the payment date designated in such paragraphs under any of the following circumstances:</w:t>
      </w:r>
    </w:p>
    <w:p>
      <w:pPr>
        <w:spacing w:after="0" w:line="173" w:lineRule="exact"/>
        <w:rPr>
          <w:sz w:val="20"/>
          <w:szCs w:val="20"/>
          <w:color w:val="auto"/>
        </w:rPr>
      </w:pPr>
    </w:p>
    <w:p>
      <w:pPr>
        <w:jc w:val="both"/>
        <w:ind w:firstLine="1304"/>
        <w:spacing w:after="0" w:line="263"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Made As Soon As Practicable After the Specified Date</w:t>
      </w:r>
      <w:r>
        <w:rPr>
          <w:rFonts w:ascii="Times New Roman" w:cs="Times New Roman" w:eastAsia="Times New Roman" w:hAnsi="Times New Roman"/>
          <w:sz w:val="22"/>
          <w:szCs w:val="22"/>
          <w:color w:val="auto"/>
        </w:rPr>
        <w:t>. Payments will be made as soon as practicable after the date specified in this Section 5 and in any event within the same calendar year or, if later, by the fifteenth day of the third calendar month following the date specified in this Section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00" w:lineRule="exact"/>
        <w:rPr>
          <w:sz w:val="20"/>
          <w:szCs w:val="20"/>
          <w:color w:val="auto"/>
        </w:rPr>
      </w:pPr>
    </w:p>
    <w:p>
      <w:pPr>
        <w:spacing w:after="0" w:line="214" w:lineRule="exact"/>
        <w:rPr>
          <w:sz w:val="20"/>
          <w:szCs w:val="20"/>
          <w:color w:val="auto"/>
        </w:rPr>
      </w:pPr>
    </w:p>
    <w:p>
      <w:pPr>
        <w:jc w:val="both"/>
        <w:ind w:firstLine="1304"/>
        <w:spacing w:after="0" w:line="252" w:lineRule="auto"/>
        <w:tabs>
          <w:tab w:leader="none" w:pos="193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that Would Jeopardize the Ability of the Company to Continue as a Going Concern</w:t>
      </w:r>
      <w:r>
        <w:rPr>
          <w:rFonts w:ascii="Times New Roman" w:cs="Times New Roman" w:eastAsia="Times New Roman" w:hAnsi="Times New Roman"/>
          <w:sz w:val="22"/>
          <w:szCs w:val="22"/>
          <w:color w:val="auto"/>
        </w:rPr>
        <w:t>. Payment will be delayed where the Committee reasonably anticipates that the making of the payment at the date specified under the Plan would jeopardize the ability of the Company to continue as a going concern provided that the delayed payment is made during the first taxable year of the service provider in which making of the payment would no longer have such effect.</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that Would Violate Federal Securities Laws or Other Applicable Law</w:t>
      </w:r>
      <w:r>
        <w:rPr>
          <w:rFonts w:ascii="Times New Roman" w:cs="Times New Roman" w:eastAsia="Times New Roman" w:hAnsi="Times New Roman"/>
          <w:sz w:val="22"/>
          <w:szCs w:val="22"/>
          <w:color w:val="auto"/>
        </w:rPr>
        <w:t>. Payment will be delayed where the Committee reasonably anticipates that the making of the payment will violate federal securities laws or other applicable law; provided that the delayed payment is made at the earliest date at which the Committee reasonably anticipates that the making of the payment will not cause such violation.</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color w:val="auto"/>
        </w:rPr>
        <w:t>Acceleration Prohibited</w:t>
      </w:r>
    </w:p>
    <w:p>
      <w:pPr>
        <w:spacing w:after="0" w:line="200" w:lineRule="exact"/>
        <w:rPr>
          <w:sz w:val="20"/>
          <w:szCs w:val="20"/>
          <w:color w:val="auto"/>
        </w:rPr>
      </w:pPr>
    </w:p>
    <w:p>
      <w:pPr>
        <w:spacing w:after="0" w:line="253" w:lineRule="exact"/>
        <w:rPr>
          <w:sz w:val="20"/>
          <w:szCs w:val="20"/>
          <w:color w:val="auto"/>
        </w:rPr>
      </w:pPr>
    </w:p>
    <w:p>
      <w:pPr>
        <w:ind w:right="220" w:firstLine="648"/>
        <w:spacing w:after="0" w:line="295" w:lineRule="auto"/>
        <w:rPr>
          <w:sz w:val="20"/>
          <w:szCs w:val="20"/>
          <w:color w:val="auto"/>
        </w:rPr>
      </w:pPr>
      <w:r>
        <w:rPr>
          <w:rFonts w:ascii="Times New Roman" w:cs="Times New Roman" w:eastAsia="Times New Roman" w:hAnsi="Times New Roman"/>
          <w:sz w:val="21"/>
          <w:szCs w:val="21"/>
          <w:color w:val="auto"/>
        </w:rPr>
        <w:t>Notwithstanding anything herein to the contrary, the acceleration of the time or schedule of any payment due under the Plan is prohibited, except as provided in regulations and administrative guidance promulgated under Section 409A of the Code.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6. RIGHTS OF PARTICIPANTS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Contractual Obligation</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All amounts payable in accordance with this Plan shall constitute a general unsecured obligation of the Company. Such amounts, as well as any administrative costs relating to the Plan, shall be paid out of the general assets of the Company, to the extent not paid by a grantor trust established pursuant to Section 6.3. The Committee may decide that a Participant’s Account may be reduced to reflect allocable administrative expense.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Unsecured Interest</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Neither the Company nor the Committee in any way guarantees the investment performance of a Participant’s Account. No special or separate fund shall be established, and no segregation of assets shall be made to assure the payment of benefits hereunder. No Participant or Beneficiary hereunder shall have any right, title, or interest whatsoever in any specific asset of the Company. Nothing contained in this Plan and no action taken pursuant to its provisions shall create or be construed to create a trust of any kind, or a fiduciary relationship, between the Company and a Participant or any other person. To the extent that any person acquires a right to receive payments under this Plan, such right shall be no greater than the right of any unsecured general creditor of the Company.</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Company’s Right to Anticipate Plan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00" w:lineRule="exact"/>
        <w:rPr>
          <w:sz w:val="20"/>
          <w:szCs w:val="20"/>
          <w:color w:val="auto"/>
        </w:rPr>
      </w:pP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may, for administrative reasons, establish a grantor trust for the benefit of Participants participating in the Plan. The assets of said trust, as well as any insurance contracts held by such trust, shall be held separate and apart from other Company funds and shall be used exclusively for the purposes set forth in the Plan and the applicable trust agreement, subject to the following conditions:</w:t>
      </w:r>
    </w:p>
    <w:p>
      <w:pPr>
        <w:spacing w:after="0" w:line="179" w:lineRule="exact"/>
        <w:rPr>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creation of said trust shall not cause the Plan to be other than “unfunded” for purposes of ERISA;</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treated as “grantor” of said trust for purposes of Section 677 of the Code;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Said trust agreement shall provide that its assets may be used to satisfy claims of the Company’s general creditors in the event of the Company’s insolvency, and the rights of such general creditors are enforceable by them under federal and state law.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 ADMINISTRATION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10" w:lineRule="exact"/>
        <w:rPr>
          <w:sz w:val="20"/>
          <w:szCs w:val="20"/>
          <w:color w:val="auto"/>
        </w:rPr>
      </w:pPr>
    </w:p>
    <w:p>
      <w:pPr>
        <w:jc w:val="both"/>
        <w:ind w:firstLine="1304"/>
        <w:spacing w:after="0" w:line="250"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by the Committee. The Committee may appoint one or more individuals and delegate such of its powers and duties described herein as it deems desirable to any such individual, in which case every reference herein made to the Committee shall be deemed to mean or include the individuals as to matters within the jurisdiction of such delegations. The Committee is authorized to construe and interpret all provisions of the Plan, to remedy any inconsistencies or omissions, to resolve any ambiguities, to adopt rules and practices concerning the administration of the Plan, and to make any determinations and calculations necessary or appropriate hereunder. The determination of the Committee as to any disputed question arising under this Plan, including questions of construction and interpretation, shall, in all events, be final, binding, and conclusive on all persons.</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engage the services of accountants, attorneys, actuaries, investment consultants, and such other professional personnel as are deemed necessary or advisable to assist them in fulfilling their responsibilities under the Plan. The Committee and their delegates and assistants will be entitled to act on the basis of all tables, valuations, certificates, opinions, and reports furnished by such professional personnel.</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Indemnification</w:t>
      </w:r>
    </w:p>
    <w:p>
      <w:pPr>
        <w:spacing w:after="0" w:line="21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To the extent permitted by law, all agents and representatives of the Committee shall be indemnified by the Company and saved harmless against any claims, and the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0" w:lineRule="exact"/>
        <w:rPr>
          <w:sz w:val="20"/>
          <w:szCs w:val="20"/>
          <w:color w:val="auto"/>
        </w:rPr>
      </w:pPr>
    </w:p>
    <w:p>
      <w:pPr>
        <w:spacing w:after="0" w:line="2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defending against such claims, resulting from any action or conduct relating to the administration of the Plan, except claims arising from gross negligence, willful neglect, or willful misconduct.</w:t>
      </w:r>
    </w:p>
    <w:p>
      <w:pPr>
        <w:spacing w:after="0" w:line="1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Expenses</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cost of payments from this Plan and the expenses of administering the Plan shall be borne by the Company, except as otherwise may be provided herein.</w:t>
      </w:r>
    </w:p>
    <w:p>
      <w:pPr>
        <w:spacing w:after="0" w:line="1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may withhold from any payment that may be obligated under the Plan, or any other amounts owed by the Company to the Participant or any Beneficiary, any federal, state, local, or other taxes required by law to be withheld with respect to such payment and such sums as the Company may reasonably estimate are necessary to cover any other amounts for which the Company may be legally liable and which may be assessed with regard to such payment.</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color w:val="auto"/>
        </w:rPr>
        <w:t>Claims Procedure</w:t>
      </w:r>
    </w:p>
    <w:p>
      <w:pPr>
        <w:spacing w:after="0" w:line="210" w:lineRule="exact"/>
        <w:rPr>
          <w:sz w:val="20"/>
          <w:szCs w:val="20"/>
          <w:color w:val="auto"/>
        </w:rPr>
      </w:pPr>
    </w:p>
    <w:p>
      <w:pPr>
        <w:jc w:val="both"/>
        <w:ind w:firstLine="1304"/>
        <w:spacing w:after="0" w:line="268" w:lineRule="auto"/>
        <w:tabs>
          <w:tab w:leader="none" w:pos="1941"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Any person claiming a benefit, requesting an interpretation or ruling under this Plan, or requesting information under the Plan must present the request in writing to Committee, which shall respond in writing within a reasonable period of time, but not later than ninety (90) days after receipt of the request. If the Committee determines that an extension of time for processing is required, it will provide written notice to the claimant prior to the termination of the initial ninety (90) day period, but in no event shall such extension exceed a period of ninety (90) days from the end of such initial period.</w:t>
      </w:r>
    </w:p>
    <w:p>
      <w:pPr>
        <w:spacing w:after="0" w:line="16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Denial of Claim.</w:t>
      </w:r>
      <w:r>
        <w:rPr>
          <w:rFonts w:ascii="Times New Roman" w:cs="Times New Roman" w:eastAsia="Times New Roman" w:hAnsi="Times New Roman"/>
          <w:sz w:val="22"/>
          <w:szCs w:val="22"/>
          <w:color w:val="auto"/>
        </w:rPr>
        <w:t xml:space="preserve"> If the claim or request is denied, the written notice of denial shall state:</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reason for denial, with specific reference to the provisions on which the denial is based;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required and an explanation of why it is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necessary; and</w:t>
      </w:r>
    </w:p>
    <w:p>
      <w:pPr>
        <w:spacing w:after="0" w:line="20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claims review procedure.</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Claim.</w:t>
      </w:r>
      <w:r>
        <w:rPr>
          <w:rFonts w:ascii="Times New Roman" w:cs="Times New Roman" w:eastAsia="Times New Roman" w:hAnsi="Times New Roman"/>
          <w:sz w:val="22"/>
          <w:szCs w:val="22"/>
          <w:color w:val="auto"/>
        </w:rPr>
        <w:t xml:space="preserve"> Any person whose claim or request is denied may request a review by notice given in writing to the Committee within sixty (60) days following receipt of notification of the adverse determination. The claim or request shall be reviewed by the Committee which may, but shall not be required to, grant the claimant a hearing. On review, the claimant may have representation, examine pertinent documents, and submit issues and comments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00" w:lineRule="exact"/>
        <w:rPr>
          <w:sz w:val="20"/>
          <w:szCs w:val="20"/>
          <w:color w:val="auto"/>
        </w:rPr>
      </w:pPr>
    </w:p>
    <w:p>
      <w:pPr>
        <w:spacing w:after="0" w:line="214" w:lineRule="exact"/>
        <w:rPr>
          <w:sz w:val="20"/>
          <w:szCs w:val="20"/>
          <w:color w:val="auto"/>
        </w:rPr>
      </w:pPr>
    </w:p>
    <w:p>
      <w:pPr>
        <w:jc w:val="both"/>
        <w:ind w:firstLine="1304"/>
        <w:spacing w:after="0" w:line="252" w:lineRule="auto"/>
        <w:tabs>
          <w:tab w:leader="none" w:pos="1939"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Decision.</w:t>
      </w:r>
      <w:r>
        <w:rPr>
          <w:rFonts w:ascii="Times New Roman" w:cs="Times New Roman" w:eastAsia="Times New Roman" w:hAnsi="Times New Roman"/>
          <w:sz w:val="22"/>
          <w:szCs w:val="22"/>
          <w:color w:val="auto"/>
        </w:rPr>
        <w:t xml:space="preserve"> The decision on review shall normally be made within sixty (60) days. If an extension of time is required for a hearing or other special circumstances, the claimant shall be notified within such sixty (60) day period of an extension which shall not be for more than an additional sixty (60) days. The Committee's decision shall be delivered in writing to the claimant and shall state the reason and the relevant provisions in the Plan for the decision.</w:t>
      </w:r>
    </w:p>
    <w:p>
      <w:pPr>
        <w:spacing w:after="0" w:line="17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Claims and Appeals Involving Disability Determination.</w:t>
      </w:r>
      <w:r>
        <w:rPr>
          <w:rFonts w:ascii="Times New Roman" w:cs="Times New Roman" w:eastAsia="Times New Roman" w:hAnsi="Times New Roman"/>
          <w:sz w:val="21"/>
          <w:szCs w:val="21"/>
          <w:color w:val="auto"/>
        </w:rPr>
        <w:t xml:space="preserve"> If the claim for benefits under the Plan is based on the employee’s disability, the Committee shall notify any person with a claim or request within a reasonable period of time, but not later than forty-five (45) days after receipt of the claim or request. This period, however, may be extended by the Committee for up to thirty (30) days if it determines that an extension is necessary due to matters beyond its control and provided that it notifies the claimant of the extension prior to the expiration of the forty-five (45) day period. Thereafter, the Committee may also extend for another thirty (30) days if it notifies the claimant of the extension prior to the first thirty (30) day extension and if it determines that the additional extension is necessary due to matters beyond the its control. Such claim denial shall contain a discussion of the decision including an explanation of the basis for disagreeing with or not following the views presented of health care professionals treating the employee and vocational professionals who evaluated the employee, the views of medical or vocational experts whose advice was obtained on behalf of the Committee in connection with the denial, without regard to whether the advice was relied upon, and a disability determination regarding the employee presented by the claimant to the Committee made by the Social Security Administrator. If such claim or request is denied, the employee or the employee’s authorized representative shall have one-hundred eighty (180) days after receipt of notification of denial of a claim to appeal the denial by making written request to the Committee. Not later than forty-five (45) days after receipt of the appeal, the Committee shall render and furnish to the claimant a written or electronic notice of the final decision on review. This period, however, may be extended for up to forty-five (45) days if the Committee determines that an extension is necessary due to matters beyond its control and provided that it notifies the claimant of the extension before the expiration of the forty-five (45) day period. The Committee may also extend for another forty-five (45) days if it notifies the claimant of the extension prior to the first forty-five</w:t>
      </w:r>
    </w:p>
    <w:p>
      <w:pPr>
        <w:spacing w:after="0" w:line="4" w:lineRule="exact"/>
        <w:rPr>
          <w:rFonts w:ascii="Times New Roman" w:cs="Times New Roman" w:eastAsia="Times New Roman" w:hAnsi="Times New Roman"/>
          <w:sz w:val="21"/>
          <w:szCs w:val="21"/>
          <w:color w:val="auto"/>
        </w:rPr>
      </w:pPr>
    </w:p>
    <w:p>
      <w:pPr>
        <w:jc w:val="both"/>
        <w:ind w:firstLine="8"/>
        <w:spacing w:after="0" w:line="245" w:lineRule="auto"/>
        <w:tabs>
          <w:tab w:leader="none" w:pos="45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extension and if it determines that the additional extension is necessary due to matters beyond its control. Before providing a denial on appeal of a disability benefit claim, the Committee will provide the claimant free of charge any new or additional evidence considered, relied upon, or generated by it or other person making the benefit determination, as well as any new or additional rationale for the basis of the denial on review.</w:t>
      </w:r>
    </w:p>
    <w:p>
      <w:pPr>
        <w:spacing w:after="0" w:line="19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Appeal of Final Decision</w:t>
      </w:r>
      <w:r>
        <w:rPr>
          <w:rFonts w:ascii="Times New Roman" w:cs="Times New Roman" w:eastAsia="Times New Roman" w:hAnsi="Times New Roman"/>
          <w:sz w:val="22"/>
          <w:szCs w:val="22"/>
          <w:color w:val="auto"/>
        </w:rPr>
        <w:t>. If the employee has exhausted the above Claims Procedure and is dissatisfied with the final decision, the employee has the right to appeal that decision to any court with appropriate jurisdiction within one (1) year following employee’s or their authorized representative’s receipt of the final decision. If any litigation occurs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parties arising out of or connected in any way with this Plan, the prevailing party will be entitled to reasonable expenses and attorney's fees, whether or not such litigation goes to final judgment. In the event of settlement or final judgment in which neither party is awarded all of the relief prayed for, the Court shall determine which is the prevailing party and who shall be entitled to recover reasonable expenses and attorney's fees.</w:t>
      </w:r>
    </w:p>
    <w:p>
      <w:pPr>
        <w:spacing w:after="0" w:line="179" w:lineRule="exact"/>
        <w:rPr>
          <w:sz w:val="20"/>
          <w:szCs w:val="20"/>
          <w:color w:val="auto"/>
        </w:rPr>
      </w:pPr>
    </w:p>
    <w:p>
      <w:pPr>
        <w:ind w:firstLine="1304"/>
        <w:spacing w:after="0" w:line="284"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Benefits under this Plan will be paid only if the Committee decides in its discretion that the Participant or Beneficiary is entitled to them.</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8. MISCELLANEOUS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Non-Transferrability</w:t>
      </w:r>
    </w:p>
    <w:p>
      <w:pPr>
        <w:spacing w:after="0" w:line="210"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auto"/>
        </w:rPr>
        <w:t>In no event shall the Company make any payment under this Plan to any assignee or creditor of a Participant or of a Beneficiary, except as otherwise required by law. Prior to the time of a payment hereunder, a Participant or a Beneficiary shall have no rights by way of anticipation or otherwise to assign or otherwise dispose of any interest under this Plan, nor shall rights be assigned or transferred by operation of law.</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Facility of Payment</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the event the Committee determines that any Participant or Beneficiary receiving or entitled to receive benefits under the Plan is incompetent to care for their affairs and in the absence of the appointment of a legal guardian of the property of the incompetent, benefit payments due under the Plan (unless prior claim thereto has been made by a duly qualified guardian, committee, or other legal representative) may be made to the spouse, parent, brother or sister, or other person, including a hospital or other institution, deemed by the Committee to have incurred or to be liable for expenses on behalf of such incompetent. In the absence of the appointment of a legal guardian of the property of a minor, any minor’s share of benefits payable under the Plan may be paid to such adult or adults as in the opinion of the Committee have assumed the custody and principal support of such minor.</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Committee, however, may require that a legal guardian for the property of any such incompetent or minor be appointed by a court of competent jurisdiction before authorizing the payment of benefits in such situation. Benefit payments made under the Plan in accordance with determinations of the Committee shall be a complete discharge of any obligation arising under the Plan with respect to such benefit payments.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Nonalienation</w:t>
      </w:r>
    </w:p>
    <w:p>
      <w:pPr>
        <w:spacing w:after="0" w:line="21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 benefits payable under the Plan shall be subject to alienation, sale, transfer, assignment, pledge, attachment, garnishment, lien, levy, or like encumbrance. No benefit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shall in any manner be liable for or subject to the debts or liabilities of any person entitled to benefits under the Plan.</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Discretionary Decisions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All decisions, determinations, or interpretations which the Board, the Committee, the Company, or any member, officer or employee thereof are authorized to make under the Plan (including the delegation of any authority hereunder to another party) shall be made in that party’s sole discretion and shall be final, binding, and conclusive on all interested persons.</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color w:val="auto"/>
        </w:rPr>
        <w:t>Rights Against the Company</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Neither the establishment of the Plan, nor any modification thereof, nor any payments hereunder shall be construed to give any Participant the right to be retained in the service of the Company or, in the case of an employee, to interfere with the right of the Company to discharge the Participant at any time.</w:t>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color w:val="auto"/>
        </w:rPr>
        <w:t>Applicable Law and Construction</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Plan shall be governed by, construed and administered in accordance with the applicable provisions of ERISA, and any other applicable federal law, including Section 409A of the Code, and to the extent not preempted by federal law this Plan shall be governed by, construed and administered under the laws of the State of Louisiana other than its laws respecting conflict of laws. This instrument shall be binding on all successors and assignees of the Company.</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8.7</w:t>
      </w:r>
      <w:r>
        <w:rPr>
          <w:sz w:val="20"/>
          <w:szCs w:val="20"/>
          <w:color w:val="auto"/>
        </w:rPr>
        <w:tab/>
      </w:r>
      <w:r>
        <w:rPr>
          <w:rFonts w:ascii="Times New Roman" w:cs="Times New Roman" w:eastAsia="Times New Roman" w:hAnsi="Times New Roman"/>
          <w:sz w:val="21"/>
          <w:szCs w:val="21"/>
          <w:b w:val="1"/>
          <w:bCs w:val="1"/>
          <w:color w:val="auto"/>
        </w:rPr>
        <w:t>Illegality of Particular Provision</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illegality of any particular provision of this document shall not affect the other provisions, and the document shall be construed in all respects as if such invalid provision were omitted. If the inclusion of any employee(s) as a Participant under this Plan would cause the Plan to fail to comply with the requirements of Sections 201(2), 301(a)(3) and 401(a)(1) of ERISA, or Section 409A of the Code, then the Plan shall be severed with respect to such employee(s), who shall be considered to be participating in a separate arrangement.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 AMENDMENT, MODIFICATION, SUSPENSION OR TERMINATION</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may, at any time, in its sole discretion, amend, modify, suspend or terminate the Plan in whole or in part, except that no such amendment, modification, suspension or termination shall have any retroactive effect to reduce any amounts allocated to a Participant’s Account. The authority to amend or modify the Plan shall include the authority to amend the procedure for amending or modifying the Plan and the authority to amend or modify any related instrument or agreement. In the event that this Plan is terminated, the distribution of the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00" w:lineRule="exact"/>
        <w:rPr>
          <w:sz w:val="20"/>
          <w:szCs w:val="20"/>
          <w:color w:val="auto"/>
        </w:rPr>
      </w:pPr>
    </w:p>
    <w:p>
      <w:pPr>
        <w:spacing w:after="0" w:line="21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credited to a Participant’s Account shall not be accelerated but shall be paid at such time and in such manner as determined under the terms of the Plan immediately prior to termination as if the Plan had not been terminated.</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Executed on the date set forth below.</w:t>
      </w:r>
    </w:p>
    <w:p>
      <w:pPr>
        <w:spacing w:after="0" w:line="2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200" w:lineRule="exact"/>
        <w:rPr>
          <w:sz w:val="20"/>
          <w:szCs w:val="20"/>
          <w:color w:val="auto"/>
        </w:rPr>
      </w:pPr>
    </w:p>
    <w:p>
      <w:pPr>
        <w:spacing w:after="0" w:line="2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Dana Teague</w:t>
      </w:r>
    </w:p>
    <w:p>
      <w:pPr>
        <w:spacing w:after="0" w:line="26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2"/>
          <w:szCs w:val="22"/>
          <w:u w:val="single" w:color="auto"/>
          <w:color w:val="auto"/>
        </w:rPr>
        <w:t>Dana Teague</w:t>
      </w:r>
    </w:p>
    <w:p>
      <w:pPr>
        <w:spacing w:after="0" w:line="24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AVP, HR</w:t>
      </w:r>
    </w:p>
    <w:p>
      <w:pPr>
        <w:spacing w:after="0" w:line="200" w:lineRule="exact"/>
        <w:rPr>
          <w:sz w:val="20"/>
          <w:szCs w:val="20"/>
          <w:color w:val="auto"/>
        </w:rPr>
      </w:pPr>
    </w:p>
    <w:p>
      <w:pPr>
        <w:spacing w:after="0" w:line="29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12/31/24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20"/>
          </w:cols>
          <w:pgMar w:left="320" w:top="1440" w:right="35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10(f)(38)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JOINDER AGREEMENT</w:t>
      </w:r>
    </w:p>
    <w:p>
      <w:pPr>
        <w:spacing w:after="0" w:line="251" w:lineRule="exact"/>
        <w:rPr>
          <w:sz w:val="20"/>
          <w:szCs w:val="20"/>
          <w:color w:val="auto"/>
        </w:rPr>
      </w:pPr>
    </w:p>
    <w:p>
      <w:pPr>
        <w:jc w:val="both"/>
        <w:ind w:firstLine="229"/>
        <w:spacing w:after="0" w:line="281" w:lineRule="auto"/>
        <w:rPr>
          <w:sz w:val="20"/>
          <w:szCs w:val="20"/>
          <w:color w:val="auto"/>
        </w:rPr>
      </w:pPr>
      <w:r>
        <w:rPr>
          <w:rFonts w:ascii="Times New Roman" w:cs="Times New Roman" w:eastAsia="Times New Roman" w:hAnsi="Times New Roman"/>
          <w:sz w:val="21"/>
          <w:szCs w:val="21"/>
          <w:color w:val="auto"/>
        </w:rPr>
        <w:t>JOINDER AGREEMENT dated as of November 7, 2025, by Arkansas Logos, LLC, a Delaware limited liability company (the “</w:t>
      </w:r>
      <w:r>
        <w:rPr>
          <w:rFonts w:ascii="Times New Roman" w:cs="Times New Roman" w:eastAsia="Times New Roman" w:hAnsi="Times New Roman"/>
          <w:sz w:val="21"/>
          <w:szCs w:val="21"/>
          <w:u w:val="single" w:color="auto"/>
          <w:color w:val="auto"/>
        </w:rPr>
        <w:t>Additional Subsidiary Guarantor</w:t>
      </w:r>
      <w:r>
        <w:rPr>
          <w:rFonts w:ascii="Times New Roman" w:cs="Times New Roman" w:eastAsia="Times New Roman" w:hAnsi="Times New Roman"/>
          <w:sz w:val="21"/>
          <w:szCs w:val="21"/>
          <w:color w:val="auto"/>
        </w:rPr>
        <w:t>”), in favor of JPMorgan Chase Bank, N.A., as administrative agent for the Lenders party to the Credit Agreement referred to below (in such capacity, together with its successors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2"/>
          <w:szCs w:val="22"/>
          <w:color w:val="auto"/>
        </w:rPr>
        <w:t>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each Additional Subsidiary Borrower that may be or may become a party thereto (each an “</w:t>
      </w:r>
      <w:r>
        <w:rPr>
          <w:rFonts w:ascii="Times New Roman" w:cs="Times New Roman" w:eastAsia="Times New Roman" w:hAnsi="Times New Roman"/>
          <w:sz w:val="22"/>
          <w:szCs w:val="22"/>
          <w:u w:val="single" w:color="auto"/>
          <w:color w:val="auto"/>
        </w:rPr>
        <w:t>Additional Subsidiary Borrower</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certain of its subsidiaries (collectively, the “</w:t>
      </w:r>
      <w:r>
        <w:rPr>
          <w:rFonts w:ascii="Times New Roman" w:cs="Times New Roman" w:eastAsia="Times New Roman" w:hAnsi="Times New Roman"/>
          <w:sz w:val="22"/>
          <w:szCs w:val="22"/>
          <w:u w:val="single" w:color="auto"/>
          <w:color w:val="auto"/>
        </w:rPr>
        <w:t>Existing Subsidiary Guarantors</w:t>
      </w:r>
      <w:r>
        <w:rPr>
          <w:rFonts w:ascii="Times New Roman" w:cs="Times New Roman" w:eastAsia="Times New Roman" w:hAnsi="Times New Roman"/>
          <w:sz w:val="22"/>
          <w:szCs w:val="22"/>
          <w:color w:val="auto"/>
        </w:rPr>
        <w:t>” and, together with the Borrowers, the “</w:t>
      </w:r>
      <w:r>
        <w:rPr>
          <w:rFonts w:ascii="Times New Roman" w:cs="Times New Roman" w:eastAsia="Times New Roman" w:hAnsi="Times New Roman"/>
          <w:sz w:val="22"/>
          <w:szCs w:val="22"/>
          <w:u w:val="single" w:color="auto"/>
          <w:color w:val="auto"/>
        </w:rPr>
        <w:t>Securing Parties</w:t>
      </w:r>
      <w:r>
        <w:rPr>
          <w:rFonts w:ascii="Times New Roman" w:cs="Times New Roman" w:eastAsia="Times New Roman" w:hAnsi="Times New Roman"/>
          <w:sz w:val="22"/>
          <w:szCs w:val="22"/>
          <w:color w:val="auto"/>
        </w:rPr>
        <w:t>”) are parties to that certain Fourth Amended and Restated Credit Agreement dated as of February 6, 2020 (as amended by that certain Amendment No. 1, dated as of July 2, 2021, as amended by that certain Amendment No. 2, dated as of July 29, 2022, as amended by that certain Amendment No. 3, dated as of April 26, 2023, as amended by that certain Amendment No. 4, dated as of July 31, 2023, as amended by Amendment No. 5, dated as of September 23, 2025, and as further amended, restated, amended and restated, extended,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providing, subject to the terms and conditions thereof, for extensions of credit (by means of loans and letters of credit) to be made by the Lenders named therein (collectively, together with any entity that becomes a “Lender” party to the Credit Agreement after the date hereof as provided therein,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together with Administrative Agent and any successors or assigns of any of the foregoing, the “</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to the Borrowers. In addition, the Borrowers may from time to time be obligated to one or more of the Lenders under the Credit Agreement in respect of Swap Agreements under and as defined in the Credit Agreement (collectively, the “</w:t>
      </w:r>
      <w:r>
        <w:rPr>
          <w:rFonts w:ascii="Times New Roman" w:cs="Times New Roman" w:eastAsia="Times New Roman" w:hAnsi="Times New Roman"/>
          <w:sz w:val="22"/>
          <w:szCs w:val="22"/>
          <w:u w:val="single" w:color="auto"/>
          <w:color w:val="auto"/>
        </w:rPr>
        <w:t>Swap Agreements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227"/>
        <w:spacing w:after="0" w:line="253" w:lineRule="auto"/>
        <w:rPr>
          <w:sz w:val="20"/>
          <w:szCs w:val="20"/>
          <w:color w:val="auto"/>
        </w:rPr>
      </w:pPr>
      <w:r>
        <w:rPr>
          <w:rFonts w:ascii="Times New Roman" w:cs="Times New Roman" w:eastAsia="Times New Roman" w:hAnsi="Times New Roman"/>
          <w:sz w:val="22"/>
          <w:szCs w:val="22"/>
          <w:color w:val="auto"/>
        </w:rPr>
        <w:t>In connection with the Credit Agreement, the Borrowers, the Existing Subsidiary Guarantors and the Administrative Agent are parties to that certain Amended and Restated Pledge Agreement dated as of February 3, 2014 (the “</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xml:space="preserve">”) pursuant to which the Securing Parties have,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granted a security interest in the Collateral (as defined in the Pledge Agreement) as collateral security for the Secured Obligations (as so defined). Terms defined in the Pledge Agreement are used herein as defined therein.</w:t>
      </w:r>
    </w:p>
    <w:p>
      <w:pPr>
        <w:spacing w:after="0" w:line="206" w:lineRule="exact"/>
        <w:rPr>
          <w:sz w:val="20"/>
          <w:szCs w:val="20"/>
          <w:color w:val="auto"/>
        </w:rPr>
      </w:pPr>
    </w:p>
    <w:p>
      <w:pPr>
        <w:jc w:val="both"/>
        <w:ind w:firstLine="264"/>
        <w:spacing w:after="0" w:line="253" w:lineRule="auto"/>
        <w:rPr>
          <w:sz w:val="20"/>
          <w:szCs w:val="20"/>
          <w:color w:val="auto"/>
        </w:rPr>
      </w:pPr>
      <w:r>
        <w:rPr>
          <w:rFonts w:ascii="Times New Roman" w:cs="Times New Roman" w:eastAsia="Times New Roman" w:hAnsi="Times New Roman"/>
          <w:sz w:val="22"/>
          <w:szCs w:val="22"/>
          <w:color w:val="auto"/>
        </w:rPr>
        <w:t>To induce the Secured Parties to enter into the Credit Agreement, and to extend credit thereunder and to extend credit to the Borrowers under Swap Agreements, and for other good and valuable consideration the receipt and sufficiency of which are hereby acknowledged, the Additional Subsidiary Guarantor has agreed to become a party to the Credit Agreement and the Pledge Agreement as a “Subsidiary Guarantor” thereunder, and to pledge and grant a security interest in the Collateral (as defined in the Pledge Agreement).</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ectPr>
          <w:pgSz w:w="11900" w:h="16838" w:orient="portrait"/>
          <w:cols w:equalWidth="0" w:num="1">
            <w:col w:w="11240"/>
          </w:cols>
          <w:pgMar w:left="320" w:top="104" w:right="339" w:bottom="1440" w:gutter="0" w:footer="0" w:header="0"/>
        </w:sectPr>
      </w:pPr>
    </w:p>
    <w:bookmarkStart w:id="239" w:name="page240"/>
    <w:bookmarkEnd w:id="239"/>
    <w:p>
      <w:pPr>
        <w:ind w:left="22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Terms defined in the Credit Agreement are used herein as defined therein.</w:t>
      </w:r>
    </w:p>
    <w:p>
      <w:pPr>
        <w:spacing w:after="0" w:line="247" w:lineRule="exact"/>
        <w:rPr>
          <w:sz w:val="20"/>
          <w:szCs w:val="20"/>
          <w:color w:val="auto"/>
        </w:rPr>
      </w:pPr>
    </w:p>
    <w:p>
      <w:pPr>
        <w:jc w:val="both"/>
        <w:ind w:firstLine="333"/>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Joinder to Agreements</w:t>
      </w:r>
      <w:r>
        <w:rPr>
          <w:rFonts w:ascii="Times New Roman" w:cs="Times New Roman" w:eastAsia="Times New Roman" w:hAnsi="Times New Roman"/>
          <w:sz w:val="22"/>
          <w:szCs w:val="22"/>
          <w:color w:val="auto"/>
        </w:rPr>
        <w:t>. Effective upon the execution and delivery hereof, the Additional Subsidiary Guarantor hereby agrees that it shall become a “Subsidiary Guarantor” under and for all purposes of the Credit Agreement and a “Securing Party” under and for all purposes of the Pledge Agreement with all the rights and obligations of a Subsidiary Guarantor and Securing Party thereunder, as applicable. Without limiting the generality of the foregoing, the Additional Subsidiary Guarantor hereby:</w:t>
      </w:r>
    </w:p>
    <w:p>
      <w:pPr>
        <w:spacing w:after="0" w:line="206" w:lineRule="exact"/>
        <w:rPr>
          <w:sz w:val="20"/>
          <w:szCs w:val="20"/>
          <w:color w:val="auto"/>
        </w:rPr>
      </w:pPr>
    </w:p>
    <w:p>
      <w:pPr>
        <w:jc w:val="both"/>
        <w:ind w:left="660" w:hanging="4"/>
        <w:spacing w:after="0" w:line="256" w:lineRule="auto"/>
        <w:tabs>
          <w:tab w:leader="none" w:pos="110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spacing w:after="0" w:line="203" w:lineRule="exact"/>
        <w:rPr>
          <w:rFonts w:ascii="Times New Roman" w:cs="Times New Roman" w:eastAsia="Times New Roman" w:hAnsi="Times New Roman"/>
          <w:sz w:val="22"/>
          <w:szCs w:val="22"/>
          <w:color w:val="auto"/>
        </w:rPr>
      </w:pPr>
    </w:p>
    <w:p>
      <w:pPr>
        <w:jc w:val="both"/>
        <w:ind w:left="660" w:hanging="4"/>
        <w:spacing w:after="0" w:line="268" w:lineRule="auto"/>
        <w:tabs>
          <w:tab w:leader="none" w:pos="1167"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grants the security interests in all right, title and interest of such Additional Subsidiary Guarantor in all Collateral (as defined in the Pledge Agreement) that it now owns or hereafter acquires and whether now existing or hereafter coming into existence provided for by Article III of the Pledge Agreement as collateral security for the Secured Obligations and agrees that the Schedules thereof shall be supplemented as provided in Appendices A and B hereto;</w:t>
      </w:r>
    </w:p>
    <w:p>
      <w:pPr>
        <w:spacing w:after="0" w:line="203" w:lineRule="exact"/>
        <w:rPr>
          <w:rFonts w:ascii="Times New Roman" w:cs="Times New Roman" w:eastAsia="Times New Roman" w:hAnsi="Times New Roman"/>
          <w:sz w:val="21"/>
          <w:szCs w:val="21"/>
          <w:color w:val="auto"/>
        </w:rPr>
      </w:pPr>
    </w:p>
    <w:p>
      <w:pPr>
        <w:jc w:val="both"/>
        <w:ind w:left="660" w:hanging="4"/>
        <w:spacing w:after="0" w:line="257" w:lineRule="auto"/>
        <w:tabs>
          <w:tab w:leader="none" w:pos="132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the representations and warranties set forth in Article IV of the Credit Agreement and in Article II of the Pledge Agreement, to the extent relating to such Additional Subsidiary Guarantor or to the Pledged Equity evidenced by the certificates, if any, identified in Appendix A hereto; and</w:t>
      </w:r>
    </w:p>
    <w:p>
      <w:pPr>
        <w:spacing w:after="0" w:line="199" w:lineRule="exact"/>
        <w:rPr>
          <w:rFonts w:ascii="Times New Roman" w:cs="Times New Roman" w:eastAsia="Times New Roman" w:hAnsi="Times New Roman"/>
          <w:sz w:val="22"/>
          <w:szCs w:val="22"/>
          <w:color w:val="auto"/>
        </w:rPr>
      </w:pPr>
    </w:p>
    <w:p>
      <w:pPr>
        <w:ind w:left="660" w:hanging="4"/>
        <w:spacing w:after="0" w:line="271" w:lineRule="auto"/>
        <w:tabs>
          <w:tab w:leader="none" w:pos="120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to the jurisdiction of the courts, and waives jury trial, as provided in Sections 10.09 and 10.10 of the Credit Agreement.</w:t>
      </w:r>
    </w:p>
    <w:p>
      <w:pPr>
        <w:spacing w:after="0" w:line="198" w:lineRule="exact"/>
        <w:rPr>
          <w:sz w:val="20"/>
          <w:szCs w:val="20"/>
          <w:color w:val="auto"/>
        </w:rPr>
      </w:pPr>
    </w:p>
    <w:p>
      <w:pPr>
        <w:ind w:right="20" w:firstLine="266"/>
        <w:spacing w:after="0" w:line="271" w:lineRule="auto"/>
        <w:rPr>
          <w:sz w:val="20"/>
          <w:szCs w:val="20"/>
          <w:color w:val="auto"/>
        </w:rPr>
      </w:pPr>
      <w:r>
        <w:rPr>
          <w:rFonts w:ascii="Times New Roman" w:cs="Times New Roman" w:eastAsia="Times New Roman" w:hAnsi="Times New Roman"/>
          <w:sz w:val="22"/>
          <w:szCs w:val="22"/>
          <w:color w:val="auto"/>
        </w:rPr>
        <w:t>The Additional Subsidiary Guarantor hereby instructs its counsel to deliver the opinions referred to in Section 6.10(a)(iii) of the Credit Agreement to the Secured Parties.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240" w:name="page241"/>
    <w:bookmarkEnd w:id="24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Additional Subsidiary Guarantor has caused this Joinder Agreement to be duly executed and delivered as of the day and year first above written.</w:t>
      </w:r>
    </w:p>
    <w:p>
      <w:pPr>
        <w:spacing w:after="0" w:line="2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ADDITIONAL SUBSIDIARY GUARANTOR:</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ARKANSAS LOGOS, LLC</w:t>
      </w:r>
    </w:p>
    <w:p>
      <w:pPr>
        <w:spacing w:after="0" w:line="223"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60"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240"/>
        <w:spacing w:after="0"/>
        <w:tabs>
          <w:tab w:leader="none" w:pos="3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1201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James R.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5354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2">
                      <a:extLst>
                        <a:ext uri="{28A0092B-C50C-407E-A947-70E740481C1C}"/>
                      </a:extLst>
                    </a:blip>
                    <a:srcRect/>
                    <a:stretch>
                      <a:fillRect/>
                    </a:stretch>
                  </pic:blipFill>
                  <pic:spPr bwMode="auto">
                    <a:xfrm>
                      <a:off x="0" y="0"/>
                      <a:ext cx="153543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R. McIlwain, Secretary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Andrew Wulff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508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3">
                      <a:extLst>
                        <a:ext uri="{28A0092B-C50C-407E-A947-70E740481C1C}"/>
                      </a:extLst>
                    </a:blip>
                    <a:srcRect/>
                    <a:stretch>
                      <a:fillRect/>
                    </a:stretch>
                  </pic:blipFill>
                  <pic:spPr bwMode="auto">
                    <a:xfrm>
                      <a:off x="0" y="0"/>
                      <a:ext cx="150812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Andrew Wulff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39"/>
          </w:cols>
          <w:pgMar w:left="320" w:top="1422" w:right="1440" w:bottom="1440" w:gutter="0" w:footer="0" w:header="0"/>
        </w:sectPr>
      </w:pPr>
    </w:p>
    <w:bookmarkStart w:id="242" w:name="page243"/>
    <w:bookmarkEnd w:id="242"/>
    <w:p>
      <w:pPr>
        <w:jc w:val="both"/>
        <w:spacing w:after="0" w:line="257" w:lineRule="auto"/>
        <w:rPr>
          <w:sz w:val="20"/>
          <w:szCs w:val="20"/>
          <w:color w:val="auto"/>
        </w:rPr>
      </w:pPr>
      <w:r>
        <w:rPr>
          <w:rFonts w:ascii="Times New Roman" w:cs="Times New Roman" w:eastAsia="Times New Roman" w:hAnsi="Times New Roman"/>
          <w:sz w:val="22"/>
          <w:szCs w:val="22"/>
          <w:color w:val="auto"/>
        </w:rPr>
        <w:t>The undersigned hereby respectively pledges and grants a security interest in the Pledged Equity that it owns as described in Appendix A hereto and agrees that Schedule 1, Part 2 – Pledged Equity of the Pledge Agreement is hereby supplemented by adding thereto the information listed on Appendix A.</w:t>
      </w:r>
    </w:p>
    <w:p>
      <w:pPr>
        <w:spacing w:after="0" w:line="26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Interstate Logos, L.L.C., Issuee</w:t>
      </w:r>
    </w:p>
    <w:p>
      <w:pPr>
        <w:spacing w:after="0" w:line="247" w:lineRule="exact"/>
        <w:rPr>
          <w:sz w:val="20"/>
          <w:szCs w:val="20"/>
          <w:color w:val="auto"/>
        </w:rPr>
      </w:pPr>
    </w:p>
    <w:p>
      <w:pPr>
        <w:ind w:left="358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247" w:lineRule="exact"/>
        <w:rPr>
          <w:sz w:val="20"/>
          <w:szCs w:val="20"/>
          <w:color w:val="auto"/>
        </w:rPr>
      </w:pPr>
    </w:p>
    <w:p>
      <w:pPr>
        <w:ind w:left="358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47" w:lineRule="exact"/>
        <w:rPr>
          <w:sz w:val="20"/>
          <w:szCs w:val="20"/>
          <w:color w:val="auto"/>
        </w:rPr>
      </w:pPr>
    </w:p>
    <w:p>
      <w:pPr>
        <w:ind w:left="358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47" w:lineRule="exact"/>
        <w:rPr>
          <w:sz w:val="20"/>
          <w:szCs w:val="20"/>
          <w:color w:val="auto"/>
        </w:rPr>
      </w:pPr>
    </w:p>
    <w:p>
      <w:pPr>
        <w:ind w:left="3580"/>
        <w:spacing w:after="0"/>
        <w:tabs>
          <w:tab w:leader="none" w:pos="40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-13970</wp:posOffset>
            </wp:positionV>
            <wp:extent cx="11201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4">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580"/>
        <w:spacing w:after="0"/>
        <w:tabs>
          <w:tab w:leader="none" w:pos="4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 Chief Financial Officer, and</w:t>
      </w:r>
    </w:p>
    <w:p>
      <w:pPr>
        <w:spacing w:after="0" w:line="1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Treasurer</w:t>
      </w:r>
    </w:p>
    <w:p>
      <w:pPr>
        <w:sectPr>
          <w:pgSz w:w="11900" w:h="16838" w:orient="portrait"/>
          <w:cols w:equalWidth="0" w:num="1">
            <w:col w:w="11240"/>
          </w:cols>
          <w:pgMar w:left="320" w:top="1422"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21(a)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 OF LAMAR ADVERTISING</w:t>
            </w:r>
          </w:p>
        </w:tc>
      </w:tr>
      <w:tr>
        <w:trPr>
          <w:trHeight w:val="354"/>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758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364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r>
      <w:tr>
        <w:trPr>
          <w:trHeight w:val="29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Media Corp.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Alabama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Alabama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Arkansas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CC,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Holdings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TODS Limited</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Outdoor Advertising of GA.,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CCO Indiana,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Media Group,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Advertising,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Holdings,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FMO Real Estate,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TRS,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Kentucky</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GP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Holding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LP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Outdoor Company, L.P.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General Partner,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Limited Partnership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Colorado Springs,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Louisiana,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Michigan,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Penn,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Puerto Rico, Inc.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Puerto Rico</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South Dakota,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South Dakota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Youngstown,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Southwest,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Company</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S/W Joint Venture</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Canada Holding Limited</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Canadian Outdoor Company</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Central Outdoor,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54" w:right="339"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Electrical,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1,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2,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9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Florida,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Investments,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Obie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North,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South,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Ohio Outdoor Holding,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QRS Receivables,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Service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Tennessee,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Tennessee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Texas Limited Partnership</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Advertising Canada Ltd.</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Holdings,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Receivables,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 Interstate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Media/Lamar,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 Real Estate,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Maine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MCC Outdoor,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Mississippi</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Missouri</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Montana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Mexico</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OBCM,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Oklahoma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Olympus Media/Indiana,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Marketing Systems,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Promotions West,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QMC Transit, Inc.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Puerto Rico</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High Murals-Colossal Media,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Lamar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Farms,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II,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Texas</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bl>
    <w:p>
      <w:pPr>
        <w:sectPr>
          <w:pgSz w:w="11900" w:h="16838" w:orient="portrait"/>
          <w:cols w:equalWidth="0" w:num="1">
            <w:col w:w="11220"/>
          </w:cols>
          <w:pgMar w:left="320" w:top="1012" w:right="359" w:bottom="1440" w:gutter="0" w:footer="0" w:header="0"/>
        </w:sectPr>
      </w:pPr>
    </w:p>
    <w:bookmarkStart w:id="245" w:name="page246"/>
    <w:bookmarkEnd w:id="2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Holdings,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Rhode Island,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Virginia</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Washington</w:t>
            </w:r>
          </w:p>
        </w:tc>
      </w:t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9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2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220"/>
          </w:cols>
          <w:pgMar w:left="320" w:top="1012" w:right="35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22(a)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 of Lamar Media Corp.</w:t>
      </w:r>
    </w:p>
    <w:p>
      <w:pPr>
        <w:spacing w:after="0" w:line="18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Lamar Media Corp. is the issuer of the (i) 3 3/4% Senior Notes due 2028, (ii) 4% Senior Notes due 2030, (iii) 4 7/8% Senior Notes due 2029 and (iv) 3 5/8% Senior Notes due 2031 and (v) 5 3/8% Senior Notes due 2033 (collectively, the “Notes”). The following subsidiaries are guarantors of these Notes as</w:t>
      </w:r>
    </w:p>
    <w:p>
      <w:pPr>
        <w:spacing w:after="0"/>
        <w:rPr>
          <w:sz w:val="20"/>
          <w:szCs w:val="20"/>
          <w:color w:val="auto"/>
        </w:rPr>
      </w:pPr>
      <w:r>
        <w:rPr>
          <w:rFonts w:ascii="Times New Roman" w:cs="Times New Roman" w:eastAsia="Times New Roman" w:hAnsi="Times New Roman"/>
          <w:sz w:val="18"/>
          <w:szCs w:val="18"/>
          <w:color w:val="auto"/>
        </w:rPr>
        <w:t>of the last day of the period covered by this report.</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5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58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CC,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Holdings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Outdoor Advertising of GA.,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CCO Indiana,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Media Group,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Advertising,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Holdings,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FMO Real Estate,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TRS,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Kentucky</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GP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Holding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LP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Outdoor Company, L.P.</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General Partner,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Limited Partnership</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Colorado Springs,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Louisiana,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Michigan,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Penn,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South Dakota,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South Dakota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Youngstown,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Southwest,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Company</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Central Outdoor,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Electrical,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1,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2,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Florida,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Investments,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Obie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54" w:right="339"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78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3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North,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South,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Ohio Outdoor Holding,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Service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Tennessee,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Tennessee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Texas Limited Partnership</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Holdings,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 Interstate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Media/Lamar,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 Real Estate,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Maine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MCC Outdoor,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Georgia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Mississippi</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Missouri</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Montana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Mexico</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Oklahoma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Olympus Media/Indiana,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Marketing Systems,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Promotions West,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High Murals-Colossal Media,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Lamar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Farms,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II,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Holdings,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Rhode Island,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Virginia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120"/>
          </w:cols>
          <w:pgMar w:left="420" w:top="1006" w:right="35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23(a)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333-89034, 333-37858, 333-116008, 333-160945, 333-190603, 333-232687, 333-232686, 333-270945, and 333-292404) on Form S-8 and (No. 333-280976) on Form S-3ASR of Lamar Advertising Company and (Nos. 333-248598 and 333-257927) on Form S-4 of Lamar Media Corp. of our reports dated February 20, 2026, with respect to the consolidated financial statements of Lamar Advertising Company and Lamar Media Corp., and the effectiveness of internal control over financial reporting, incorporated herein by reference.</w:t>
      </w:r>
    </w:p>
    <w:p>
      <w:pPr>
        <w:spacing w:after="0" w:line="200" w:lineRule="exact"/>
        <w:rPr>
          <w:sz w:val="20"/>
          <w:szCs w:val="20"/>
          <w:color w:val="auto"/>
        </w:rPr>
      </w:pPr>
    </w:p>
    <w:p>
      <w:pPr>
        <w:spacing w:after="0" w:line="3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19202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KPMG LLP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2026</w:t>
      </w:r>
    </w:p>
    <w:p>
      <w:pPr>
        <w:sectPr>
          <w:pgSz w:w="11900" w:h="16838" w:orient="portrait"/>
          <w:cols w:equalWidth="0" w:num="1">
            <w:col w:w="11240"/>
          </w:cols>
          <w:pgMar w:left="320" w:top="954"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225" w:lineRule="exact"/>
        <w:rPr>
          <w:sz w:val="20"/>
          <w:szCs w:val="20"/>
          <w:color w:val="auto"/>
        </w:rPr>
      </w:pPr>
    </w:p>
    <w:p>
      <w:pPr>
        <w:ind w:left="500" w:hanging="492"/>
        <w:spacing w:after="0"/>
        <w:tabs>
          <w:tab w:leader="none" w:pos="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annual report on Form 10-K of Lamar Advertising Company and Lamar Media Corp.;</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75" w:lineRule="exact"/>
        <w:rPr>
          <w:rFonts w:ascii="Times New Roman" w:cs="Times New Roman" w:eastAsia="Times New Roman" w:hAnsi="Times New Roman"/>
          <w:sz w:val="18"/>
          <w:szCs w:val="18"/>
          <w:color w:val="auto"/>
        </w:rPr>
      </w:pPr>
    </w:p>
    <w:p>
      <w:pPr>
        <w:ind w:left="1140" w:right="80" w:hanging="646"/>
        <w:spacing w:after="0" w:line="266" w:lineRule="auto"/>
        <w:tabs>
          <w:tab w:leader="none" w:pos="113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646"/>
        <w:spacing w:after="0" w:line="266" w:lineRule="auto"/>
        <w:tabs>
          <w:tab w:leader="none" w:pos="113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646"/>
        <w:spacing w:after="0" w:line="312" w:lineRule="auto"/>
        <w:tabs>
          <w:tab w:leader="none" w:pos="113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60" w:hanging="646"/>
        <w:spacing w:after="0" w:line="266" w:lineRule="auto"/>
        <w:tabs>
          <w:tab w:leader="none" w:pos="113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646"/>
        <w:spacing w:after="0" w:line="312" w:lineRule="auto"/>
        <w:tabs>
          <w:tab w:leader="none" w:pos="113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 Lamar Advertising Company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 Lamar Media Corp.</w:t>
      </w:r>
    </w:p>
    <w:p>
      <w:pPr>
        <w:sectPr>
          <w:pgSz w:w="11900" w:h="16838" w:orient="portrait"/>
          <w:cols w:equalWidth="0" w:num="1">
            <w:col w:w="11240"/>
          </w:cols>
          <w:pgMar w:left="320" w:top="1103"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225" w:lineRule="exact"/>
        <w:rPr>
          <w:sz w:val="20"/>
          <w:szCs w:val="20"/>
          <w:color w:val="auto"/>
        </w:rPr>
      </w:pPr>
    </w:p>
    <w:p>
      <w:pPr>
        <w:ind w:left="500" w:hanging="492"/>
        <w:spacing w:after="0"/>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annual report on Form 10-K of Lamar Advertising Company and Lamar Media Corp.;</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75" w:lineRule="exact"/>
        <w:rPr>
          <w:rFonts w:ascii="Times New Roman" w:cs="Times New Roman" w:eastAsia="Times New Roman" w:hAnsi="Times New Roman"/>
          <w:sz w:val="18"/>
          <w:szCs w:val="18"/>
          <w:color w:val="auto"/>
        </w:rPr>
      </w:pPr>
    </w:p>
    <w:p>
      <w:pPr>
        <w:ind w:left="1140" w:right="80" w:hanging="646"/>
        <w:spacing w:after="0" w:line="266" w:lineRule="auto"/>
        <w:tabs>
          <w:tab w:leader="none" w:pos="113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646"/>
        <w:spacing w:after="0" w:line="266" w:lineRule="auto"/>
        <w:tabs>
          <w:tab w:leader="none" w:pos="113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646"/>
        <w:spacing w:after="0" w:line="312" w:lineRule="auto"/>
        <w:tabs>
          <w:tab w:leader="none" w:pos="1137"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60" w:hanging="646"/>
        <w:spacing w:after="0" w:line="266" w:lineRule="auto"/>
        <w:tabs>
          <w:tab w:leader="none" w:pos="113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646"/>
        <w:spacing w:after="0" w:line="312" w:lineRule="auto"/>
        <w:tabs>
          <w:tab w:leader="none" w:pos="1137"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103"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2025 fully complies with the requirements of Section 13(a) or 15(d) of the Securities Exchange Act of 1934 and that information contained in that combined Form 10-K fairly presents, in all material respects, the financial condition and results of operations of Lamar Advertising and Lamar Media.</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 2026</w:t>
            </w:r>
          </w:p>
        </w:tc>
        <w:tc>
          <w:tcPr>
            <w:tcW w:w="19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0"/>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Lamar Advertising Company</w:t>
            </w:r>
          </w:p>
        </w:tc>
      </w:tr>
      <w:tr>
        <w:trPr>
          <w:trHeight w:val="234"/>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Lamar Media Corp.</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 2026</w:t>
            </w:r>
          </w:p>
        </w:tc>
        <w:tc>
          <w:tcPr>
            <w:tcW w:w="19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1)"/>
      <w:numFmt w:val="decimal"/>
      <w:start w:val="3"/>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lowerLetter"/>
      <w:start w:val="1"/>
    </w:lvl>
  </w:abstractNum>
  <w:abstractNum w:abstractNumId="22">
    <w:nsid w:val="275AC794"/>
    <w:multiLevelType w:val="hybridMultilevel"/>
    <w:lvl w:ilvl="0">
      <w:lvlJc w:val="left"/>
      <w:lvlText w:val="(%1)"/>
      <w:numFmt w:val="lowerLetter"/>
      <w:start w:val="2"/>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lowerLetter"/>
      <w:start w:val="3"/>
    </w:lvl>
  </w:abstractNum>
  <w:abstractNum w:abstractNumId="25">
    <w:nsid w:val="180115BE"/>
    <w:multiLevelType w:val="hybridMultilevel"/>
    <w:lvl w:ilvl="0">
      <w:lvlJc w:val="left"/>
      <w:lvlText w:val="(%1)"/>
      <w:numFmt w:val="lowerLetter"/>
      <w:start w:val="4"/>
    </w:lvl>
  </w:abstractNum>
  <w:abstractNum w:abstractNumId="26">
    <w:nsid w:val="235BA861"/>
    <w:multiLevelType w:val="hybridMultilevel"/>
    <w:lvl w:ilvl="0">
      <w:lvlJc w:val="left"/>
      <w:lvlText w:val="(%1)"/>
      <w:numFmt w:val="lowerLetter"/>
      <w:start w:val="5"/>
    </w:lvl>
  </w:abstractNum>
  <w:abstractNum w:abstractNumId="27">
    <w:nsid w:val="47398C89"/>
    <w:multiLevelType w:val="hybridMultilevel"/>
    <w:lvl w:ilvl="0">
      <w:lvlJc w:val="left"/>
      <w:lvlText w:val="(%1)"/>
      <w:numFmt w:val="lowerLetter"/>
      <w:start w:val="6"/>
    </w:lvl>
  </w:abstractNum>
  <w:abstractNum w:abstractNumId="28">
    <w:nsid w:val="354FE9F9"/>
    <w:multiLevelType w:val="hybridMultilevel"/>
    <w:lvl w:ilvl="0">
      <w:lvlJc w:val="left"/>
      <w:lvlText w:val="(%1)"/>
      <w:numFmt w:val="lowerLetter"/>
      <w:start w:val="7"/>
    </w:lvl>
  </w:abstractNum>
  <w:abstractNum w:abstractNumId="29">
    <w:nsid w:val="15B5AF5C"/>
    <w:multiLevelType w:val="hybridMultilevel"/>
    <w:lvl w:ilvl="0">
      <w:lvlJc w:val="left"/>
      <w:lvlText w:val="(%1)"/>
      <w:numFmt w:val="lowerLetter"/>
      <w:start w:val="8"/>
    </w:lvl>
  </w:abstractNum>
  <w:abstractNum w:abstractNumId="30">
    <w:nsid w:val="741226BB"/>
    <w:multiLevelType w:val="hybridMultilevel"/>
    <w:lvl w:ilvl="0">
      <w:lvlJc w:val="left"/>
      <w:lvlText w:val="(%1)"/>
      <w:numFmt w:val="lowerRoman"/>
      <w:start w:val="1"/>
    </w:lvl>
  </w:abstractNum>
  <w:abstractNum w:abstractNumId="31">
    <w:nsid w:val="D34B6A8"/>
    <w:multiLevelType w:val="hybridMultilevel"/>
    <w:lvl w:ilvl="0">
      <w:lvlJc w:val="left"/>
      <w:lvlText w:val="(%1)"/>
      <w:numFmt w:val="lowerLetter"/>
      <w:start w:val="10"/>
    </w:lvl>
  </w:abstractNum>
  <w:abstractNum w:abstractNumId="32">
    <w:nsid w:val="10233C99"/>
    <w:multiLevelType w:val="hybridMultilevel"/>
    <w:lvl w:ilvl="0">
      <w:lvlJc w:val="left"/>
      <w:lvlText w:val="(%1)"/>
      <w:numFmt w:val="lowerLetter"/>
      <w:start w:val="11"/>
    </w:lvl>
  </w:abstractNum>
  <w:abstractNum w:abstractNumId="33">
    <w:nsid w:val="3F6AB60F"/>
    <w:multiLevelType w:val="hybridMultilevel"/>
    <w:lvl w:ilvl="0">
      <w:lvlJc w:val="left"/>
      <w:lvlText w:val="(%1)"/>
      <w:numFmt w:val="lowerLetter"/>
      <w:start w:val="12"/>
    </w:lvl>
  </w:abstractNum>
  <w:abstractNum w:abstractNumId="34">
    <w:nsid w:val="61574095"/>
    <w:multiLevelType w:val="hybridMultilevel"/>
    <w:lvl w:ilvl="0">
      <w:lvlJc w:val="left"/>
      <w:lvlText w:val="(%1)"/>
      <w:numFmt w:val="lowerLetter"/>
      <w:start w:val="13"/>
    </w:lvl>
  </w:abstractNum>
  <w:abstractNum w:abstractNumId="35">
    <w:nsid w:val="7E0C57B1"/>
    <w:multiLevelType w:val="hybridMultilevel"/>
    <w:lvl w:ilvl="0">
      <w:lvlJc w:val="left"/>
      <w:lvlText w:val="(%1)"/>
      <w:numFmt w:val="lowerRoman"/>
      <w:start w:val="3"/>
    </w:lvl>
  </w:abstractNum>
  <w:abstractNum w:abstractNumId="36">
    <w:nsid w:val="77AE35EB"/>
    <w:multiLevelType w:val="hybridMultilevel"/>
    <w:lvl w:ilvl="0">
      <w:lvlJc w:val="left"/>
      <w:lvlText w:val="(%1)"/>
      <w:numFmt w:val="lowerLetter"/>
      <w:start w:val="14"/>
    </w:lvl>
  </w:abstractNum>
  <w:abstractNum w:abstractNumId="37">
    <w:nsid w:val="579BE4F1"/>
    <w:multiLevelType w:val="hybridMultilevel"/>
    <w:lvl w:ilvl="0">
      <w:lvlJc w:val="left"/>
      <w:lvlText w:val="(%1)"/>
      <w:numFmt w:val="lowerLetter"/>
      <w:start w:val="16"/>
    </w:lvl>
  </w:abstractNum>
  <w:abstractNum w:abstractNumId="38">
    <w:nsid w:val="310C50B3"/>
    <w:multiLevelType w:val="hybridMultilevel"/>
    <w:lvl w:ilvl="0">
      <w:lvlJc w:val="left"/>
      <w:lvlText w:val="(%1)"/>
      <w:numFmt w:val="lowerLetter"/>
      <w:start w:val="17"/>
    </w:lvl>
  </w:abstractNum>
  <w:abstractNum w:abstractNumId="39">
    <w:nsid w:val="5FF87E05"/>
    <w:multiLevelType w:val="hybridMultilevel"/>
    <w:lvl w:ilvl="0">
      <w:lvlJc w:val="left"/>
      <w:lvlText w:val="(%1)"/>
      <w:numFmt w:val="lowerLetter"/>
      <w:start w:val="18"/>
    </w:lvl>
  </w:abstractNum>
  <w:abstractNum w:abstractNumId="40">
    <w:nsid w:val="2F305DEF"/>
    <w:multiLevelType w:val="hybridMultilevel"/>
    <w:lvl w:ilvl="0">
      <w:lvlJc w:val="left"/>
      <w:lvlText w:val="(%1)"/>
      <w:numFmt w:val="lowerLetter"/>
      <w:start w:val="19"/>
    </w:lvl>
  </w:abstractNum>
  <w:abstractNum w:abstractNumId="41">
    <w:nsid w:val="25A70BF7"/>
    <w:multiLevelType w:val="hybridMultilevel"/>
    <w:lvl w:ilvl="0">
      <w:lvlJc w:val="left"/>
      <w:lvlText w:val="(%1)"/>
      <w:numFmt w:val="lowerLetter"/>
      <w:start w:val="20"/>
    </w:lvl>
  </w:abstractNum>
  <w:abstractNum w:abstractNumId="42">
    <w:nsid w:val="1DBABF00"/>
    <w:multiLevelType w:val="hybridMultilevel"/>
    <w:lvl w:ilvl="0">
      <w:lvlJc w:val="left"/>
      <w:lvlText w:val="(%1)"/>
      <w:numFmt w:val="lowerLetter"/>
      <w:start w:val="21"/>
    </w:lvl>
  </w:abstractNum>
  <w:abstractNum w:abstractNumId="43">
    <w:nsid w:val="4AD084E9"/>
    <w:multiLevelType w:val="hybridMultilevel"/>
    <w:lvl w:ilvl="0">
      <w:lvlJc w:val="left"/>
      <w:lvlText w:val="(%1)"/>
      <w:numFmt w:val="lowerRoman"/>
      <w:start w:val="5"/>
    </w:lvl>
  </w:abstractNum>
  <w:abstractNum w:abstractNumId="44">
    <w:nsid w:val="1F48EAA1"/>
    <w:multiLevelType w:val="hybridMultilevel"/>
    <w:lvl w:ilvl="0">
      <w:lvlJc w:val="left"/>
      <w:lvlText w:val="(%1)"/>
      <w:numFmt w:val="lowerLetter"/>
      <w:start w:val="23"/>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4"/>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lowerLetter"/>
      <w:start w:val="2"/>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4"/>
    </w:lvl>
  </w:abstractNum>
  <w:abstractNum w:abstractNumId="56">
    <w:nsid w:val="1EBA5D23"/>
    <w:multiLevelType w:val="hybridMultilevel"/>
    <w:lvl w:ilvl="0">
      <w:lvlJc w:val="left"/>
      <w:lvlText w:val="(%1)"/>
      <w:numFmt w:val="upperLetter"/>
      <w:start w:val="1"/>
    </w:lvl>
  </w:abstractNum>
  <w:abstractNum w:abstractNumId="57">
    <w:nsid w:val="661E3F1E"/>
    <w:multiLevelType w:val="hybridMultilevel"/>
    <w:lvl w:ilvl="0">
      <w:lvlJc w:val="left"/>
      <w:lvlText w:val="%1."/>
      <w:numFmt w:val="decimal"/>
      <w:start w:val="2"/>
    </w:lvl>
  </w:abstractNum>
  <w:abstractNum w:abstractNumId="58">
    <w:nsid w:val="5DC79EA8"/>
    <w:multiLevelType w:val="hybridMultilevel"/>
    <w:lvl w:ilvl="0">
      <w:lvlJc w:val="left"/>
      <w:lvlText w:val="%1."/>
      <w:numFmt w:val="decimal"/>
      <w:start w:val="3"/>
    </w:lvl>
  </w:abstractNum>
  <w:abstractNum w:abstractNumId="59">
    <w:nsid w:val="540A471C"/>
    <w:multiLevelType w:val="hybridMultilevel"/>
    <w:lvl w:ilvl="0">
      <w:lvlJc w:val="left"/>
      <w:lvlText w:val="%1"/>
      <w:numFmt w:val="decimal"/>
      <w:start w:val="19"/>
    </w:lvl>
  </w:abstractNum>
  <w:abstractNum w:abstractNumId="60">
    <w:nsid w:val="7BD3EE7B"/>
    <w:multiLevelType w:val="hybridMultilevel"/>
    <w:lvl w:ilvl="0">
      <w:lvlJc w:val="left"/>
      <w:lvlText w:val="%1"/>
      <w:numFmt w:val="decimal"/>
      <w:start w:val="101"/>
    </w:lvl>
  </w:abstractNum>
  <w:abstractNum w:abstractNumId="61">
    <w:nsid w:val="51D9C564"/>
    <w:multiLevelType w:val="hybridMultilevel"/>
    <w:lvl w:ilvl="0">
      <w:lvlJc w:val="left"/>
      <w:lvlText w:val="%1"/>
      <w:numFmt w:val="decimal"/>
      <w:start w:val="104"/>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4"/>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decimal"/>
      <w:start w:val="4"/>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4"/>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4"/>
    </w:lvl>
  </w:abstractNum>
  <w:abstractNum w:abstractNumId="71">
    <w:nsid w:val="4962813B"/>
    <w:multiLevelType w:val="hybridMultilevel"/>
    <w:lvl w:ilvl="0">
      <w:lvlJc w:val="left"/>
      <w:lvlText w:val="%1."/>
      <w:numFmt w:val="decimal"/>
      <w:start w:val="1"/>
    </w:lvl>
  </w:abstractNum>
  <w:abstractNum w:abstractNumId="72">
    <w:nsid w:val="60B6DF70"/>
    <w:multiLevelType w:val="hybridMultilevel"/>
    <w:lvl w:ilvl="0">
      <w:lvlJc w:val="left"/>
      <w:lvlText w:val="%1."/>
      <w:numFmt w:val="decimal"/>
      <w:start w:val="4"/>
    </w:lvl>
  </w:abstractNum>
  <w:abstractNum w:abstractNumId="73">
    <w:nsid w:val="6A5EE64"/>
    <w:multiLevelType w:val="hybridMultilevel"/>
    <w:lvl w:ilvl="0">
      <w:lvlJc w:val="left"/>
      <w:lvlText w:val="(%1)"/>
      <w:numFmt w:val="lowerRoman"/>
      <w:start w:val="4"/>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4"/>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3"/>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2"/>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lowerLetter"/>
      <w:start w:val="1"/>
    </w:lvl>
    <w:lvl w:ilvl="1">
      <w:lvlJc w:val="left"/>
      <w:lvlText w:val="(%2)"/>
      <w:numFmt w:val="lowerRoman"/>
      <w:start w:val="1"/>
    </w:lvl>
  </w:abstractNum>
  <w:abstractNum w:abstractNumId="83">
    <w:nsid w:val="885E1B"/>
    <w:multiLevelType w:val="hybridMultilevel"/>
    <w:lvl w:ilvl="0">
      <w:lvlJc w:val="left"/>
      <w:lvlText w:val="%1"/>
      <w:numFmt w:val="decimal"/>
      <w:start w:val="1"/>
    </w:lvl>
    <w:lvl w:ilvl="1">
      <w:lvlJc w:val="left"/>
      <w:lvlText w:val="(%2)"/>
      <w:numFmt w:val="lowerLetter"/>
      <w:start w:val="4"/>
    </w:lvl>
  </w:abstractNum>
  <w:abstractNum w:abstractNumId="84">
    <w:nsid w:val="76272110"/>
    <w:multiLevelType w:val="hybridMultilevel"/>
    <w:lvl w:ilvl="0">
      <w:lvlJc w:val="left"/>
      <w:lvlText w:val="(%1)"/>
      <w:numFmt w:val="decimal"/>
      <w:start w:val="45"/>
    </w:lvl>
    <w:lvl w:ilvl="1">
      <w:lvlJc w:val="left"/>
      <w:lvlText w:val="(%2)"/>
      <w:numFmt w:val="lowerLetter"/>
      <w:start w:val="6"/>
    </w:lvl>
  </w:abstractNum>
  <w:abstractNum w:abstractNumId="85">
    <w:nsid w:val="4C04A8AF"/>
    <w:multiLevelType w:val="hybridMultilevel"/>
    <w:lvl w:ilvl="0">
      <w:lvlJc w:val="left"/>
      <w:lvlText w:val="(%1)"/>
      <w:numFmt w:val="lowerLetter"/>
      <w:start w:val="7"/>
    </w:lvl>
  </w:abstractNum>
  <w:abstractNum w:abstractNumId="86">
    <w:nsid w:val="1716703B"/>
    <w:multiLevelType w:val="hybridMultilevel"/>
    <w:lvl w:ilvl="0">
      <w:lvlJc w:val="left"/>
      <w:lvlText w:val="(%1)"/>
      <w:numFmt w:val="lowerRoman"/>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52" Type="http://schemas.openxmlformats.org/officeDocument/2006/relationships/image" Target="media/image130.png"/><Relationship Id="rId154" Type="http://schemas.openxmlformats.org/officeDocument/2006/relationships/image" Target="media/image131.png"/><Relationship Id="rId160" Type="http://schemas.openxmlformats.org/officeDocument/2006/relationships/image" Target="media/image132.png"/><Relationship Id="rId166" Type="http://schemas.openxmlformats.org/officeDocument/2006/relationships/image" Target="media/image133.png"/><Relationship Id="rId169" Type="http://schemas.openxmlformats.org/officeDocument/2006/relationships/image" Target="media/image134.png"/><Relationship Id="rId175" Type="http://schemas.openxmlformats.org/officeDocument/2006/relationships/image" Target="media/image135.png"/><Relationship Id="rId183"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99" Type="http://schemas.openxmlformats.org/officeDocument/2006/relationships/image" Target="media/image139.png"/><Relationship Id="rId204" Type="http://schemas.openxmlformats.org/officeDocument/2006/relationships/image" Target="media/image140.png"/><Relationship Id="rId209" Type="http://schemas.openxmlformats.org/officeDocument/2006/relationships/image" Target="media/image141.png"/><Relationship Id="rId212" Type="http://schemas.openxmlformats.org/officeDocument/2006/relationships/image" Target="media/image142.png"/><Relationship Id="rId218" Type="http://schemas.openxmlformats.org/officeDocument/2006/relationships/image" Target="media/image143.png"/><Relationship Id="rId225" Type="http://schemas.openxmlformats.org/officeDocument/2006/relationships/image" Target="media/image144.png"/><Relationship Id="rId227" Type="http://schemas.openxmlformats.org/officeDocument/2006/relationships/image" Target="media/image145.png"/><Relationship Id="rId233" Type="http://schemas.openxmlformats.org/officeDocument/2006/relationships/image" Target="media/image146.png"/><Relationship Id="rId235" Type="http://schemas.openxmlformats.org/officeDocument/2006/relationships/image" Target="media/image147.png"/><Relationship Id="rId236" Type="http://schemas.openxmlformats.org/officeDocument/2006/relationships/image" Target="media/image148.png"/><Relationship Id="rId243" Type="http://schemas.openxmlformats.org/officeDocument/2006/relationships/image" Target="media/image149.png"/><Relationship Id="rId249" Type="http://schemas.openxmlformats.org/officeDocument/2006/relationships/image" Target="media/image150.png"/><Relationship Id="rId251" Type="http://schemas.openxmlformats.org/officeDocument/2006/relationships/image" Target="media/image151.png"/><Relationship Id="rId260" Type="http://schemas.openxmlformats.org/officeDocument/2006/relationships/image" Target="media/image152.png"/><Relationship Id="rId263" Type="http://schemas.openxmlformats.org/officeDocument/2006/relationships/image" Target="media/image153.png"/><Relationship Id="rId264" Type="http://schemas.openxmlformats.org/officeDocument/2006/relationships/image" Target="media/image154.png"/><Relationship Id="rId265" Type="http://schemas.openxmlformats.org/officeDocument/2006/relationships/image" Target="media/image155.png"/><Relationship Id="rId266" Type="http://schemas.openxmlformats.org/officeDocument/2006/relationships/image" Target="media/image156.png"/><Relationship Id="rId267" Type="http://schemas.openxmlformats.org/officeDocument/2006/relationships/image" Target="media/image157.png"/><Relationship Id="rId268" Type="http://schemas.openxmlformats.org/officeDocument/2006/relationships/image" Target="media/image158.png"/><Relationship Id="rId269" Type="http://schemas.openxmlformats.org/officeDocument/2006/relationships/image" Target="media/image159.png"/><Relationship Id="rId270" Type="http://schemas.openxmlformats.org/officeDocument/2006/relationships/image" Target="media/image160.png"/><Relationship Id="rId271" Type="http://schemas.openxmlformats.org/officeDocument/2006/relationships/image" Target="media/image161.png"/><Relationship Id="rId272" Type="http://schemas.openxmlformats.org/officeDocument/2006/relationships/image" Target="media/image162.png"/><Relationship Id="rId273" Type="http://schemas.openxmlformats.org/officeDocument/2006/relationships/image" Target="media/image163.png"/><Relationship Id="rId274" Type="http://schemas.openxmlformats.org/officeDocument/2006/relationships/image" Target="media/image164.png"/><Relationship Id="rId275" Type="http://schemas.openxmlformats.org/officeDocument/2006/relationships/image" Target="media/image165.png"/><Relationship Id="rId276" Type="http://schemas.openxmlformats.org/officeDocument/2006/relationships/image" Target="media/image166.png"/><Relationship Id="rId277" Type="http://schemas.openxmlformats.org/officeDocument/2006/relationships/image" Target="media/image167.png"/><Relationship Id="rId278" Type="http://schemas.openxmlformats.org/officeDocument/2006/relationships/image" Target="media/image168.png"/><Relationship Id="rId279" Type="http://schemas.openxmlformats.org/officeDocument/2006/relationships/image" Target="media/image169.png"/><Relationship Id="rId280" Type="http://schemas.openxmlformats.org/officeDocument/2006/relationships/image" Target="media/image170.png"/><Relationship Id="rId281" Type="http://schemas.openxmlformats.org/officeDocument/2006/relationships/image" Target="media/image171.png"/><Relationship Id="rId282" Type="http://schemas.openxmlformats.org/officeDocument/2006/relationships/image" Target="media/image172.png"/><Relationship Id="rId283" Type="http://schemas.openxmlformats.org/officeDocument/2006/relationships/image" Target="media/image173.png"/><Relationship Id="rId284" Type="http://schemas.openxmlformats.org/officeDocument/2006/relationships/image" Target="media/image174.png"/><Relationship Id="rId285" Type="http://schemas.openxmlformats.org/officeDocument/2006/relationships/image" Target="media/image175.png"/><Relationship Id="rId286" Type="http://schemas.openxmlformats.org/officeDocument/2006/relationships/image" Target="media/image176.png"/><Relationship Id="rId287" Type="http://schemas.openxmlformats.org/officeDocument/2006/relationships/image" Target="media/image177.png"/><Relationship Id="rId288" Type="http://schemas.openxmlformats.org/officeDocument/2006/relationships/image" Target="media/image178.png"/><Relationship Id="rId289" Type="http://schemas.openxmlformats.org/officeDocument/2006/relationships/image" Target="media/image179.png"/><Relationship Id="rId290" Type="http://schemas.openxmlformats.org/officeDocument/2006/relationships/image" Target="media/image180.png"/><Relationship Id="rId291" Type="http://schemas.openxmlformats.org/officeDocument/2006/relationships/image" Target="media/image181.png"/><Relationship Id="rId292" Type="http://schemas.openxmlformats.org/officeDocument/2006/relationships/image" Target="media/image182.png"/><Relationship Id="rId293" Type="http://schemas.openxmlformats.org/officeDocument/2006/relationships/image" Target="media/image183.png"/><Relationship Id="rId294" Type="http://schemas.openxmlformats.org/officeDocument/2006/relationships/image" Target="media/image184.png"/><Relationship Id="rId295" Type="http://schemas.openxmlformats.org/officeDocument/2006/relationships/image" Target="media/image185.png"/><Relationship Id="rId296" Type="http://schemas.openxmlformats.org/officeDocument/2006/relationships/image" Target="media/image186.png"/><Relationship Id="rId297" Type="http://schemas.openxmlformats.org/officeDocument/2006/relationships/image" Target="media/image187.png"/><Relationship Id="rId135" Type="http://schemas.openxmlformats.org/officeDocument/2006/relationships/hyperlink" Target="https://www.sec.gov/Archives/edgar/data/1090425/000119312514329086/d783274dex21.htm" TargetMode="External"/><Relationship Id="rId136" Type="http://schemas.openxmlformats.org/officeDocument/2006/relationships/hyperlink" Target="https://www.sec.gov/Archives/edgar/data/1090425/000119312514417756/d823054dex31.htm" TargetMode="External"/><Relationship Id="rId137" Type="http://schemas.openxmlformats.org/officeDocument/2006/relationships/hyperlink" Target="https://www.sec.gov/Archives/edgar/data/1090425/000119312514417756/d823054dex32.htm" TargetMode="External"/><Relationship Id="rId138" Type="http://schemas.openxmlformats.org/officeDocument/2006/relationships/hyperlink" Target="https://www.sec.gov/Archives/edgar/data/1090425/000119312514417756/d823054dex33.htm" TargetMode="External"/><Relationship Id="rId139" Type="http://schemas.openxmlformats.org/officeDocument/2006/relationships/hyperlink" Target="https://www.sec.gov/Archives/edgar/data/899045/000095013407011105/d46520exv3w2.htm" TargetMode="External"/><Relationship Id="rId140" Type="http://schemas.openxmlformats.org/officeDocument/2006/relationships/hyperlink" Target="https://www.sec.gov/Archives/edgar/data/899045/000095013499009877/0000950134-99-009877.txt" TargetMode="External"/><Relationship Id="rId141" Type="http://schemas.openxmlformats.org/officeDocument/2006/relationships/hyperlink" Target="https://www.sec.gov/Archives/edgar/data/1090425/000119312514417756/d823054dex42.htm" TargetMode="External"/><Relationship Id="rId142" Type="http://schemas.openxmlformats.org/officeDocument/2006/relationships/hyperlink" Target="https://www.sec.gov/Archives/edgar/data/1090425/000119312514417756/d823054dex43.htm" TargetMode="External"/><Relationship Id="rId143" Type="http://schemas.openxmlformats.org/officeDocument/2006/relationships/hyperlink" Target="https://www.sec.gov/Archives/edgar/data/899045/000156459020005593/lamr-ex4a3_479.htm" TargetMode="External"/><Relationship Id="rId144" Type="http://schemas.openxmlformats.org/officeDocument/2006/relationships/hyperlink" Target="https://www.sec.gov/Archives/edgar/data/899045/000119312520033197/d889727dex41.htm" TargetMode="External"/><Relationship Id="rId147" Type="http://schemas.openxmlformats.org/officeDocument/2006/relationships/hyperlink" Target="https://www.sec.gov/Archives/edgar/data/899045/000162828022012480/lamr-20220331x10qxexx42.htm" TargetMode="External"/><Relationship Id="rId148" Type="http://schemas.openxmlformats.org/officeDocument/2006/relationships/hyperlink" Target="https://www.sec.gov/Archives/edgar/data/899045/000162828022020393/lamr-20220630x10qxexx42.htm" TargetMode="External"/><Relationship Id="rId149" Type="http://schemas.openxmlformats.org/officeDocument/2006/relationships/hyperlink" Target="https://www.sec.gov/Archives/edgar/data/899045/000162828024035955/lamr-20240630x10qxexx42.htm" TargetMode="External"/><Relationship Id="rId150" Type="http://schemas.openxmlformats.org/officeDocument/2006/relationships/hyperlink" Target="https://www.sec.gov/Archives/edgar/data/899045/000162828024046555/exhibit42.htm" TargetMode="External"/><Relationship Id="rId151" Type="http://schemas.openxmlformats.org/officeDocument/2006/relationships/hyperlink" Target="https://www.sec.gov/Archives/edgar/data/1090425/000162828025006706/lamr-20241231x10kxex4e8.htm" TargetMode="External"/><Relationship Id="rId153" Type="http://schemas.openxmlformats.org/officeDocument/2006/relationships/hyperlink" Target="https://www.sec.gov/Archives/edgar/data/899045/000119312520033197/d889727dex42.htm" TargetMode="External"/><Relationship Id="rId155" Type="http://schemas.openxmlformats.org/officeDocument/2006/relationships/hyperlink" Target="https://www.sec.gov/Archives/edgar/data/899045/000162828022012480/lamr-20220331x10qxexx43.htm" TargetMode="External"/><Relationship Id="rId156" Type="http://schemas.openxmlformats.org/officeDocument/2006/relationships/hyperlink" Target="https://www.sec.gov/Archives/edgar/data/899045/000162828022020393/lamr-20220630x10qxexx43.htm" TargetMode="External"/><Relationship Id="rId157" Type="http://schemas.openxmlformats.org/officeDocument/2006/relationships/hyperlink" Target="https://www.sec.gov/Archives/edgar/data/899045/000162828024035955/lamr-20240630x10qxexx43.htm" TargetMode="External"/><Relationship Id="rId158" Type="http://schemas.openxmlformats.org/officeDocument/2006/relationships/hyperlink" Target="https://www.sec.gov/Archives/edgar/data/899045/000162828024046555/exhibit43.htm" TargetMode="External"/><Relationship Id="rId159" Type="http://schemas.openxmlformats.org/officeDocument/2006/relationships/hyperlink" Target="https://www.sec.gov/Archives/edgar/data/1090425/000162828025006706/lamr-20241231x10kxex4f8.htm" TargetMode="External"/><Relationship Id="rId161" Type="http://schemas.openxmlformats.org/officeDocument/2006/relationships/hyperlink" Target="https://www.sec.gov/Archives/edgar/data/899045/000119312520146127/d930554dex41.htm" TargetMode="External"/><Relationship Id="rId162" Type="http://schemas.openxmlformats.org/officeDocument/2006/relationships/hyperlink" Target="https://www.sec.gov/Archives/edgar/data/899045/000162828022012480/lamr-20220331x10qxexx44.htm" TargetMode="External"/><Relationship Id="rId163" Type="http://schemas.openxmlformats.org/officeDocument/2006/relationships/hyperlink" Target="https://www.sec.gov/Archives/edgar/data/899045/000162828022020393/lamr-20220660x10qxexx44.htm" TargetMode="External"/><Relationship Id="rId164" Type="http://schemas.openxmlformats.org/officeDocument/2006/relationships/hyperlink" Target="https://www.sec.gov/Archives/edgar/data/899045/000162828024035955/lamr-20240630x10qxexx44.htm" TargetMode="External"/><Relationship Id="rId165" Type="http://schemas.openxmlformats.org/officeDocument/2006/relationships/hyperlink" Target="https://www.sec.gov/Archives/edgar/data/899045/000162828024046555/exhibit44.htm" TargetMode="External"/><Relationship Id="rId167" Type="http://schemas.openxmlformats.org/officeDocument/2006/relationships/hyperlink" Target="https://www.sec.gov/Archives/edgar/data/1090425/000162828025006706/lamr-20241231x10kxex4g8.htm" TargetMode="External"/><Relationship Id="rId168" Type="http://schemas.openxmlformats.org/officeDocument/2006/relationships/hyperlink" Target="https://www.sec.gov/Archives/edgar/data/0001090425/000119312521020764/d111035dex41.htm" TargetMode="External"/><Relationship Id="rId170" Type="http://schemas.openxmlformats.org/officeDocument/2006/relationships/hyperlink" Target="https://www.sec.gov/Archives/edgar/data/899045/000162828022012480/lamr-20220331x10qxexx41.htm" TargetMode="External"/><Relationship Id="rId171" Type="http://schemas.openxmlformats.org/officeDocument/2006/relationships/hyperlink" Target="https://www.sec.gov/Archives/edgar/data/899045/000162828022020393/lamr-20220630x10qxexx41.htm" TargetMode="External"/><Relationship Id="rId172" Type="http://schemas.openxmlformats.org/officeDocument/2006/relationships/hyperlink" Target="https://www.sec.gov/Archives/edgar/data/899045/000162828024035955/lamr-20240630x10qxexx41.htm" TargetMode="External"/><Relationship Id="rId173" Type="http://schemas.openxmlformats.org/officeDocument/2006/relationships/hyperlink" Target="https://www.sec.gov/Archives/edgar/data/899045/000162828024046555/exhibit41.htm" TargetMode="External"/><Relationship Id="rId174" Type="http://schemas.openxmlformats.org/officeDocument/2006/relationships/hyperlink" Target="https://www.sec.gov/Archives/edgar/data/1090425/000162828025006706/lamr-20241231x10kxex4h8.htm" TargetMode="External"/><Relationship Id="rId176" Type="http://schemas.openxmlformats.org/officeDocument/2006/relationships/hyperlink" Target="https://www.sec.gov/Archives/edgar/data/1090425/000119312525226747/d97349dex41.htm" TargetMode="External"/><Relationship Id="rId177" Type="http://schemas.openxmlformats.org/officeDocument/2006/relationships/hyperlink" Target="https://www.sec.gov/Archives/edgar/data/0001090425/000119312521193497/d361202dex41.htm" TargetMode="External"/><Relationship Id="rId178" Type="http://schemas.openxmlformats.org/officeDocument/2006/relationships/hyperlink" Target="https://www.sec.gov/Archives/edgar/data/899045/000156459020005593/lamr-ex10a1_478.htm" TargetMode="External"/><Relationship Id="rId179" Type="http://schemas.openxmlformats.org/officeDocument/2006/relationships/hyperlink" Target="https://www.sec.gov/Archives/edgar/data/899045/000156459020005593/lamr-ex10a2_477.htm" TargetMode="External"/><Relationship Id="rId180" Type="http://schemas.openxmlformats.org/officeDocument/2006/relationships/hyperlink" Target="https://www.sec.gov/Archives/edgar/data/899045/000095013406005174/d33719exv10w16.txt" TargetMode="External"/><Relationship Id="rId181" Type="http://schemas.openxmlformats.org/officeDocument/2006/relationships/hyperlink" Target="https://www.sec.gov/Archives/edgar/data/1090425/000095013407012610/d47205exv10w1.htm" TargetMode="External"/><Relationship Id="rId182" Type="http://schemas.openxmlformats.org/officeDocument/2006/relationships/hyperlink" Target="https://www.sec.gov/Archives/edgar/data/899045/000156459017021772/lamr-ex101_170.htm" TargetMode="External"/><Relationship Id="rId184" Type="http://schemas.openxmlformats.org/officeDocument/2006/relationships/hyperlink" Target="https://www.sec.gov/Archives/edgar/data/1090425/000119312519166112/d760299dex102.htm" TargetMode="External"/><Relationship Id="rId185" Type="http://schemas.openxmlformats.org/officeDocument/2006/relationships/hyperlink" Target="https://www.sec.gov/Archives/edgar/data/899045/000095013505006967/b58122laexv10w2.txt" TargetMode="External"/><Relationship Id="rId186" Type="http://schemas.openxmlformats.org/officeDocument/2006/relationships/hyperlink" Target="https://www.sec.gov/Archives/edgar/data/1090425/000119312516521502/d168422d8k.htm" TargetMode="External"/><Relationship Id="rId189" Type="http://schemas.openxmlformats.org/officeDocument/2006/relationships/hyperlink" Target="https://www.sec.gov/Archives/edgar/data/1090425/000119312516608341/d183173d8k.htm" TargetMode="External"/><Relationship Id="rId190" Type="http://schemas.openxmlformats.org/officeDocument/2006/relationships/hyperlink" Target="https://www.sec.gov/Archives/edgar/data/899045/000119312518355826/d678645dex101.htm" TargetMode="External"/><Relationship Id="rId191" Type="http://schemas.openxmlformats.org/officeDocument/2006/relationships/hyperlink" Target="https://www.sec.gov/Archives/edgar/data/899045/000119312518355826/d678645dex102.htm" TargetMode="External"/><Relationship Id="rId192" Type="http://schemas.openxmlformats.org/officeDocument/2006/relationships/hyperlink" Target="https://www.sec.gov/Archives/edgar/data/899045/000119312518355826/d678645dex103.htm" TargetMode="External"/><Relationship Id="rId193" Type="http://schemas.openxmlformats.org/officeDocument/2006/relationships/hyperlink" Target="https://www.sec.gov/Archives/edgar/data/899045/000119312518355826/d678645dex104.htm" TargetMode="External"/><Relationship Id="rId194" Type="http://schemas.openxmlformats.org/officeDocument/2006/relationships/hyperlink" Target="https://www.sec.gov/Archives/edgar/data/899045/000119312520033197/d889727dex104.htm" TargetMode="External"/><Relationship Id="rId195" Type="http://schemas.openxmlformats.org/officeDocument/2006/relationships/hyperlink" Target="https://www.sec.gov/Archives/edgar/data/899045/000119312520033197/d889727dex105.htm" TargetMode="External"/><Relationship Id="rId196" Type="http://schemas.openxmlformats.org/officeDocument/2006/relationships/hyperlink" Target="https://www.sec.gov/Archives/edgar/data/899045/000119312520033197/d889727dex106.htm" TargetMode="External"/><Relationship Id="rId197" Type="http://schemas.openxmlformats.org/officeDocument/2006/relationships/hyperlink" Target="https://www.sec.gov/Archives/edgar/data/899045/000156459020037399/lamr-ex102_170.htm" TargetMode="External"/><Relationship Id="rId198" Type="http://schemas.openxmlformats.org/officeDocument/2006/relationships/hyperlink" Target="https://www.sec.gov/Archives/edgar/data/899045/000156459020037399/lamr-ex103_152.htm" TargetMode="External"/><Relationship Id="rId200" Type="http://schemas.openxmlformats.org/officeDocument/2006/relationships/hyperlink" Target="https://www.sec.gov/Archives/edgar/data/899045/000119312520187830/d864629dex101.htm" TargetMode="External"/><Relationship Id="rId201" Type="http://schemas.openxmlformats.org/officeDocument/2006/relationships/hyperlink" Target="https://www.sec.gov/Archives/edgar/data/899045/000119312520276938/d25262dex101.htm" TargetMode="External"/><Relationship Id="rId202" Type="http://schemas.openxmlformats.org/officeDocument/2006/relationships/hyperlink" Target="https://www.sec.gov/Archives/edgar/data/0001090425/000119312521176922/d175058dex101.htm" TargetMode="External"/><Relationship Id="rId203" Type="http://schemas.openxmlformats.org/officeDocument/2006/relationships/hyperlink" Target="https://www.sec.gov/Archives/edgar/data/899045/000119312522186266/d376417dex101.htm" TargetMode="External"/><Relationship Id="rId205" Type="http://schemas.openxmlformats.org/officeDocument/2006/relationships/hyperlink" Target="https://www.sec.gov/Archives/edgar/data/899045/000119312524240401/d895876dex101.htm" TargetMode="External"/><Relationship Id="rId206" Type="http://schemas.openxmlformats.org/officeDocument/2006/relationships/hyperlink" Target="https://www.sec.gov/Archives/edgar/data/899045/000162828024046555/exhibit101.htm" TargetMode="External"/><Relationship Id="rId207" Type="http://schemas.openxmlformats.org/officeDocument/2006/relationships/hyperlink" Target="https://www.sec.gov/Archives/edgar/data/899045/000095012310042765/d72662exv10w1.htm" TargetMode="External"/><Relationship Id="rId208" Type="http://schemas.openxmlformats.org/officeDocument/2006/relationships/hyperlink" Target="https://www.sec.gov/Archives/edgar/data/899045/000095012311018470/d78824exv10wpw2.htm" TargetMode="External"/><Relationship Id="rId210" Type="http://schemas.openxmlformats.org/officeDocument/2006/relationships/hyperlink" Target="https://www.sec.gov/Archives/edgar/data/899045/000095012311018470/d78824exv10wpw3.htm" TargetMode="External"/><Relationship Id="rId211" Type="http://schemas.openxmlformats.org/officeDocument/2006/relationships/hyperlink" Target="https://www.sec.gov/Archives/edgar/data/899045/000119312512057440/d299753dex102.htm" TargetMode="External"/><Relationship Id="rId213" Type="http://schemas.openxmlformats.org/officeDocument/2006/relationships/hyperlink" Target="https://www.sec.gov/Archives/edgar/data/899045/000119312514072774/d651857dex10f11.htm" TargetMode="External"/><Relationship Id="rId214" Type="http://schemas.openxmlformats.org/officeDocument/2006/relationships/hyperlink" Target="https://www.sec.gov/Archives/edgar/data/899045/000119312514040877/d672556dex101.htm" TargetMode="External"/><Relationship Id="rId215" Type="http://schemas.openxmlformats.org/officeDocument/2006/relationships/hyperlink" Target="https://www.sec.gov/Archives/edgar/data/899045/000119312514152081/d715756dex101.htm" TargetMode="External"/><Relationship Id="rId216" Type="http://schemas.openxmlformats.org/officeDocument/2006/relationships/hyperlink" Target="https://www.sec.gov/Archives/edgar/data/899045/000119312516428976/d121868dex101.htm" TargetMode="External"/><Relationship Id="rId217" Type="http://schemas.openxmlformats.org/officeDocument/2006/relationships/hyperlink" Target="https://www.sec.gov/Archives/edgar/data/899045/000119312516496958/d138430dex101.htm" TargetMode="External"/><Relationship Id="rId219" Type="http://schemas.openxmlformats.org/officeDocument/2006/relationships/hyperlink" Target="https://www.sec.gov/Archives/edgar/data/899045/000119312517176596/d400789dex101.htm" TargetMode="External"/><Relationship Id="rId220" Type="http://schemas.openxmlformats.org/officeDocument/2006/relationships/hyperlink" Target="https://www.sec.gov/Archives/edgar/data/899045/000119312518089644/d545969dex101.htm" TargetMode="External"/><Relationship Id="rId221" Type="http://schemas.openxmlformats.org/officeDocument/2006/relationships/hyperlink" Target="https://www.sec.gov/Archives/edgar/data/899045/000119312518347754/d672539dex101.htm" TargetMode="External"/><Relationship Id="rId222" Type="http://schemas.openxmlformats.org/officeDocument/2006/relationships/hyperlink" Target="https://www.sec.gov/Archives/edgar/data/899045/000119312519014003/d690385dex101.htm" TargetMode="External"/><Relationship Id="rId223" Type="http://schemas.openxmlformats.org/officeDocument/2006/relationships/hyperlink" Target="https://www.sec.gov/Archives/edgar/data/899045/000119312512081940/d263372dex10p4.htm" TargetMode="External"/><Relationship Id="rId224" Type="http://schemas.openxmlformats.org/officeDocument/2006/relationships/hyperlink" Target="https://www.sec.gov/Archives/edgar/data/899045/000119312512081940/d263372dex10p5.htm" TargetMode="External"/><Relationship Id="rId226" Type="http://schemas.openxmlformats.org/officeDocument/2006/relationships/hyperlink" Target="https://www.sec.gov/Archives/edgar/data/899045/000119312512081940/d263372dex10p6.htm" TargetMode="External"/><Relationship Id="rId228" Type="http://schemas.openxmlformats.org/officeDocument/2006/relationships/hyperlink" Target="https://www.sec.gov/Archives/edgar/data/899045/000119312513084458/d446463dex10f9.htm" TargetMode="External"/><Relationship Id="rId229" Type="http://schemas.openxmlformats.org/officeDocument/2006/relationships/hyperlink" Target="https://www.sec.gov/Archives/edgar/data/899045/000119312513084458/d446463dex10f10.htm" TargetMode="External"/><Relationship Id="rId230" Type="http://schemas.openxmlformats.org/officeDocument/2006/relationships/hyperlink" Target="https://www.sec.gov/Archives/edgar/data/899045/000119312514072774/d651857dex10f12.htm" TargetMode="External"/><Relationship Id="rId231" Type="http://schemas.openxmlformats.org/officeDocument/2006/relationships/hyperlink" Target="https://www.sec.gov/Archives/edgar/data/899045/000119312514072774/d651857dex10f13.htm" TargetMode="External"/><Relationship Id="rId232" Type="http://schemas.openxmlformats.org/officeDocument/2006/relationships/hyperlink" Target="https://www.sec.gov/Archives/edgar/data/899045/000119312514072774/d651857dex10f14.htm" TargetMode="External"/><Relationship Id="rId234" Type="http://schemas.openxmlformats.org/officeDocument/2006/relationships/hyperlink" Target="https://www.sec.gov/Archives/edgar/data/899045/000119312514072774/d651857dex10f15.htm" TargetMode="External"/><Relationship Id="rId237" Type="http://schemas.openxmlformats.org/officeDocument/2006/relationships/hyperlink" Target="https://www.sec.gov/Archives/edgar/data/899045/000156459017002293/lamr-ex10f20_934.htm" TargetMode="External"/><Relationship Id="rId238" Type="http://schemas.openxmlformats.org/officeDocument/2006/relationships/hyperlink" Target="https://www.sec.gov/Archives/edgar/data/899045/000156459018010171/lamr-ex101_92.htm" TargetMode="External"/><Relationship Id="rId239" Type="http://schemas.openxmlformats.org/officeDocument/2006/relationships/hyperlink" Target="https://www.sec.gov/Archives/edgar/data/899045/000156459019015115/lamr-ex103_84.htm" TargetMode="External"/><Relationship Id="rId240" Type="http://schemas.openxmlformats.org/officeDocument/2006/relationships/hyperlink" Target="https://www.sec.gov/Archives/edgar/data/899045/000156459019015115/lamr-ex104_83.htm" TargetMode="External"/><Relationship Id="rId241" Type="http://schemas.openxmlformats.org/officeDocument/2006/relationships/hyperlink" Target="https://www.sec.gov/Archives/edgar/data/899045/000156459019040322/lamr-ex101_137.htm" TargetMode="External"/><Relationship Id="rId242" Type="http://schemas.openxmlformats.org/officeDocument/2006/relationships/hyperlink" Target="https://www.sec.gov/Archives/edgar/data/899045/000119312520033197/d889727dex103.htm" TargetMode="External"/><Relationship Id="rId244" Type="http://schemas.openxmlformats.org/officeDocument/2006/relationships/hyperlink" Target="https://www.sec.gov/Archives/edgar/data/899045/000162828022012480/lamr-20220331x10qxexx101.htm" TargetMode="External"/><Relationship Id="rId245" Type="http://schemas.openxmlformats.org/officeDocument/2006/relationships/hyperlink" Target="https://www.sec.gov/Archives/edgar/data/899045/000162828022020393/lamr-20220630x10qxexx101.htm" TargetMode="External"/><Relationship Id="rId246" Type="http://schemas.openxmlformats.org/officeDocument/2006/relationships/hyperlink" Target="https://www.sec.gov/Archives/edgar/data/899045/000119312522210548/d380331dex101.htm" TargetMode="External"/><Relationship Id="rId247" Type="http://schemas.openxmlformats.org/officeDocument/2006/relationships/hyperlink" Target="https://www.sec.gov/Archives/edgar/data/1090425/000119312523132452/d925964dex101.htm" TargetMode="External"/><Relationship Id="rId248" Type="http://schemas.openxmlformats.org/officeDocument/2006/relationships/hyperlink" Target="https://www.sec.gov/Archives/edgar/data/1090425/000119312523201706/d520407dex101.htm" TargetMode="External"/><Relationship Id="rId250" Type="http://schemas.openxmlformats.org/officeDocument/2006/relationships/hyperlink" Target="https://www.sec.gov/Archives/edgar/data/899045/000162828024035955/lamr-20240630x10qxexx101.htm" TargetMode="External"/><Relationship Id="rId252" Type="http://schemas.openxmlformats.org/officeDocument/2006/relationships/hyperlink" Target="https://www.sec.gov/Archives/edgar/data/1090425/000162828025006706/lamr-20241231x10kxex10f36.htm" TargetMode="External"/><Relationship Id="rId253" Type="http://schemas.openxmlformats.org/officeDocument/2006/relationships/hyperlink" Target="https://www.sec.gov/Archives/edgar/data/1090425/000119312525215425/d74817dex101.htm" TargetMode="External"/><Relationship Id="rId254" Type="http://schemas.openxmlformats.org/officeDocument/2006/relationships/hyperlink" Target="https://www.sec.gov/Archives/edgar/data/899045/000119312522189555/d349853dex101.htm" TargetMode="External"/><Relationship Id="rId255" Type="http://schemas.openxmlformats.org/officeDocument/2006/relationships/hyperlink" Target="https://www.sec.gov/Archives/edgar/data/899045/000119312522189555/d349853dex102.htm" TargetMode="External"/><Relationship Id="rId256" Type="http://schemas.openxmlformats.org/officeDocument/2006/relationships/hyperlink" Target="https://www.sec.gov/Archives/edgar/data/1090425/000119312523058120/d415090dex101.htm" TargetMode="External"/><Relationship Id="rId257" Type="http://schemas.openxmlformats.org/officeDocument/2006/relationships/hyperlink" Target="https://www.sec.gov/Archives/edgar/data/899045/000162828024019876/lamr-20240331x10qxexx101.htm" TargetMode="External"/><Relationship Id="rId258" Type="http://schemas.openxmlformats.org/officeDocument/2006/relationships/hyperlink" Target="https://www.sec.gov/Archives/edgar/data/1090425/000119312514417756/d823054dex101.htm" TargetMode="External"/><Relationship Id="rId259" Type="http://schemas.openxmlformats.org/officeDocument/2006/relationships/hyperlink" Target="https://www.sec.gov/Archives/edgar/data/1090425/000162828023004975/lamr-20221231x10kxex14a.htm" TargetMode="External"/><Relationship Id="rId261" Type="http://schemas.openxmlformats.org/officeDocument/2006/relationships/hyperlink" Target="https://www.sec.gov/Archives/edgar/data/1090425/000162828025006706/lamr-20241231x10kxex19.htm" TargetMode="External"/><Relationship Id="rId262" Type="http://schemas.openxmlformats.org/officeDocument/2006/relationships/hyperlink" Target="https://www.sec.gov/Archives/edgar/data/899045/000162828024006537/lamr-20231231x10k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2026-02-20T11:28:41Z</dcterms:created>
  <dcterms:modified xsi:type="dcterms:W3CDTF">2026-02-20T11:28:41Z</dcterms:modified>
</cp:coreProperties>
</file>