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t>Filed by Lamar Advertising Company</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under the Securities Act of 1933</w:t>
      </w:r>
    </w:p>
    <w:p>
      <w:pPr>
        <w:spacing w:after="0" w:line="10"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0" w:lineRule="exact"/>
        <w:rPr>
          <w:sz w:val="24"/>
          <w:szCs w:val="24"/>
          <w:color w:val="auto"/>
        </w:rPr>
      </w:pPr>
    </w:p>
    <w:p>
      <w:pPr>
        <w:ind w:left="7560"/>
        <w:spacing w:after="0"/>
        <w:rPr>
          <w:sz w:val="20"/>
          <w:szCs w:val="20"/>
          <w:color w:val="auto"/>
        </w:rPr>
      </w:pPr>
      <w:r>
        <w:rPr>
          <w:rFonts w:ascii="Arial" w:cs="Arial" w:eastAsia="Arial" w:hAnsi="Arial"/>
          <w:sz w:val="14"/>
          <w:szCs w:val="14"/>
          <w:color w:val="auto"/>
        </w:rPr>
        <w:t>under the Securities and Exchange Act of 1934, as amended</w:t>
      </w:r>
    </w:p>
    <w:p>
      <w:pPr>
        <w:spacing w:after="0" w:line="214"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Lamar Advertising Company</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000-30242</w:t>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The following are copies of slides that Lamar Advertising Company intends to use in meetings with investors beginning on June 3, 2014.</w:t>
      </w:r>
    </w:p>
    <w:p>
      <w:pPr>
        <w:sectPr>
          <w:pgSz w:w="11900" w:h="16838" w:orient="portrait"/>
          <w:cols w:equalWidth="0" w:num="1">
            <w:col w:w="11440"/>
          </w:cols>
          <w:pgMar w:left="240" w:top="224" w:right="219" w:bottom="1440" w:gutter="0" w:footer="0" w:header="0"/>
        </w:sectPr>
      </w:pPr>
    </w:p>
    <w:bookmarkStart w:id="1" w:name="page2"/>
    <w:bookmarkEnd w:id="1"/>
    <w:p>
      <w:pPr>
        <w:jc w:val="right"/>
        <w:spacing w:after="0"/>
        <w:rPr>
          <w:sz w:val="20"/>
          <w:szCs w:val="20"/>
          <w:color w:val="auto"/>
        </w:rPr>
      </w:pPr>
      <w:r>
        <w:rPr>
          <w:rFonts w:ascii="Arial" w:cs="Arial" w:eastAsia="Arial" w:hAnsi="Arial"/>
          <w:sz w:val="25"/>
          <w:szCs w:val="25"/>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701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1865" cy="5701030"/>
                    </a:xfrm>
                    <a:prstGeom prst="rect">
                      <a:avLst/>
                    </a:prstGeom>
                    <a:noFill/>
                  </pic:spPr>
                </pic:pic>
              </a:graphicData>
            </a:graphic>
          </wp:anchor>
        </w:drawing>
        <w:t>June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Arial" w:cs="Arial" w:eastAsia="Arial" w:hAnsi="Arial"/>
          <w:sz w:val="45"/>
          <w:szCs w:val="45"/>
          <w:b w:val="1"/>
          <w:bCs w:val="1"/>
          <w:color w:val="FFFFFF"/>
        </w:rPr>
        <w:t>INVESTOR PRESENTATION</w:t>
      </w:r>
    </w:p>
    <w:p>
      <w:pPr>
        <w:sectPr>
          <w:pgSz w:w="11900" w:h="16838" w:orient="portrait"/>
          <w:cols w:equalWidth="0" w:num="1">
            <w:col w:w="9600"/>
          </w:cols>
          <w:pgMar w:left="1440" w:top="890" w:right="859" w:bottom="1440" w:gutter="0" w:footer="0" w:header="0"/>
        </w:sectPr>
      </w:pPr>
    </w:p>
    <w:bookmarkStart w:id="2" w:name="page3"/>
    <w:bookmarkEnd w:id="2"/>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Disclaimer</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Forward-looking Statements</w:t>
      </w:r>
    </w:p>
    <w:p>
      <w:pPr>
        <w:spacing w:after="0" w:line="106" w:lineRule="exact"/>
        <w:rPr>
          <w:sz w:val="20"/>
          <w:szCs w:val="20"/>
          <w:color w:val="auto"/>
        </w:rPr>
      </w:pPr>
    </w:p>
    <w:p>
      <w:pPr>
        <w:ind w:left="60"/>
        <w:spacing w:after="0" w:line="280" w:lineRule="auto"/>
        <w:rPr>
          <w:sz w:val="20"/>
          <w:szCs w:val="20"/>
          <w:color w:val="auto"/>
        </w:rPr>
      </w:pPr>
      <w:r>
        <w:rPr>
          <w:rFonts w:ascii="Arial" w:cs="Arial" w:eastAsia="Arial" w:hAnsi="Arial"/>
          <w:sz w:val="12"/>
          <w:szCs w:val="12"/>
          <w:color w:val="auto"/>
        </w:rPr>
        <w:t>This presentation contains forward-looking statements, including our financial guidance for 2014, the statements regarding our consideration of an election to real estate investment trust status; our ability to complete the REIT conversion effective for the taxable year beginning January 1, 2014; our intention to distribute accumulated earnings and profits to stockholders and make regular quarterly distributions to stockholders in 2014. These statements are subject to risks and uncertainties that could cause actual results to differ materially from those projected in these forward-looking statements. These risks and uncertainties include, among others: (1) that we may fail to qualify as a REIT effective for the taxable year beginning January 1, 2014 or at all, and, if we do qualify as a REIT, we may be unable to maintain that qualification (2) legislative, administrative, regulatory or other actions affecting REITs, including positions taken by the IRS; (3) our significant indebtedness; (4) the state of the economy and financial markets generally and the effect of the broader economy on the demand for advertising; (5) the continued popularity of outdoor advertising as an advertising medium; (6) our need for and ability to obtain additional funding for operations, debt refinancing or acquisitions; (7) the regulation of the outdoor advertising industry; (8) our ability to successfully implement our digital deployment strategy; and (9) the integration of any acquired companies and our ability to recognize cost savings or operating efficiencies as a result of these acquisitions. For additional information regarding factors that may cause actual results to differ materially from those indicated in our forward-looking statements, we refer you to the risk factors included in Item 1A of our Annual Report on Form 10-K for the year ended December 31, 2013. We caution investors not to place undue reliance on the forward-looking statements contained in this document. These statements speak only as of the date of this presentation, and we undertake no obligation to update or revise these statements, except as may be required by law.</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Use of Non-GAAP Measures</w:t>
      </w:r>
    </w:p>
    <w:p>
      <w:pPr>
        <w:spacing w:after="0" w:line="106" w:lineRule="exact"/>
        <w:rPr>
          <w:sz w:val="20"/>
          <w:szCs w:val="20"/>
          <w:color w:val="auto"/>
        </w:rPr>
      </w:pPr>
    </w:p>
    <w:p>
      <w:pPr>
        <w:ind w:left="60" w:right="20"/>
        <w:spacing w:after="0" w:line="284" w:lineRule="auto"/>
        <w:rPr>
          <w:sz w:val="20"/>
          <w:szCs w:val="20"/>
          <w:color w:val="auto"/>
        </w:rPr>
      </w:pPr>
      <w:r>
        <w:rPr>
          <w:rFonts w:ascii="Arial" w:cs="Arial" w:eastAsia="Arial" w:hAnsi="Arial"/>
          <w:sz w:val="12"/>
          <w:szCs w:val="12"/>
          <w:color w:val="auto"/>
        </w:rPr>
        <w:t>Adjusted EBITDA, Funds From Operations, Adjusted Funds From Operations and Adjusted Funds From Operations Per Diluted Share are not measures of performance under accounting principles generally accepted in the United States of America (“GAAP”). These measures should not be considered alternatives to net income, cash flows provided by operating activities or other GAAP figures as indicators of the Company’s financial performance. Our management believes that Adjusted EBITDA, Funds From Operations, Adjusted Funds From Operations and Adjusted Funds From Operations Per Diluted Share are useful in evaluating the Company’s performance and provide investors and financial analysts a better understanding of the Company’s core operating results. Our presentations of these measures may not be comparable to similarly titled measures used by other companies. See the appendix, which provide reconciliations of each of these measures to the most directly comparable GAAP measure.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Additional Information</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2"/>
          <w:szCs w:val="12"/>
          <w:color w:val="auto"/>
        </w:rPr>
        <w:t>In connection with the proposed REIT conversion, we plan to effect a merger with and into a wholly owned subsidiary, which will be called Lamar Advertising REIT Company. We will</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2"/>
          <w:szCs w:val="12"/>
          <w:color w:val="auto"/>
        </w:rPr>
        <w:t>file a proxy statement to be used in connection with the stockholder vote on this merger. That proxy statement will be contained in a registration statement on Form S-4 to be filed by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2"/>
          <w:szCs w:val="12"/>
          <w:color w:val="auto"/>
        </w:rPr>
        <w:t>Lamar Advertising REIT Company, and both companies will file other relevant documents concerning the proposed merger transaction with the Securities and Exchange Commission</w:t>
      </w:r>
    </w:p>
    <w:p>
      <w:pPr>
        <w:spacing w:after="0" w:line="31" w:lineRule="exact"/>
        <w:rPr>
          <w:sz w:val="20"/>
          <w:szCs w:val="20"/>
          <w:color w:val="auto"/>
        </w:rPr>
      </w:pPr>
    </w:p>
    <w:p>
      <w:pPr>
        <w:ind w:left="60" w:right="160"/>
        <w:spacing w:after="0" w:line="277" w:lineRule="auto"/>
        <w:rPr>
          <w:sz w:val="20"/>
          <w:szCs w:val="20"/>
          <w:color w:val="auto"/>
        </w:rPr>
      </w:pPr>
      <w:r>
        <w:rPr>
          <w:rFonts w:ascii="Arial" w:cs="Arial" w:eastAsia="Arial" w:hAnsi="Arial"/>
          <w:sz w:val="12"/>
          <w:szCs w:val="12"/>
          <w:color w:val="auto"/>
        </w:rPr>
        <w:t>(SEC). INVESTORS ARE URGED TO READ THE FORM S-4 AND PROXY STATEMENT (INCLUDING ALL AMENDMENTS AND SUPPLEMENTS THERETO) WHEN THEY BECOME AVAILABLE AND ANY OTHER RELEVANT DOCUMENTS FILED WITH THE SEC BECAUSE THEY WILL CONTAIN IMPORTANT INFORMATION ABOUT THE PROPOSED MERGER. You will be able to obtain documents free of charge at the website maintained by the SEC at www.sec.gov. In addition, you may obtain documents filed with the SEC by Lamar free of charge by contacting Secretary, 5321 Corporate Blvd., Baton Rouge, LA 70808.</w:t>
      </w:r>
    </w:p>
    <w:p>
      <w:pPr>
        <w:spacing w:after="0" w:line="65" w:lineRule="exact"/>
        <w:rPr>
          <w:sz w:val="20"/>
          <w:szCs w:val="20"/>
          <w:color w:val="auto"/>
        </w:rPr>
      </w:pPr>
    </w:p>
    <w:p>
      <w:pPr>
        <w:ind w:left="60" w:right="280"/>
        <w:spacing w:after="0" w:line="282" w:lineRule="auto"/>
        <w:rPr>
          <w:sz w:val="20"/>
          <w:szCs w:val="20"/>
          <w:color w:val="auto"/>
        </w:rPr>
      </w:pPr>
      <w:r>
        <w:rPr>
          <w:rFonts w:ascii="Arial" w:cs="Arial" w:eastAsia="Arial" w:hAnsi="Arial"/>
          <w:sz w:val="12"/>
          <w:szCs w:val="12"/>
          <w:color w:val="auto"/>
        </w:rPr>
        <w:t>We, our directors and executive officers and certain other members of management and employees may be deemed to be participants in the solicitation of proxies from our stockholders in connection with the merger. Information regarding the persons who may, under the rules of the SEC, be considered participants in the solicitation of proxies in connection with the merger will be included in the Form S-4 and proxy statement when they become available. Information about our directors and executive officers and their ownership of Lamar Advertising stock is set forth the proxy statement for our 2014 Annual Meeting of Stockholders, which was filed with the SEC on April 25, 2014. Investors may obtain additional information regarding the interest of such participants by reading the Form S-4 and proxy statement for the merger when they become available.</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2"/>
          <w:szCs w:val="12"/>
          <w:color w:val="auto"/>
        </w:rPr>
        <w:t>Investors should read the Form S-4 and proxy statement carefully when they become available before making any voting or investment decisions.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2"/>
          <w:szCs w:val="12"/>
          <w:color w:val="auto"/>
        </w:rPr>
        <w:t>This communication does not constitute an offer to sell or the solicitation of an offer to buy any securities or a solicitation of any vote or approval.</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40"/>
          </w:cols>
          <w:pgMar w:left="1040" w:top="1061" w:right="1019" w:bottom="1440" w:gutter="0" w:footer="0" w:header="0"/>
        </w:sectPr>
      </w:pPr>
    </w:p>
    <w:bookmarkStart w:id="3" w:name="page4"/>
    <w:bookmarkEnd w:id="3"/>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514"/>
        </w:trPr>
        <w:tc>
          <w:tcPr>
            <w:tcW w:w="8140" w:type="dxa"/>
            <w:vAlign w:val="bottom"/>
          </w:tcPr>
          <w:p>
            <w:pPr>
              <w:ind w:left="20"/>
              <w:spacing w:after="0"/>
              <w:rPr>
                <w:sz w:val="20"/>
                <w:szCs w:val="20"/>
                <w:color w:val="auto"/>
              </w:rPr>
            </w:pPr>
            <w:r>
              <w:rPr>
                <w:rFonts w:ascii="Arial" w:cs="Arial" w:eastAsia="Arial" w:hAnsi="Arial"/>
                <w:sz w:val="39"/>
                <w:szCs w:val="39"/>
                <w:b w:val="1"/>
                <w:bCs w:val="1"/>
                <w:color w:val="FFFFFF"/>
              </w:rPr>
              <w:t>Company background</w:t>
            </w:r>
          </w:p>
        </w:tc>
        <w:tc>
          <w:tcPr>
            <w:tcW w:w="1220" w:type="dxa"/>
            <w:vAlign w:val="bottom"/>
          </w:tcPr>
          <w:p>
            <w:pPr>
              <w:jc w:val="right"/>
              <w:spacing w:after="0"/>
              <w:rPr>
                <w:sz w:val="20"/>
                <w:szCs w:val="20"/>
                <w:color w:val="auto"/>
              </w:rPr>
            </w:pPr>
            <w:r>
              <w:rPr>
                <w:rFonts w:ascii="Arial" w:cs="Arial" w:eastAsia="Arial" w:hAnsi="Arial"/>
                <w:sz w:val="39"/>
                <w:szCs w:val="39"/>
                <w:b w:val="1"/>
                <w:bCs w:val="1"/>
                <w:color w:val="FFFFFF"/>
              </w:rPr>
              <w:t>3</w:t>
            </w:r>
          </w:p>
        </w:tc>
      </w:tr>
      <w:tr>
        <w:trPr>
          <w:trHeight w:val="1137"/>
        </w:trPr>
        <w:tc>
          <w:tcPr>
            <w:tcW w:w="8140" w:type="dxa"/>
            <w:vAlign w:val="bottom"/>
          </w:tcPr>
          <w:p>
            <w:pPr>
              <w:ind w:left="20"/>
              <w:spacing w:after="0"/>
              <w:rPr>
                <w:sz w:val="20"/>
                <w:szCs w:val="20"/>
                <w:color w:val="auto"/>
              </w:rPr>
            </w:pPr>
            <w:r>
              <w:rPr>
                <w:rFonts w:ascii="Arial" w:cs="Arial" w:eastAsia="Arial" w:hAnsi="Arial"/>
                <w:sz w:val="39"/>
                <w:szCs w:val="39"/>
                <w:color w:val="auto"/>
              </w:rPr>
              <w:t>REIT conversion highlights</w:t>
            </w:r>
          </w:p>
        </w:tc>
        <w:tc>
          <w:tcPr>
            <w:tcW w:w="1220" w:type="dxa"/>
            <w:vAlign w:val="bottom"/>
          </w:tcPr>
          <w:p>
            <w:pPr>
              <w:jc w:val="right"/>
              <w:spacing w:after="0"/>
              <w:rPr>
                <w:sz w:val="20"/>
                <w:szCs w:val="20"/>
                <w:color w:val="auto"/>
              </w:rPr>
            </w:pPr>
            <w:r>
              <w:rPr>
                <w:rFonts w:ascii="Arial" w:cs="Arial" w:eastAsia="Arial" w:hAnsi="Arial"/>
                <w:sz w:val="39"/>
                <w:szCs w:val="39"/>
                <w:color w:val="auto"/>
              </w:rPr>
              <w:t>22</w:t>
            </w:r>
          </w:p>
        </w:tc>
      </w:tr>
      <w:tr>
        <w:trPr>
          <w:trHeight w:val="1137"/>
        </w:trPr>
        <w:tc>
          <w:tcPr>
            <w:tcW w:w="8140" w:type="dxa"/>
            <w:vAlign w:val="bottom"/>
          </w:tcPr>
          <w:p>
            <w:pPr>
              <w:ind w:left="20"/>
              <w:spacing w:after="0"/>
              <w:rPr>
                <w:sz w:val="20"/>
                <w:szCs w:val="20"/>
                <w:color w:val="auto"/>
              </w:rPr>
            </w:pPr>
            <w:r>
              <w:rPr>
                <w:rFonts w:ascii="Arial" w:cs="Arial" w:eastAsia="Arial" w:hAnsi="Arial"/>
                <w:sz w:val="39"/>
                <w:szCs w:val="39"/>
                <w:color w:val="auto"/>
              </w:rPr>
              <w:t>Value creation and opportunities for growth</w:t>
            </w:r>
          </w:p>
        </w:tc>
        <w:tc>
          <w:tcPr>
            <w:tcW w:w="1220" w:type="dxa"/>
            <w:vAlign w:val="bottom"/>
          </w:tcPr>
          <w:p>
            <w:pPr>
              <w:jc w:val="right"/>
              <w:spacing w:after="0"/>
              <w:rPr>
                <w:sz w:val="20"/>
                <w:szCs w:val="20"/>
                <w:color w:val="auto"/>
              </w:rPr>
            </w:pPr>
            <w:r>
              <w:rPr>
                <w:rFonts w:ascii="Arial" w:cs="Arial" w:eastAsia="Arial" w:hAnsi="Arial"/>
                <w:sz w:val="39"/>
                <w:szCs w:val="39"/>
                <w:color w:val="auto"/>
              </w:rPr>
              <w:t>26</w:t>
            </w:r>
          </w:p>
        </w:tc>
      </w:tr>
      <w:tr>
        <w:trPr>
          <w:trHeight w:val="1125"/>
        </w:trPr>
        <w:tc>
          <w:tcPr>
            <w:tcW w:w="8140" w:type="dxa"/>
            <w:vAlign w:val="bottom"/>
          </w:tcPr>
          <w:p>
            <w:pPr>
              <w:spacing w:after="0"/>
              <w:rPr>
                <w:sz w:val="20"/>
                <w:szCs w:val="20"/>
                <w:color w:val="auto"/>
              </w:rPr>
            </w:pPr>
            <w:r>
              <w:rPr>
                <w:rFonts w:ascii="Arial" w:cs="Arial" w:eastAsia="Arial" w:hAnsi="Arial"/>
                <w:sz w:val="39"/>
                <w:szCs w:val="39"/>
                <w:color w:val="auto"/>
              </w:rPr>
              <w:t>Appendix</w:t>
            </w:r>
          </w:p>
        </w:tc>
        <w:tc>
          <w:tcPr>
            <w:tcW w:w="1220" w:type="dxa"/>
            <w:vAlign w:val="bottom"/>
          </w:tcPr>
          <w:p>
            <w:pPr>
              <w:jc w:val="right"/>
              <w:spacing w:after="0"/>
              <w:rPr>
                <w:sz w:val="20"/>
                <w:szCs w:val="20"/>
                <w:color w:val="auto"/>
              </w:rPr>
            </w:pPr>
            <w:r>
              <w:rPr>
                <w:rFonts w:ascii="Arial" w:cs="Arial" w:eastAsia="Arial" w:hAnsi="Arial"/>
                <w:sz w:val="39"/>
                <w:szCs w:val="39"/>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440"/>
          </w:cols>
          <w:pgMar w:left="1240" w:top="1061" w:right="1219" w:bottom="1440" w:gutter="0" w:footer="0" w:header="0"/>
        </w:sectPr>
      </w:pPr>
    </w:p>
    <w:bookmarkStart w:id="4" w:name="page5"/>
    <w:bookmarkEnd w:id="4"/>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Introduction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FFFFFF"/>
        </w:rPr>
        <w:t>Experienced management team</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140"/>
              <w:spacing w:after="0"/>
              <w:rPr>
                <w:sz w:val="20"/>
                <w:szCs w:val="20"/>
                <w:color w:val="auto"/>
              </w:rPr>
            </w:pPr>
            <w:r>
              <w:rPr>
                <w:rFonts w:ascii="Arial" w:cs="Arial" w:eastAsia="Arial" w:hAnsi="Arial"/>
                <w:sz w:val="18"/>
                <w:szCs w:val="18"/>
                <w:color w:val="auto"/>
              </w:rPr>
              <w:t>Title</w:t>
            </w:r>
          </w:p>
        </w:tc>
        <w:tc>
          <w:tcPr>
            <w:tcW w:w="2320" w:type="dxa"/>
            <w:vAlign w:val="bottom"/>
          </w:tcPr>
          <w:p>
            <w:pPr>
              <w:jc w:val="right"/>
              <w:spacing w:after="0"/>
              <w:rPr>
                <w:sz w:val="20"/>
                <w:szCs w:val="20"/>
                <w:color w:val="auto"/>
              </w:rPr>
            </w:pPr>
            <w:r>
              <w:rPr>
                <w:rFonts w:ascii="Arial" w:cs="Arial" w:eastAsia="Arial" w:hAnsi="Arial"/>
                <w:sz w:val="18"/>
                <w:szCs w:val="18"/>
                <w:color w:val="auto"/>
              </w:rPr>
              <w:t>Years with Lamar</w:t>
            </w:r>
          </w:p>
        </w:tc>
      </w:tr>
      <w:tr>
        <w:trPr>
          <w:trHeight w:val="411"/>
        </w:trPr>
        <w:tc>
          <w:tcPr>
            <w:tcW w:w="3040" w:type="dxa"/>
            <w:vAlign w:val="bottom"/>
          </w:tcPr>
          <w:p>
            <w:pPr>
              <w:spacing w:after="0"/>
              <w:rPr>
                <w:sz w:val="20"/>
                <w:szCs w:val="20"/>
                <w:color w:val="auto"/>
              </w:rPr>
            </w:pPr>
            <w:r>
              <w:rPr>
                <w:rFonts w:ascii="Arial" w:cs="Arial" w:eastAsia="Arial" w:hAnsi="Arial"/>
                <w:sz w:val="18"/>
                <w:szCs w:val="18"/>
                <w:color w:val="auto"/>
              </w:rPr>
              <w:t>Kevin Reilly, Jr.</w:t>
            </w:r>
          </w:p>
        </w:tc>
        <w:tc>
          <w:tcPr>
            <w:tcW w:w="4060" w:type="dxa"/>
            <w:vAlign w:val="bottom"/>
          </w:tcPr>
          <w:p>
            <w:pPr>
              <w:ind w:left="140"/>
              <w:spacing w:after="0"/>
              <w:rPr>
                <w:sz w:val="20"/>
                <w:szCs w:val="20"/>
                <w:color w:val="auto"/>
              </w:rPr>
            </w:pPr>
            <w:r>
              <w:rPr>
                <w:rFonts w:ascii="Arial" w:cs="Arial" w:eastAsia="Arial" w:hAnsi="Arial"/>
                <w:sz w:val="18"/>
                <w:szCs w:val="18"/>
                <w:color w:val="auto"/>
              </w:rPr>
              <w:t>Chairman of the Board and President</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57"/>
        </w:trPr>
        <w:tc>
          <w:tcPr>
            <w:tcW w:w="3040" w:type="dxa"/>
            <w:vAlign w:val="bottom"/>
          </w:tcPr>
          <w:p>
            <w:pPr>
              <w:spacing w:after="0"/>
              <w:rPr>
                <w:sz w:val="20"/>
                <w:szCs w:val="20"/>
                <w:color w:val="auto"/>
              </w:rPr>
            </w:pPr>
            <w:r>
              <w:rPr>
                <w:rFonts w:ascii="Arial" w:cs="Arial" w:eastAsia="Arial" w:hAnsi="Arial"/>
                <w:sz w:val="18"/>
                <w:szCs w:val="18"/>
                <w:color w:val="auto"/>
              </w:rPr>
              <w:t>Sean Reilly</w:t>
            </w: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69"/>
        </w:trPr>
        <w:tc>
          <w:tcPr>
            <w:tcW w:w="3040" w:type="dxa"/>
            <w:vAlign w:val="bottom"/>
          </w:tcPr>
          <w:p>
            <w:pPr>
              <w:spacing w:after="0"/>
              <w:rPr>
                <w:sz w:val="20"/>
                <w:szCs w:val="20"/>
                <w:color w:val="auto"/>
              </w:rPr>
            </w:pPr>
            <w:r>
              <w:rPr>
                <w:rFonts w:ascii="Arial" w:cs="Arial" w:eastAsia="Arial" w:hAnsi="Arial"/>
                <w:sz w:val="18"/>
                <w:szCs w:val="18"/>
                <w:color w:val="auto"/>
              </w:rPr>
              <w:t>Keith Istre</w:t>
            </w:r>
          </w:p>
        </w:tc>
        <w:tc>
          <w:tcPr>
            <w:tcW w:w="406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57"/>
        </w:trPr>
        <w:tc>
          <w:tcPr>
            <w:tcW w:w="3040" w:type="dxa"/>
            <w:vAlign w:val="bottom"/>
          </w:tcPr>
          <w:p>
            <w:pPr>
              <w:spacing w:after="0"/>
              <w:rPr>
                <w:sz w:val="20"/>
                <w:szCs w:val="20"/>
                <w:color w:val="auto"/>
              </w:rPr>
            </w:pPr>
            <w:r>
              <w:rPr>
                <w:rFonts w:ascii="Arial" w:cs="Arial" w:eastAsia="Arial" w:hAnsi="Arial"/>
                <w:sz w:val="18"/>
                <w:szCs w:val="18"/>
                <w:color w:val="auto"/>
              </w:rPr>
              <w:t>Regional Managers (average years)</w:t>
            </w:r>
          </w:p>
        </w:tc>
        <w:tc>
          <w:tcPr>
            <w:tcW w:w="40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FFFFFF"/>
        </w:rPr>
        <w:t>Lamar’s management team has been with the company for an average of 31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460"/>
          </w:cols>
          <w:pgMar w:left="1240" w:top="1061" w:right="1199" w:bottom="1440" w:gutter="0" w:footer="0" w:header="0"/>
        </w:sectPr>
      </w:pPr>
    </w:p>
    <w:bookmarkStart w:id="5" w:name="page6"/>
    <w:bookmarkEnd w:id="5"/>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Company profile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23"/>
          <w:szCs w:val="23"/>
          <w:color w:val="auto"/>
        </w:rPr>
        <w:t>Established in 1902 – over 110 years of operating experience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23"/>
          <w:szCs w:val="23"/>
          <w:color w:val="auto"/>
        </w:rPr>
        <w:t>Largest outdoor advertising company in the US based on number of displays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23"/>
          <w:szCs w:val="23"/>
          <w:color w:val="auto"/>
        </w:rPr>
        <w:t>– Operates approximately 145,000 billboard displays in 44 states, Canada and Puerto Rico</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23"/>
          <w:szCs w:val="23"/>
          <w:color w:val="auto"/>
        </w:rPr>
        <w:t>– Operates over 128,000 logo sign advertising displays in 23 states and Ontario, Canada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23"/>
          <w:szCs w:val="23"/>
          <w:color w:val="auto"/>
        </w:rPr>
        <w:t>– Operates over 40,000 transit advertising displays in 16 states, Canada and Puerto Rico</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23"/>
          <w:szCs w:val="23"/>
          <w:color w:val="auto"/>
        </w:rPr>
        <w:t>Industry characterized by high barriers to entry due to permitting restrictions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23"/>
          <w:szCs w:val="23"/>
          <w:color w:val="auto"/>
        </w:rPr>
        <w:t>Approximately 18% US market share – second behind Clear Channel Outdoor</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23"/>
          <w:szCs w:val="23"/>
          <w:color w:val="auto"/>
        </w:rPr>
        <w:t>78% of revenue generatedfrom less volatile local business, with diversified base of over</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23"/>
          <w:szCs w:val="23"/>
          <w:color w:val="auto"/>
        </w:rPr>
        <w:t>40,000 total billboard tenants</w:t>
      </w:r>
    </w:p>
    <w:p>
      <w:pPr>
        <w:spacing w:after="0" w:line="207" w:lineRule="exact"/>
        <w:rPr>
          <w:sz w:val="20"/>
          <w:szCs w:val="20"/>
          <w:color w:val="auto"/>
        </w:rPr>
      </w:pPr>
    </w:p>
    <w:p>
      <w:pPr>
        <w:ind w:left="300" w:right="820" w:firstLine="24"/>
        <w:spacing w:after="0" w:line="538" w:lineRule="auto"/>
        <w:rPr>
          <w:sz w:val="20"/>
          <w:szCs w:val="20"/>
          <w:color w:val="auto"/>
        </w:rPr>
      </w:pPr>
      <w:r>
        <w:rPr>
          <w:rFonts w:ascii="Arial" w:cs="Arial" w:eastAsia="Arial" w:hAnsi="Arial"/>
          <w:sz w:val="22"/>
          <w:szCs w:val="22"/>
          <w:color w:val="auto"/>
        </w:rPr>
        <w:t>– Leading out of home provider in the vast majority of Lamar’s markets Approximately 825 local account executives across the US, Canada and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580"/>
          </w:cols>
          <w:pgMar w:left="1240" w:top="1061" w:right="1079" w:bottom="1440" w:gutter="0" w:footer="0" w:header="0"/>
        </w:sectPr>
      </w:pPr>
    </w:p>
    <w:bookmarkStart w:id="6" w:name="page7"/>
    <w:bookmarkEnd w:id="6"/>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Key REIT investment considerations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60" w:right="280"/>
        <w:spacing w:after="0" w:line="321" w:lineRule="auto"/>
        <w:rPr>
          <w:sz w:val="20"/>
          <w:szCs w:val="20"/>
          <w:color w:val="auto"/>
        </w:rPr>
      </w:pPr>
      <w:r>
        <w:rPr>
          <w:rFonts w:ascii="Arial" w:cs="Arial" w:eastAsia="Arial" w:hAnsi="Arial"/>
          <w:sz w:val="19"/>
          <w:szCs w:val="19"/>
          <w:color w:val="FFFFFF"/>
        </w:rPr>
        <w:t>Largest pure-play outdoor operator with expansive national footprint and over 145,000 billboard displays</w:t>
      </w:r>
    </w:p>
    <w:p>
      <w:pPr>
        <w:spacing w:after="0" w:line="226" w:lineRule="exact"/>
        <w:rPr>
          <w:sz w:val="20"/>
          <w:szCs w:val="20"/>
          <w:color w:val="auto"/>
        </w:rPr>
      </w:pPr>
    </w:p>
    <w:p>
      <w:pPr>
        <w:ind w:left="2560" w:right="40"/>
        <w:spacing w:after="0" w:line="321" w:lineRule="auto"/>
        <w:rPr>
          <w:sz w:val="20"/>
          <w:szCs w:val="20"/>
          <w:color w:val="auto"/>
        </w:rPr>
      </w:pPr>
      <w:r>
        <w:rPr>
          <w:rFonts w:ascii="Arial" w:cs="Arial" w:eastAsia="Arial" w:hAnsi="Arial"/>
          <w:sz w:val="19"/>
          <w:szCs w:val="19"/>
          <w:color w:val="FFFFFF"/>
        </w:rPr>
        <w:t>Significant barriers to entry due to permitting restrictions which make real estate portfolio nearly impossible to replicate</w:t>
      </w:r>
    </w:p>
    <w:p>
      <w:pPr>
        <w:spacing w:after="0" w:line="202" w:lineRule="exact"/>
        <w:rPr>
          <w:sz w:val="20"/>
          <w:szCs w:val="20"/>
          <w:color w:val="auto"/>
        </w:rPr>
      </w:pPr>
    </w:p>
    <w:p>
      <w:pPr>
        <w:ind w:left="2560"/>
        <w:spacing w:after="0"/>
        <w:rPr>
          <w:sz w:val="20"/>
          <w:szCs w:val="20"/>
          <w:color w:val="auto"/>
        </w:rPr>
      </w:pPr>
      <w:r>
        <w:rPr>
          <w:rFonts w:ascii="Arial" w:cs="Arial" w:eastAsia="Arial" w:hAnsi="Arial"/>
          <w:sz w:val="19"/>
          <w:szCs w:val="19"/>
          <w:color w:val="FFFFFF"/>
        </w:rPr>
        <w:t>Diversified base of 40,000+ tenants, none accounting for more than 1% of sales</w:t>
      </w:r>
    </w:p>
    <w:p>
      <w:pPr>
        <w:spacing w:after="0" w:line="278" w:lineRule="exact"/>
        <w:rPr>
          <w:sz w:val="20"/>
          <w:szCs w:val="20"/>
          <w:color w:val="auto"/>
        </w:rPr>
      </w:pPr>
    </w:p>
    <w:p>
      <w:pPr>
        <w:ind w:left="2560"/>
        <w:spacing w:after="0" w:line="321" w:lineRule="auto"/>
        <w:rPr>
          <w:sz w:val="20"/>
          <w:szCs w:val="20"/>
          <w:color w:val="auto"/>
        </w:rPr>
      </w:pPr>
      <w:r>
        <w:rPr>
          <w:rFonts w:ascii="Arial" w:cs="Arial" w:eastAsia="Arial" w:hAnsi="Arial"/>
          <w:sz w:val="19"/>
          <w:szCs w:val="19"/>
          <w:color w:val="FFFFFF"/>
        </w:rPr>
        <w:t>Approximately 20% of billboard revenue is generated on Lamar-owned property, with balance divided among 60,000 lessors</w:t>
      </w:r>
    </w:p>
    <w:p>
      <w:pPr>
        <w:spacing w:after="0" w:line="202" w:lineRule="exact"/>
        <w:rPr>
          <w:sz w:val="20"/>
          <w:szCs w:val="20"/>
          <w:color w:val="auto"/>
        </w:rPr>
      </w:pPr>
    </w:p>
    <w:p>
      <w:pPr>
        <w:ind w:left="2560"/>
        <w:spacing w:after="0"/>
        <w:rPr>
          <w:sz w:val="20"/>
          <w:szCs w:val="20"/>
          <w:color w:val="auto"/>
        </w:rPr>
      </w:pPr>
      <w:r>
        <w:rPr>
          <w:rFonts w:ascii="Arial" w:cs="Arial" w:eastAsia="Arial" w:hAnsi="Arial"/>
          <w:sz w:val="19"/>
          <w:szCs w:val="19"/>
          <w:color w:val="FFFFFF"/>
        </w:rPr>
        <w:t>OOH media effectively complements social &amp; mobile advertising</w:t>
      </w:r>
    </w:p>
    <w:p>
      <w:pPr>
        <w:spacing w:after="0" w:line="290" w:lineRule="exact"/>
        <w:rPr>
          <w:sz w:val="20"/>
          <w:szCs w:val="20"/>
          <w:color w:val="auto"/>
        </w:rPr>
      </w:pPr>
    </w:p>
    <w:p>
      <w:pPr>
        <w:ind w:left="2560" w:right="160"/>
        <w:spacing w:after="0" w:line="321" w:lineRule="auto"/>
        <w:rPr>
          <w:sz w:val="20"/>
          <w:szCs w:val="20"/>
          <w:color w:val="auto"/>
        </w:rPr>
      </w:pPr>
      <w:r>
        <w:rPr>
          <w:rFonts w:ascii="Arial" w:cs="Arial" w:eastAsia="Arial" w:hAnsi="Arial"/>
          <w:sz w:val="19"/>
          <w:szCs w:val="19"/>
          <w:color w:val="FFFFFF"/>
        </w:rPr>
        <w:t>Flexible business model allows Lamar to reduce maintenance capex to protect AFFO in economic downturns</w:t>
      </w:r>
    </w:p>
    <w:p>
      <w:pPr>
        <w:spacing w:after="0" w:line="202" w:lineRule="exact"/>
        <w:rPr>
          <w:sz w:val="20"/>
          <w:szCs w:val="20"/>
          <w:color w:val="auto"/>
        </w:rPr>
      </w:pPr>
    </w:p>
    <w:p>
      <w:pPr>
        <w:ind w:left="2560"/>
        <w:spacing w:after="0"/>
        <w:rPr>
          <w:sz w:val="20"/>
          <w:szCs w:val="20"/>
          <w:color w:val="auto"/>
        </w:rPr>
      </w:pPr>
      <w:r>
        <w:rPr>
          <w:rFonts w:ascii="Arial" w:cs="Arial" w:eastAsia="Arial" w:hAnsi="Arial"/>
          <w:sz w:val="19"/>
          <w:szCs w:val="19"/>
          <w:color w:val="FFFFFF"/>
        </w:rPr>
        <w:t>Strong balance sheet with no near-term maturities; long &amp; low fixed-rate profile</w:t>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19"/>
          <w:szCs w:val="19"/>
          <w:color w:val="FFFFFF"/>
        </w:rPr>
        <w:t>Potential to expand market share through AFFO-accretive acquisitions</w:t>
      </w:r>
    </w:p>
    <w:p>
      <w:pPr>
        <w:spacing w:after="0" w:line="290" w:lineRule="exact"/>
        <w:rPr>
          <w:sz w:val="20"/>
          <w:szCs w:val="20"/>
          <w:color w:val="auto"/>
        </w:rPr>
      </w:pPr>
    </w:p>
    <w:p>
      <w:pPr>
        <w:ind w:left="2560" w:right="440"/>
        <w:spacing w:after="0" w:line="321" w:lineRule="auto"/>
        <w:rPr>
          <w:sz w:val="20"/>
          <w:szCs w:val="20"/>
          <w:color w:val="auto"/>
        </w:rPr>
      </w:pPr>
      <w:r>
        <w:rPr>
          <w:rFonts w:ascii="Arial" w:cs="Arial" w:eastAsia="Arial" w:hAnsi="Arial"/>
          <w:sz w:val="19"/>
          <w:szCs w:val="19"/>
          <w:color w:val="FFFFFF"/>
        </w:rPr>
        <w:t>Experienced, goal-oriented management team with disciplined approach to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420"/>
          </w:cols>
          <w:pgMar w:left="1240" w:top="1061" w:right="1239" w:bottom="1440" w:gutter="0" w:footer="0" w:header="0"/>
        </w:sectPr>
      </w:pPr>
    </w:p>
    <w:bookmarkStart w:id="7" w:name="page8"/>
    <w:bookmarkEnd w:id="7"/>
    <w:p>
      <w:pPr>
        <w:ind w:right="60"/>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Expansive national footprint with approximately 145,000 billboards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Puerto Rico</w:t>
      </w:r>
    </w:p>
    <w:p>
      <w:pPr>
        <w:sectPr>
          <w:pgSz w:w="11900" w:h="16838" w:orient="portrait"/>
          <w:cols w:equalWidth="0" w:num="2">
            <w:col w:w="7880" w:space="720"/>
            <w:col w:w="760"/>
          </w:cols>
          <w:pgMar w:left="1220" w:top="671" w:right="1319" w:bottom="1440" w:gutter="0" w:footer="0" w:header="0"/>
        </w:sectPr>
      </w:pPr>
    </w:p>
    <w:bookmarkStart w:id="8" w:name="page9"/>
    <w:bookmarkEnd w:id="8"/>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Largest provider of logo signs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Operates nearly 89% of privatized state logo contracts covering over 128,000 displays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20"/>
          </w:cols>
          <w:pgMar w:left="1240" w:top="1061" w:right="1139" w:bottom="1440" w:gutter="0" w:footer="0" w:header="0"/>
        </w:sectPr>
      </w:pPr>
    </w:p>
    <w:bookmarkStart w:id="9" w:name="page10"/>
    <w:bookmarkEnd w:id="9"/>
    <w:p>
      <w:pPr>
        <w:ind w:left="200" w:right="519"/>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Lamar maintains a leading share of the U.S. outdoor advertising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700" w:type="dxa"/>
        <w:tblCellMar>
          <w:top w:w="0" w:type="dxa"/>
          <w:left w:w="0" w:type="dxa"/>
          <w:bottom w:w="0" w:type="dxa"/>
          <w:right w:w="0" w:type="dxa"/>
        </w:tblCellMar>
      </w:tblPr>
      <w:tr>
        <w:trPr>
          <w:trHeight w:val="423"/>
        </w:trPr>
        <w:tc>
          <w:tcPr>
            <w:tcW w:w="2180" w:type="dxa"/>
            <w:vAlign w:val="bottom"/>
          </w:tcPr>
          <w:p>
            <w:pPr>
              <w:jc w:val="center"/>
              <w:ind w:right="1197"/>
              <w:spacing w:after="0"/>
              <w:rPr>
                <w:sz w:val="20"/>
                <w:szCs w:val="20"/>
                <w:color w:val="auto"/>
              </w:rPr>
            </w:pPr>
            <w:r>
              <w:rPr>
                <w:rFonts w:ascii="Arial" w:cs="Arial" w:eastAsia="Arial" w:hAnsi="Arial"/>
                <w:sz w:val="33"/>
                <w:szCs w:val="33"/>
                <w:color w:val="auto"/>
                <w:w w:val="99"/>
              </w:rPr>
              <w:t>Other</w:t>
            </w:r>
          </w:p>
        </w:tc>
        <w:tc>
          <w:tcPr>
            <w:tcW w:w="2040" w:type="dxa"/>
            <w:vAlign w:val="bottom"/>
          </w:tcPr>
          <w:p>
            <w:pPr>
              <w:jc w:val="right"/>
              <w:spacing w:after="0"/>
              <w:rPr>
                <w:sz w:val="20"/>
                <w:szCs w:val="20"/>
                <w:color w:val="auto"/>
              </w:rPr>
            </w:pPr>
            <w:r>
              <w:rPr>
                <w:rFonts w:ascii="Arial" w:cs="Arial" w:eastAsia="Arial" w:hAnsi="Arial"/>
                <w:sz w:val="33"/>
                <w:szCs w:val="33"/>
                <w:color w:val="auto"/>
              </w:rPr>
              <w:t>18%</w:t>
            </w:r>
          </w:p>
        </w:tc>
      </w:tr>
      <w:tr>
        <w:trPr>
          <w:trHeight w:val="394"/>
        </w:trPr>
        <w:tc>
          <w:tcPr>
            <w:tcW w:w="2180" w:type="dxa"/>
            <w:vAlign w:val="bottom"/>
          </w:tcPr>
          <w:p>
            <w:pPr>
              <w:jc w:val="right"/>
              <w:ind w:right="1297"/>
              <w:spacing w:after="0"/>
              <w:rPr>
                <w:sz w:val="20"/>
                <w:szCs w:val="20"/>
                <w:color w:val="auto"/>
              </w:rPr>
            </w:pPr>
            <w:r>
              <w:rPr>
                <w:rFonts w:ascii="Arial" w:cs="Arial" w:eastAsia="Arial" w:hAnsi="Arial"/>
                <w:sz w:val="33"/>
                <w:szCs w:val="33"/>
                <w:color w:val="auto"/>
              </w:rPr>
              <w:t>47%</w:t>
            </w: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439"/>
        <w:spacing w:after="0"/>
        <w:rPr>
          <w:sz w:val="20"/>
          <w:szCs w:val="20"/>
          <w:color w:val="auto"/>
        </w:rPr>
      </w:pPr>
      <w:r>
        <w:rPr>
          <w:rFonts w:ascii="Arial" w:cs="Arial" w:eastAsia="Arial" w:hAnsi="Arial"/>
          <w:sz w:val="23"/>
          <w:szCs w:val="23"/>
          <w:color w:val="FFFFFF"/>
        </w:rPr>
        <w:t>~$2bn in high-quality,</w:t>
      </w:r>
    </w:p>
    <w:p>
      <w:pPr>
        <w:jc w:val="center"/>
        <w:ind w:right="6439"/>
        <w:spacing w:after="0" w:line="218" w:lineRule="auto"/>
        <w:rPr>
          <w:sz w:val="20"/>
          <w:szCs w:val="20"/>
          <w:color w:val="auto"/>
        </w:rPr>
      </w:pPr>
      <w:r>
        <w:rPr>
          <w:rFonts w:ascii="Arial" w:cs="Arial" w:eastAsia="Arial" w:hAnsi="Arial"/>
          <w:sz w:val="23"/>
          <w:szCs w:val="23"/>
          <w:color w:val="FFFFFF"/>
        </w:rPr>
        <w:t>REIT-eligible billboard assets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33"/>
          <w:szCs w:val="33"/>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80"/>
        <w:spacing w:after="0"/>
        <w:rPr>
          <w:sz w:val="20"/>
          <w:szCs w:val="20"/>
          <w:color w:val="auto"/>
        </w:rPr>
      </w:pPr>
      <w:r>
        <w:rPr>
          <w:rFonts w:ascii="Arial" w:cs="Arial" w:eastAsia="Arial" w:hAnsi="Arial"/>
          <w:sz w:val="33"/>
          <w:szCs w:val="33"/>
          <w:color w:val="auto"/>
        </w:rPr>
        <w:t>16%</w:t>
      </w:r>
    </w:p>
    <w:p>
      <w:pPr>
        <w:spacing w:after="0" w:line="247"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FFFFFF"/>
        </w:rPr>
        <w:t>Potential acquisitions could expand market share and increase AFFO</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Source: Company filings; Outdoor Advertising Association of America</w:t>
      </w:r>
    </w:p>
    <w:p>
      <w:pPr>
        <w:ind w:left="280" w:right="119" w:hanging="96"/>
        <w:spacing w:after="0" w:line="253" w:lineRule="auto"/>
        <w:rPr>
          <w:sz w:val="20"/>
          <w:szCs w:val="20"/>
          <w:color w:val="auto"/>
        </w:rPr>
      </w:pPr>
      <w:r>
        <w:rPr>
          <w:rFonts w:ascii="Arial" w:cs="Arial" w:eastAsia="Arial" w:hAnsi="Arial"/>
          <w:sz w:val="15"/>
          <w:szCs w:val="15"/>
          <w:color w:val="auto"/>
        </w:rPr>
        <w:t>Note: Market share based on Lamar, CBS Outdoor and Clear Channel Outdoor domestic revenue as a percentage of 2013 out of home media spending</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419"/>
          </w:cols>
          <w:pgMar w:left="1040" w:top="671" w:right="1440" w:bottom="1440" w:gutter="0" w:footer="0" w:header="0"/>
        </w:sectPr>
      </w:pPr>
    </w:p>
    <w:bookmarkStart w:id="10" w:name="page11"/>
    <w:bookmarkEnd w:id="10"/>
    <w:p>
      <w:pPr>
        <w:ind w:right="360"/>
        <w:spacing w:after="0" w:line="266" w:lineRule="auto"/>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Out-of-home regulations provide high barriers to entry</w:t>
      </w: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Arial" w:cs="Arial" w:eastAsia="Arial" w:hAnsi="Arial"/>
          <w:sz w:val="25"/>
          <w:szCs w:val="25"/>
          <w:color w:val="auto"/>
        </w:rPr>
        <w:t>Lamar typically owns permits that allow OOH advertising at each location</w:t>
      </w:r>
    </w:p>
    <w:p>
      <w:pPr>
        <w:spacing w:after="0" w:line="233" w:lineRule="exact"/>
        <w:rPr>
          <w:sz w:val="20"/>
          <w:szCs w:val="20"/>
          <w:color w:val="auto"/>
        </w:rPr>
      </w:pPr>
    </w:p>
    <w:p>
      <w:pPr>
        <w:ind w:left="520" w:right="240" w:hanging="218"/>
        <w:spacing w:after="0" w:line="298" w:lineRule="auto"/>
        <w:rPr>
          <w:sz w:val="20"/>
          <w:szCs w:val="20"/>
          <w:color w:val="auto"/>
        </w:rPr>
      </w:pPr>
      <w:r>
        <w:rPr>
          <w:rFonts w:ascii="Arial" w:cs="Arial" w:eastAsia="Arial" w:hAnsi="Arial"/>
          <w:sz w:val="25"/>
          <w:szCs w:val="25"/>
          <w:color w:val="auto"/>
        </w:rPr>
        <w:t>– Control of permit protects current inventory and prevents encroachment from other players in local and national markets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25"/>
          <w:szCs w:val="25"/>
          <w:color w:val="auto"/>
        </w:rPr>
        <w:t>– Permits are the most valuable assets typically obtained in an acquisition</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5"/>
          <w:szCs w:val="25"/>
          <w:color w:val="auto"/>
        </w:rPr>
        <w:t>– Lamar's permits have been collected over the course of its 110+ year history</w:t>
      </w:r>
    </w:p>
    <w:p>
      <w:pPr>
        <w:spacing w:after="0" w:line="305" w:lineRule="exact"/>
        <w:rPr>
          <w:sz w:val="20"/>
          <w:szCs w:val="20"/>
          <w:color w:val="auto"/>
        </w:rPr>
      </w:pPr>
    </w:p>
    <w:p>
      <w:pPr>
        <w:ind w:left="300"/>
        <w:spacing w:after="0" w:line="298" w:lineRule="auto"/>
        <w:rPr>
          <w:sz w:val="20"/>
          <w:szCs w:val="20"/>
          <w:color w:val="auto"/>
        </w:rPr>
      </w:pPr>
      <w:r>
        <w:rPr>
          <w:rFonts w:ascii="Arial" w:cs="Arial" w:eastAsia="Arial" w:hAnsi="Arial"/>
          <w:sz w:val="25"/>
          <w:szCs w:val="25"/>
          <w:color w:val="auto"/>
        </w:rPr>
        <w:t>Federal, state and local regulations help Lamar maintain leading share within its markets and provide high barriers to entry for new entrants</w:t>
      </w:r>
    </w:p>
    <w:p>
      <w:pPr>
        <w:spacing w:after="0" w:line="133" w:lineRule="exact"/>
        <w:rPr>
          <w:sz w:val="20"/>
          <w:szCs w:val="20"/>
          <w:color w:val="auto"/>
        </w:rPr>
      </w:pPr>
    </w:p>
    <w:p>
      <w:pPr>
        <w:ind w:left="520" w:right="60" w:hanging="218"/>
        <w:spacing w:after="0" w:line="308" w:lineRule="auto"/>
        <w:rPr>
          <w:sz w:val="20"/>
          <w:szCs w:val="20"/>
          <w:color w:val="auto"/>
        </w:rPr>
      </w:pPr>
      <w:r>
        <w:rPr>
          <w:rFonts w:ascii="Arial" w:cs="Arial" w:eastAsia="Arial" w:hAnsi="Arial"/>
          <w:sz w:val="25"/>
          <w:szCs w:val="25"/>
          <w:color w:val="auto"/>
        </w:rPr>
        <w:t>– Rules govern where and how billboards may be built (i.e. typically cannot build new billboard within a certain distance of existing structures)</w:t>
      </w:r>
    </w:p>
    <w:p>
      <w:pPr>
        <w:spacing w:after="0" w:line="121" w:lineRule="exact"/>
        <w:rPr>
          <w:sz w:val="20"/>
          <w:szCs w:val="20"/>
          <w:color w:val="auto"/>
        </w:rPr>
      </w:pPr>
    </w:p>
    <w:p>
      <w:pPr>
        <w:ind w:left="520" w:right="160" w:hanging="218"/>
        <w:spacing w:after="0" w:line="298" w:lineRule="auto"/>
        <w:rPr>
          <w:sz w:val="20"/>
          <w:szCs w:val="20"/>
          <w:color w:val="auto"/>
        </w:rPr>
      </w:pPr>
      <w:r>
        <w:rPr>
          <w:rFonts w:ascii="Arial" w:cs="Arial" w:eastAsia="Arial" w:hAnsi="Arial"/>
          <w:sz w:val="25"/>
          <w:szCs w:val="25"/>
          <w:color w:val="auto"/>
        </w:rPr>
        <w:t>– Many existing structures have been grandfathered in and cannot be rebuilt by another operator without obtaining zoning variance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380"/>
          </w:cols>
          <w:pgMar w:left="1240" w:top="553" w:right="1279" w:bottom="1440" w:gutter="0" w:footer="0" w:header="0"/>
        </w:sectPr>
      </w:pPr>
    </w:p>
    <w:bookmarkStart w:id="11" w:name="page12"/>
    <w:bookmarkEnd w:id="11"/>
    <w:p>
      <w:pPr>
        <w:ind w:right="140"/>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No advertising tenant accounts for more than 1% of total revenue</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FFFFFF"/>
        </w:rPr>
        <w:t>Net advertising revenue breakdown</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FY 2007</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FY 2008</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FY 2009</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FY 2010</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FY 2011</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FY 2012</w:t>
            </w:r>
          </w:p>
        </w:tc>
        <w:tc>
          <w:tcPr>
            <w:tcW w:w="880" w:type="dxa"/>
            <w:vAlign w:val="bottom"/>
          </w:tcPr>
          <w:p>
            <w:pPr>
              <w:jc w:val="right"/>
              <w:spacing w:after="0"/>
              <w:rPr>
                <w:sz w:val="20"/>
                <w:szCs w:val="20"/>
                <w:color w:val="auto"/>
              </w:rPr>
            </w:pPr>
            <w:r>
              <w:rPr>
                <w:rFonts w:ascii="Arial" w:cs="Arial" w:eastAsia="Arial" w:hAnsi="Arial"/>
                <w:sz w:val="16"/>
                <w:szCs w:val="16"/>
                <w:color w:val="auto"/>
              </w:rPr>
              <w:t>FY 2013</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Restaurants</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12%</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12%</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13%</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Retailers</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11%</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1540" w:type="dxa"/>
            <w:vAlign w:val="bottom"/>
          </w:tcPr>
          <w:p>
            <w:pPr>
              <w:spacing w:after="0"/>
              <w:rPr>
                <w:sz w:val="20"/>
                <w:szCs w:val="20"/>
                <w:color w:val="auto"/>
              </w:rPr>
            </w:pPr>
            <w:r>
              <w:rPr>
                <w:rFonts w:ascii="Arial" w:cs="Arial" w:eastAsia="Arial" w:hAnsi="Arial"/>
                <w:sz w:val="16"/>
                <w:szCs w:val="16"/>
                <w:color w:val="auto"/>
              </w:rPr>
              <w:t>Healthcare</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7%</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8%</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9%</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9%</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Service</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8%</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8%</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Amusement</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1540" w:type="dxa"/>
            <w:vAlign w:val="bottom"/>
          </w:tcPr>
          <w:p>
            <w:pPr>
              <w:spacing w:after="0"/>
              <w:rPr>
                <w:sz w:val="20"/>
                <w:szCs w:val="20"/>
                <w:color w:val="auto"/>
              </w:rPr>
            </w:pPr>
            <w:r>
              <w:rPr>
                <w:rFonts w:ascii="Arial" w:cs="Arial" w:eastAsia="Arial" w:hAnsi="Arial"/>
                <w:sz w:val="16"/>
                <w:szCs w:val="16"/>
                <w:color w:val="auto"/>
              </w:rPr>
              <w:t>Automotive</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9%</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7%</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Gaming</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Financial</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1540" w:type="dxa"/>
            <w:vAlign w:val="bottom"/>
          </w:tcPr>
          <w:p>
            <w:pPr>
              <w:spacing w:after="0"/>
              <w:rPr>
                <w:sz w:val="20"/>
                <w:szCs w:val="20"/>
                <w:color w:val="auto"/>
              </w:rPr>
            </w:pPr>
            <w:r>
              <w:rPr>
                <w:rFonts w:ascii="Arial" w:cs="Arial" w:eastAsia="Arial" w:hAnsi="Arial"/>
                <w:sz w:val="16"/>
                <w:szCs w:val="16"/>
                <w:color w:val="auto"/>
              </w:rPr>
              <w:t>Telecom</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4%</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Hotels &amp; Motels</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4%</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8"/>
        </w:trPr>
        <w:tc>
          <w:tcPr>
            <w:tcW w:w="1540" w:type="dxa"/>
            <w:vAlign w:val="bottom"/>
          </w:tcPr>
          <w:p>
            <w:pPr>
              <w:spacing w:after="0"/>
              <w:rPr>
                <w:sz w:val="20"/>
                <w:szCs w:val="20"/>
                <w:color w:val="auto"/>
              </w:rPr>
            </w:pPr>
            <w:r>
              <w:rPr>
                <w:rFonts w:ascii="Arial" w:cs="Arial" w:eastAsia="Arial" w:hAnsi="Arial"/>
                <w:sz w:val="16"/>
                <w:szCs w:val="16"/>
                <w:color w:val="auto"/>
              </w:rPr>
              <w:t>Education</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4%</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1540" w:type="dxa"/>
            <w:vAlign w:val="bottom"/>
          </w:tcPr>
          <w:p>
            <w:pPr>
              <w:spacing w:after="0"/>
              <w:rPr>
                <w:sz w:val="20"/>
                <w:szCs w:val="20"/>
                <w:color w:val="auto"/>
              </w:rPr>
            </w:pPr>
            <w:r>
              <w:rPr>
                <w:rFonts w:ascii="Arial" w:cs="Arial" w:eastAsia="Arial" w:hAnsi="Arial"/>
                <w:sz w:val="16"/>
                <w:szCs w:val="16"/>
                <w:color w:val="auto"/>
              </w:rPr>
              <w:t>Real Estate</w:t>
            </w:r>
          </w:p>
        </w:tc>
        <w:tc>
          <w:tcPr>
            <w:tcW w:w="1300" w:type="dxa"/>
            <w:vAlign w:val="bottom"/>
          </w:tcPr>
          <w:p>
            <w:pPr>
              <w:jc w:val="right"/>
              <w:ind w:right="201"/>
              <w:spacing w:after="0"/>
              <w:rPr>
                <w:sz w:val="20"/>
                <w:szCs w:val="20"/>
                <w:color w:val="auto"/>
              </w:rPr>
            </w:pPr>
            <w:r>
              <w:rPr>
                <w:rFonts w:ascii="Arial" w:cs="Arial" w:eastAsia="Arial" w:hAnsi="Arial"/>
                <w:sz w:val="16"/>
                <w:szCs w:val="16"/>
                <w:color w:val="auto"/>
              </w:rPr>
              <w:t>9%</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72%</w:t>
            </w: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68%</w:t>
            </w:r>
          </w:p>
        </w:tc>
        <w:tc>
          <w:tcPr>
            <w:tcW w:w="1160" w:type="dxa"/>
            <w:vAlign w:val="bottom"/>
          </w:tcPr>
          <w:p>
            <w:pPr>
              <w:jc w:val="right"/>
              <w:ind w:right="201"/>
              <w:spacing w:after="0"/>
              <w:rPr>
                <w:sz w:val="20"/>
                <w:szCs w:val="20"/>
                <w:color w:val="auto"/>
              </w:rPr>
            </w:pPr>
            <w:r>
              <w:rPr>
                <w:rFonts w:ascii="Arial" w:cs="Arial" w:eastAsia="Arial" w:hAnsi="Arial"/>
                <w:sz w:val="16"/>
                <w:szCs w:val="16"/>
                <w:b w:val="1"/>
                <w:bCs w:val="1"/>
                <w:color w:val="auto"/>
              </w:rPr>
              <w:t>70%</w:t>
            </w: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71%</w:t>
            </w:r>
          </w:p>
        </w:tc>
        <w:tc>
          <w:tcPr>
            <w:tcW w:w="1160" w:type="dxa"/>
            <w:vAlign w:val="bottom"/>
          </w:tcPr>
          <w:p>
            <w:pPr>
              <w:jc w:val="right"/>
              <w:ind w:right="201"/>
              <w:spacing w:after="0"/>
              <w:rPr>
                <w:sz w:val="20"/>
                <w:szCs w:val="20"/>
                <w:color w:val="auto"/>
              </w:rPr>
            </w:pPr>
            <w:r>
              <w:rPr>
                <w:rFonts w:ascii="Arial" w:cs="Arial" w:eastAsia="Arial" w:hAnsi="Arial"/>
                <w:sz w:val="16"/>
                <w:szCs w:val="16"/>
                <w:b w:val="1"/>
                <w:bCs w:val="1"/>
                <w:color w:val="auto"/>
              </w:rPr>
              <w:t>73%</w:t>
            </w:r>
          </w:p>
        </w:tc>
        <w:tc>
          <w:tcPr>
            <w:tcW w:w="1140" w:type="dxa"/>
            <w:vAlign w:val="bottom"/>
          </w:tcPr>
          <w:p>
            <w:pPr>
              <w:jc w:val="right"/>
              <w:ind w:right="181"/>
              <w:spacing w:after="0"/>
              <w:rPr>
                <w:sz w:val="20"/>
                <w:szCs w:val="20"/>
                <w:color w:val="auto"/>
              </w:rPr>
            </w:pPr>
            <w:r>
              <w:rPr>
                <w:rFonts w:ascii="Arial" w:cs="Arial" w:eastAsia="Arial" w:hAnsi="Arial"/>
                <w:sz w:val="16"/>
                <w:szCs w:val="16"/>
                <w:b w:val="1"/>
                <w:bCs w:val="1"/>
                <w:color w:val="auto"/>
              </w:rPr>
              <w:t>74%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72%</w:t>
            </w: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FFFFFF"/>
        </w:rPr>
        <w:t>Top 10 tenants (2013)</w:t>
      </w: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Long-standing relationships with many of our</w:t>
      </w:r>
    </w:p>
    <w:p>
      <w:pPr>
        <w:spacing w:after="0" w:line="60"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tenants</w:t>
      </w:r>
    </w:p>
    <w:p>
      <w:pPr>
        <w:spacing w:after="0" w:line="31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Contracts range from 30 days to 1 year</w:t>
      </w:r>
    </w:p>
    <w:p>
      <w:pPr>
        <w:spacing w:after="0" w:line="31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“One-stop-shopping” capabilities with billboard</w:t>
      </w:r>
    </w:p>
    <w:p>
      <w:pPr>
        <w:spacing w:after="0" w:line="60"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and transit products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00"/>
          </w:cols>
          <w:pgMar w:left="1240" w:top="671" w:right="1159" w:bottom="1440" w:gutter="0" w:footer="0" w:header="0"/>
        </w:sectPr>
      </w:pPr>
    </w:p>
    <w:bookmarkStart w:id="12" w:name="page13"/>
    <w:bookmarkEnd w:id="12"/>
    <w:p>
      <w:pPr>
        <w:ind w:left="100"/>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Diversified underlying real-estate portfolio</w:t>
      </w:r>
    </w:p>
    <w:p>
      <w:pPr>
        <w:sectPr>
          <w:pgSz w:w="11900" w:h="16838" w:orient="portrait"/>
          <w:cols w:equalWidth="0" w:num="1">
            <w:col w:w="9660"/>
          </w:cols>
          <w:pgMar w:left="1140" w:top="106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00"/>
        <w:spacing w:after="0" w:line="267" w:lineRule="auto"/>
        <w:rPr>
          <w:sz w:val="20"/>
          <w:szCs w:val="20"/>
          <w:color w:val="auto"/>
        </w:rPr>
      </w:pPr>
      <w:r>
        <w:rPr>
          <w:rFonts w:ascii="Arial" w:cs="Arial" w:eastAsia="Arial" w:hAnsi="Arial"/>
          <w:sz w:val="19"/>
          <w:szCs w:val="19"/>
          <w:color w:val="auto"/>
        </w:rPr>
        <w:t>18% of billboard revenue generated on structures on Lamar-owned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60"/>
        <w:spacing w:after="0" w:line="267" w:lineRule="auto"/>
        <w:rPr>
          <w:sz w:val="20"/>
          <w:szCs w:val="20"/>
          <w:color w:val="auto"/>
        </w:rPr>
      </w:pPr>
      <w:r>
        <w:rPr>
          <w:rFonts w:ascii="Arial" w:cs="Arial" w:eastAsia="Arial" w:hAnsi="Arial"/>
          <w:sz w:val="19"/>
          <w:szCs w:val="19"/>
          <w:color w:val="auto"/>
        </w:rPr>
        <w:t>82% of billboard revenue from structures on property leased from 60,000 lessors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301" w:lineRule="auto"/>
        <w:rPr>
          <w:sz w:val="20"/>
          <w:szCs w:val="20"/>
          <w:color w:val="auto"/>
        </w:rPr>
      </w:pPr>
      <w:r>
        <w:rPr>
          <w:rFonts w:ascii="Arial" w:cs="Arial" w:eastAsia="Arial" w:hAnsi="Arial"/>
          <w:sz w:val="23"/>
          <w:szCs w:val="23"/>
          <w:color w:val="auto"/>
        </w:rPr>
        <w:t>Lamar has opportunistically purchased easements beneath key locations, including many digital structures</w:t>
      </w:r>
    </w:p>
    <w:p>
      <w:pPr>
        <w:spacing w:after="0" w:line="324" w:lineRule="exact"/>
        <w:rPr>
          <w:sz w:val="20"/>
          <w:szCs w:val="20"/>
          <w:color w:val="auto"/>
        </w:rPr>
      </w:pPr>
    </w:p>
    <w:p>
      <w:pPr>
        <w:spacing w:after="0" w:line="306" w:lineRule="auto"/>
        <w:rPr>
          <w:sz w:val="20"/>
          <w:szCs w:val="20"/>
          <w:color w:val="auto"/>
        </w:rPr>
      </w:pPr>
      <w:r>
        <w:rPr>
          <w:rFonts w:ascii="Arial" w:cs="Arial" w:eastAsia="Arial" w:hAnsi="Arial"/>
          <w:sz w:val="23"/>
          <w:szCs w:val="23"/>
          <w:color w:val="auto"/>
        </w:rPr>
        <w:t>Diversification and regulatory regime help preserve footprint and limit inflation in lease expense</w:t>
      </w:r>
    </w:p>
    <w:p>
      <w:pPr>
        <w:spacing w:after="0" w:line="318" w:lineRule="exact"/>
        <w:rPr>
          <w:sz w:val="20"/>
          <w:szCs w:val="20"/>
          <w:color w:val="auto"/>
        </w:rPr>
      </w:pPr>
    </w:p>
    <w:p>
      <w:pPr>
        <w:ind w:right="440"/>
        <w:spacing w:after="0" w:line="306" w:lineRule="auto"/>
        <w:rPr>
          <w:sz w:val="20"/>
          <w:szCs w:val="20"/>
          <w:color w:val="auto"/>
        </w:rPr>
      </w:pPr>
      <w:r>
        <w:rPr>
          <w:rFonts w:ascii="Arial" w:cs="Arial" w:eastAsia="Arial" w:hAnsi="Arial"/>
          <w:sz w:val="23"/>
          <w:szCs w:val="23"/>
          <w:color w:val="auto"/>
        </w:rPr>
        <w:t>Lamar owns approximately 10% of its billboard locations</w:t>
      </w:r>
    </w:p>
    <w:p>
      <w:pPr>
        <w:spacing w:after="0" w:line="493" w:lineRule="exact"/>
        <w:rPr>
          <w:sz w:val="20"/>
          <w:szCs w:val="20"/>
          <w:color w:val="auto"/>
        </w:rPr>
      </w:pPr>
    </w:p>
    <w:p>
      <w:pPr>
        <w:sectPr>
          <w:pgSz w:w="11900" w:h="16838" w:orient="portrait"/>
          <w:cols w:equalWidth="0" w:num="2">
            <w:col w:w="3740" w:space="720"/>
            <w:col w:w="5200"/>
          </w:cols>
          <w:pgMar w:left="1140" w:top="106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660"/>
          </w:cols>
          <w:pgMar w:left="1140" w:top="1061" w:right="1099" w:bottom="1440" w:gutter="0" w:footer="0" w:header="0"/>
          <w:type w:val="continuous"/>
        </w:sectPr>
      </w:pPr>
    </w:p>
    <w:bookmarkStart w:id="13" w:name="page14"/>
    <w:bookmarkEnd w:id="13"/>
    <w:p>
      <w:pPr>
        <w:ind w:left="20" w:right="280"/>
        <w:spacing w:after="0" w:line="266" w:lineRule="auto"/>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Focus on local advertising spending differentiates Lamar</w:t>
      </w:r>
    </w:p>
    <w:p>
      <w:pPr>
        <w:sectPr>
          <w:pgSz w:w="11900" w:h="16838" w:orient="portrait"/>
          <w:cols w:equalWidth="0" w:num="1">
            <w:col w:w="9560"/>
          </w:cols>
          <w:pgMar w:left="1220" w:top="553" w:right="111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3460" w:type="dxa"/>
            <w:vAlign w:val="bottom"/>
          </w:tcPr>
          <w:p>
            <w:pPr>
              <w:spacing w:after="0"/>
              <w:rPr>
                <w:sz w:val="20"/>
                <w:szCs w:val="20"/>
                <w:color w:val="auto"/>
              </w:rPr>
            </w:pPr>
            <w:r>
              <w:rPr>
                <w:rFonts w:ascii="Arial" w:cs="Arial" w:eastAsia="Arial" w:hAnsi="Arial"/>
                <w:sz w:val="19"/>
                <w:szCs w:val="19"/>
                <w:b w:val="1"/>
                <w:bCs w:val="1"/>
                <w:color w:val="FFFFFF"/>
              </w:rPr>
              <w:t>Local focus</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3460" w:type="dxa"/>
            <w:vAlign w:val="bottom"/>
          </w:tcPr>
          <w:p>
            <w:pPr>
              <w:ind w:left="220"/>
              <w:spacing w:after="0"/>
              <w:rPr>
                <w:sz w:val="20"/>
                <w:szCs w:val="20"/>
                <w:color w:val="auto"/>
              </w:rPr>
            </w:pPr>
            <w:r>
              <w:rPr>
                <w:rFonts w:ascii="Arial" w:cs="Arial" w:eastAsia="Arial" w:hAnsi="Arial"/>
                <w:sz w:val="23"/>
                <w:szCs w:val="23"/>
                <w:color w:val="auto"/>
              </w:rPr>
              <w:t>Local demand less influenced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60" w:type="dxa"/>
            <w:vAlign w:val="bottom"/>
          </w:tcPr>
          <w:p>
            <w:pPr>
              <w:ind w:left="220"/>
              <w:spacing w:after="0"/>
              <w:rPr>
                <w:sz w:val="20"/>
                <w:szCs w:val="20"/>
                <w:color w:val="auto"/>
              </w:rPr>
            </w:pPr>
            <w:r>
              <w:rPr>
                <w:rFonts w:ascii="Arial" w:cs="Arial" w:eastAsia="Arial" w:hAnsi="Arial"/>
                <w:sz w:val="23"/>
                <w:szCs w:val="23"/>
                <w:color w:val="auto"/>
              </w:rPr>
              <w:t>by economic swings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460" w:type="dxa"/>
            <w:vAlign w:val="bottom"/>
          </w:tcPr>
          <w:p>
            <w:pPr>
              <w:ind w:left="220"/>
              <w:spacing w:after="0"/>
              <w:rPr>
                <w:sz w:val="20"/>
                <w:szCs w:val="20"/>
                <w:color w:val="auto"/>
              </w:rPr>
            </w:pPr>
            <w:r>
              <w:rPr>
                <w:rFonts w:ascii="Arial" w:cs="Arial" w:eastAsia="Arial" w:hAnsi="Arial"/>
                <w:sz w:val="23"/>
                <w:szCs w:val="23"/>
                <w:color w:val="auto"/>
              </w:rPr>
              <w:t>Large on-the-ground sales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60" w:type="dxa"/>
            <w:vAlign w:val="bottom"/>
          </w:tcPr>
          <w:p>
            <w:pPr>
              <w:ind w:left="220"/>
              <w:spacing w:after="0"/>
              <w:rPr>
                <w:sz w:val="20"/>
                <w:szCs w:val="20"/>
                <w:color w:val="auto"/>
              </w:rPr>
            </w:pPr>
            <w:r>
              <w:rPr>
                <w:rFonts w:ascii="Arial" w:cs="Arial" w:eastAsia="Arial" w:hAnsi="Arial"/>
                <w:sz w:val="23"/>
                <w:szCs w:val="23"/>
                <w:color w:val="auto"/>
              </w:rPr>
              <w:t>force cultivates strong</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60" w:type="dxa"/>
            <w:vAlign w:val="bottom"/>
          </w:tcPr>
          <w:p>
            <w:pPr>
              <w:ind w:left="220"/>
              <w:spacing w:after="0"/>
              <w:rPr>
                <w:sz w:val="20"/>
                <w:szCs w:val="20"/>
                <w:color w:val="auto"/>
              </w:rPr>
            </w:pPr>
            <w:r>
              <w:rPr>
                <w:rFonts w:ascii="Arial" w:cs="Arial" w:eastAsia="Arial" w:hAnsi="Arial"/>
                <w:sz w:val="23"/>
                <w:szCs w:val="23"/>
                <w:color w:val="auto"/>
              </w:rPr>
              <w:t>relationships with local</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60" w:type="dxa"/>
            <w:vAlign w:val="bottom"/>
          </w:tcPr>
          <w:p>
            <w:pPr>
              <w:ind w:left="220"/>
              <w:spacing w:after="0"/>
              <w:rPr>
                <w:sz w:val="20"/>
                <w:szCs w:val="20"/>
                <w:color w:val="auto"/>
              </w:rPr>
            </w:pPr>
            <w:r>
              <w:rPr>
                <w:rFonts w:ascii="Arial" w:cs="Arial" w:eastAsia="Arial" w:hAnsi="Arial"/>
                <w:sz w:val="23"/>
                <w:szCs w:val="23"/>
                <w:color w:val="auto"/>
              </w:rPr>
              <w:t>decision makers and retailers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460" w:type="dxa"/>
            <w:vAlign w:val="bottom"/>
          </w:tcPr>
          <w:p>
            <w:pPr>
              <w:ind w:left="220"/>
              <w:spacing w:after="0"/>
              <w:rPr>
                <w:sz w:val="20"/>
                <w:szCs w:val="20"/>
                <w:color w:val="auto"/>
              </w:rPr>
            </w:pPr>
            <w:r>
              <w:rPr>
                <w:rFonts w:ascii="Arial" w:cs="Arial" w:eastAsia="Arial" w:hAnsi="Arial"/>
                <w:sz w:val="23"/>
                <w:szCs w:val="23"/>
                <w:color w:val="auto"/>
              </w:rPr>
              <w:t>Lamar’s local revenue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60" w:type="dxa"/>
            <w:vAlign w:val="bottom"/>
          </w:tcPr>
          <w:p>
            <w:pPr>
              <w:ind w:left="220"/>
              <w:spacing w:after="0"/>
              <w:rPr>
                <w:sz w:val="20"/>
                <w:szCs w:val="20"/>
                <w:color w:val="auto"/>
              </w:rPr>
            </w:pPr>
            <w:r>
              <w:rPr>
                <w:rFonts w:ascii="Arial" w:cs="Arial" w:eastAsia="Arial" w:hAnsi="Arial"/>
                <w:sz w:val="23"/>
                <w:szCs w:val="23"/>
                <w:color w:val="auto"/>
              </w:rPr>
              <w:t>generation compares favorably</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60" w:type="dxa"/>
            <w:vAlign w:val="bottom"/>
          </w:tcPr>
          <w:p>
            <w:pPr>
              <w:ind w:left="220"/>
              <w:spacing w:after="0"/>
              <w:rPr>
                <w:sz w:val="20"/>
                <w:szCs w:val="20"/>
                <w:color w:val="auto"/>
              </w:rPr>
            </w:pPr>
            <w:r>
              <w:rPr>
                <w:rFonts w:ascii="Arial" w:cs="Arial" w:eastAsia="Arial" w:hAnsi="Arial"/>
                <w:sz w:val="23"/>
                <w:szCs w:val="23"/>
                <w:color w:val="auto"/>
              </w:rPr>
              <w:t>to industry’s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460" w:type="dxa"/>
            <w:vAlign w:val="bottom"/>
          </w:tcPr>
          <w:p>
            <w:pPr>
              <w:ind w:left="260"/>
              <w:spacing w:after="0"/>
              <w:rPr>
                <w:sz w:val="20"/>
                <w:szCs w:val="20"/>
                <w:color w:val="auto"/>
              </w:rPr>
            </w:pPr>
            <w:r>
              <w:rPr>
                <w:rFonts w:ascii="Arial" w:cs="Arial" w:eastAsia="Arial" w:hAnsi="Arial"/>
                <w:sz w:val="23"/>
                <w:szCs w:val="23"/>
                <w:color w:val="auto"/>
              </w:rPr>
              <w:t>– Clear share leader in vast</w:t>
            </w:r>
          </w:p>
        </w:tc>
        <w:tc>
          <w:tcPr>
            <w:tcW w:w="620" w:type="dxa"/>
            <w:vAlign w:val="bottom"/>
            <w:vMerge w:val="restart"/>
          </w:tcPr>
          <w:p>
            <w:pPr>
              <w:jc w:val="center"/>
              <w:spacing w:after="0"/>
              <w:rPr>
                <w:sz w:val="20"/>
                <w:szCs w:val="20"/>
                <w:color w:val="auto"/>
              </w:rPr>
            </w:pPr>
            <w:r>
              <w:rPr>
                <w:rFonts w:ascii="Arial" w:cs="Arial" w:eastAsia="Arial" w:hAnsi="Arial"/>
                <w:sz w:val="23"/>
                <w:szCs w:val="23"/>
                <w:color w:val="auto"/>
                <w:w w:val="98"/>
              </w:rPr>
              <w:t>Local</w:t>
            </w:r>
          </w:p>
        </w:tc>
        <w:tc>
          <w:tcPr>
            <w:tcW w:w="0" w:type="dxa"/>
            <w:vAlign w:val="bottom"/>
          </w:tcPr>
          <w:p>
            <w:pPr>
              <w:spacing w:after="0"/>
              <w:rPr>
                <w:sz w:val="1"/>
                <w:szCs w:val="1"/>
                <w:color w:val="auto"/>
              </w:rPr>
            </w:pPr>
          </w:p>
        </w:tc>
      </w:tr>
      <w:tr>
        <w:trPr>
          <w:trHeight w:val="85"/>
        </w:trPr>
        <w:tc>
          <w:tcPr>
            <w:tcW w:w="3460" w:type="dxa"/>
            <w:vAlign w:val="bottom"/>
            <w:vMerge w:val="restart"/>
          </w:tcPr>
          <w:p>
            <w:pPr>
              <w:ind w:left="480"/>
              <w:spacing w:after="0"/>
              <w:rPr>
                <w:sz w:val="20"/>
                <w:szCs w:val="20"/>
                <w:color w:val="auto"/>
              </w:rPr>
            </w:pPr>
            <w:r>
              <w:rPr>
                <w:rFonts w:ascii="Arial" w:cs="Arial" w:eastAsia="Arial" w:hAnsi="Arial"/>
                <w:sz w:val="23"/>
                <w:szCs w:val="23"/>
                <w:color w:val="auto"/>
              </w:rPr>
              <w:t>majority of our markets</w:t>
            </w: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460" w:type="dxa"/>
            <w:vAlign w:val="bottom"/>
            <w:vMerge w:val="continue"/>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23"/>
                <w:szCs w:val="23"/>
                <w:color w:val="auto"/>
              </w:rPr>
              <w:t>78%</w:t>
            </w:r>
          </w:p>
        </w:tc>
        <w:tc>
          <w:tcPr>
            <w:tcW w:w="0" w:type="dxa"/>
            <w:vAlign w:val="bottom"/>
          </w:tcPr>
          <w:p>
            <w:pPr>
              <w:spacing w:after="0"/>
              <w:rPr>
                <w:sz w:val="1"/>
                <w:szCs w:val="1"/>
                <w:color w:val="auto"/>
              </w:rPr>
            </w:pPr>
          </w:p>
        </w:tc>
      </w:tr>
      <w:tr>
        <w:trPr>
          <w:trHeight w:val="73"/>
        </w:trPr>
        <w:tc>
          <w:tcPr>
            <w:tcW w:w="34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3460" w:type="dxa"/>
            <w:vAlign w:val="bottom"/>
          </w:tcPr>
          <w:p>
            <w:pPr>
              <w:ind w:left="220"/>
              <w:spacing w:after="0"/>
              <w:rPr>
                <w:sz w:val="20"/>
                <w:szCs w:val="20"/>
                <w:color w:val="auto"/>
              </w:rPr>
            </w:pPr>
            <w:r>
              <w:rPr>
                <w:rFonts w:ascii="Arial" w:cs="Arial" w:eastAsia="Arial" w:hAnsi="Arial"/>
                <w:sz w:val="23"/>
                <w:szCs w:val="23"/>
                <w:color w:val="auto"/>
              </w:rPr>
              <w:t>Yields optimized at local levels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National</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23"/>
          <w:szCs w:val="23"/>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National performance</w:t>
      </w:r>
    </w:p>
    <w:p>
      <w:pPr>
        <w:spacing w:after="0" w:line="317" w:lineRule="exact"/>
        <w:rPr>
          <w:sz w:val="20"/>
          <w:szCs w:val="20"/>
          <w:color w:val="auto"/>
        </w:rPr>
      </w:pPr>
    </w:p>
    <w:p>
      <w:pPr>
        <w:ind w:left="240"/>
        <w:spacing w:after="0" w:line="306" w:lineRule="auto"/>
        <w:rPr>
          <w:sz w:val="20"/>
          <w:szCs w:val="20"/>
          <w:color w:val="auto"/>
        </w:rPr>
      </w:pPr>
      <w:r>
        <w:rPr>
          <w:rFonts w:ascii="Arial" w:cs="Arial" w:eastAsia="Arial" w:hAnsi="Arial"/>
          <w:sz w:val="23"/>
          <w:szCs w:val="23"/>
          <w:color w:val="auto"/>
        </w:rPr>
        <w:t>Diversified, blue chip customer base</w:t>
      </w:r>
    </w:p>
    <w:p>
      <w:pPr>
        <w:spacing w:after="0" w:line="148" w:lineRule="exact"/>
        <w:rPr>
          <w:sz w:val="20"/>
          <w:szCs w:val="20"/>
          <w:color w:val="auto"/>
        </w:rPr>
      </w:pPr>
    </w:p>
    <w:p>
      <w:pPr>
        <w:ind w:left="240" w:right="60"/>
        <w:spacing w:after="0" w:line="313" w:lineRule="auto"/>
        <w:rPr>
          <w:sz w:val="20"/>
          <w:szCs w:val="20"/>
          <w:color w:val="auto"/>
        </w:rPr>
      </w:pPr>
      <w:r>
        <w:rPr>
          <w:rFonts w:ascii="Arial" w:cs="Arial" w:eastAsia="Arial" w:hAnsi="Arial"/>
          <w:sz w:val="22"/>
          <w:szCs w:val="22"/>
          <w:color w:val="auto"/>
        </w:rPr>
        <w:t>Fifty member sales team across nine cities manages relationships with OOH agencies and large customers</w:t>
      </w:r>
    </w:p>
    <w:p>
      <w:pPr>
        <w:spacing w:after="0" w:line="144" w:lineRule="exact"/>
        <w:rPr>
          <w:sz w:val="20"/>
          <w:szCs w:val="20"/>
          <w:color w:val="auto"/>
        </w:rPr>
      </w:pPr>
    </w:p>
    <w:p>
      <w:pPr>
        <w:ind w:left="240" w:right="180"/>
        <w:spacing w:after="0" w:line="315" w:lineRule="auto"/>
        <w:rPr>
          <w:sz w:val="20"/>
          <w:szCs w:val="20"/>
          <w:color w:val="auto"/>
        </w:rPr>
      </w:pPr>
      <w:r>
        <w:rPr>
          <w:rFonts w:ascii="Arial" w:cs="Arial" w:eastAsia="Arial" w:hAnsi="Arial"/>
          <w:sz w:val="22"/>
          <w:szCs w:val="22"/>
          <w:color w:val="auto"/>
        </w:rPr>
        <w:t>Recent acquisitions and greenfield development have bolstered presence in key markets such as Phoenix, Boston and Philadelphia</w:t>
      </w:r>
    </w:p>
    <w:p>
      <w:pPr>
        <w:spacing w:after="0" w:line="727" w:lineRule="exact"/>
        <w:rPr>
          <w:sz w:val="20"/>
          <w:szCs w:val="20"/>
          <w:color w:val="auto"/>
        </w:rPr>
      </w:pPr>
    </w:p>
    <w:p>
      <w:pPr>
        <w:sectPr>
          <w:pgSz w:w="11900" w:h="16838" w:orient="portrait"/>
          <w:cols w:equalWidth="0" w:num="3">
            <w:col w:w="4260" w:space="720"/>
            <w:col w:w="840" w:space="380"/>
            <w:col w:w="3360"/>
          </w:cols>
          <w:pgMar w:left="1220" w:top="553" w:right="1119" w:bottom="1440" w:gutter="0" w:footer="0" w:header="0"/>
          <w:type w:val="continuous"/>
        </w:sectPr>
      </w:pPr>
    </w:p>
    <w:p>
      <w:pPr>
        <w:spacing w:after="0" w:line="8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FFFFFF"/>
        </w:rPr>
        <w:t>Lamar is the leading out of home provider in the vast majority of its markets</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Note: As of December 31, 2013</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60"/>
          </w:cols>
          <w:pgMar w:left="1220" w:top="553" w:right="1119" w:bottom="1440" w:gutter="0" w:footer="0" w:header="0"/>
          <w:type w:val="continuous"/>
        </w:sectPr>
      </w:pPr>
    </w:p>
    <w:bookmarkStart w:id="14" w:name="page15"/>
    <w:bookmarkEnd w:id="14"/>
    <w:p>
      <w:pPr>
        <w:ind w:left="20" w:right="2540"/>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Outdoor remains a low cost, wide reaching advertising medium</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FFFFFF"/>
        </w:rPr>
        <w:t>Relative average cost to reach 1,000 adults between ages 25 and 54 (CPM)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spacing w:after="0"/>
        <w:tabs>
          <w:tab w:leader="none" w:pos="1000" w:val="left"/>
          <w:tab w:leader="none" w:pos="2100" w:val="left"/>
          <w:tab w:leader="none" w:pos="3740" w:val="left"/>
          <w:tab w:leader="none" w:pos="5440" w:val="left"/>
          <w:tab w:leader="none" w:pos="6940" w:val="left"/>
          <w:tab w:leader="none" w:pos="8160" w:val="left"/>
        </w:tabs>
        <w:rPr>
          <w:sz w:val="20"/>
          <w:szCs w:val="20"/>
          <w:color w:val="auto"/>
        </w:rPr>
      </w:pPr>
      <w:r>
        <w:rPr>
          <w:rFonts w:ascii="Arial" w:cs="Arial" w:eastAsia="Arial" w:hAnsi="Arial"/>
          <w:sz w:val="13"/>
          <w:szCs w:val="13"/>
          <w:color w:val="auto"/>
        </w:rPr>
        <w:t>OOH</w:t>
        <w:tab/>
        <w:t>Radio</w:t>
      </w:r>
      <w:r>
        <w:rPr>
          <w:sz w:val="20"/>
          <w:szCs w:val="20"/>
          <w:color w:val="auto"/>
        </w:rPr>
        <w:tab/>
      </w:r>
      <w:r>
        <w:rPr>
          <w:rFonts w:ascii="Arial" w:cs="Arial" w:eastAsia="Arial" w:hAnsi="Arial"/>
          <w:sz w:val="13"/>
          <w:szCs w:val="13"/>
          <w:color w:val="auto"/>
        </w:rPr>
        <w:t>Online</w:t>
      </w:r>
      <w:r>
        <w:rPr>
          <w:sz w:val="20"/>
          <w:szCs w:val="20"/>
          <w:color w:val="auto"/>
        </w:rPr>
        <w:tab/>
      </w:r>
      <w:r>
        <w:rPr>
          <w:rFonts w:ascii="Arial" w:cs="Arial" w:eastAsia="Arial" w:hAnsi="Arial"/>
          <w:sz w:val="13"/>
          <w:szCs w:val="13"/>
          <w:color w:val="auto"/>
        </w:rPr>
        <w:t>Broadcast TV</w:t>
      </w:r>
      <w:r>
        <w:rPr>
          <w:sz w:val="20"/>
          <w:szCs w:val="20"/>
          <w:color w:val="auto"/>
        </w:rPr>
        <w:tab/>
      </w:r>
      <w:r>
        <w:rPr>
          <w:rFonts w:ascii="Arial" w:cs="Arial" w:eastAsia="Arial" w:hAnsi="Arial"/>
          <w:sz w:val="13"/>
          <w:szCs w:val="13"/>
          <w:color w:val="auto"/>
        </w:rPr>
        <w:t>Cable TV</w:t>
      </w:r>
      <w:r>
        <w:rPr>
          <w:sz w:val="20"/>
          <w:szCs w:val="20"/>
          <w:color w:val="auto"/>
        </w:rPr>
        <w:tab/>
      </w:r>
      <w:r>
        <w:rPr>
          <w:rFonts w:ascii="Arial" w:cs="Arial" w:eastAsia="Arial" w:hAnsi="Arial"/>
          <w:sz w:val="13"/>
          <w:szCs w:val="13"/>
          <w:color w:val="auto"/>
        </w:rPr>
        <w:t>Magazines</w:t>
      </w:r>
      <w:r>
        <w:rPr>
          <w:sz w:val="20"/>
          <w:szCs w:val="20"/>
          <w:color w:val="auto"/>
        </w:rPr>
        <w:tab/>
      </w:r>
      <w:r>
        <w:rPr>
          <w:rFonts w:ascii="Arial" w:cs="Arial" w:eastAsia="Arial" w:hAnsi="Arial"/>
          <w:sz w:val="13"/>
          <w:szCs w:val="13"/>
          <w:color w:val="auto"/>
        </w:rPr>
        <w:t>Newspapers Direct Mail</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Source: Outdoor Advertising Association of America</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640"/>
          </w:cols>
          <w:pgMar w:left="1220" w:top="671" w:right="1039" w:bottom="1440" w:gutter="0" w:footer="0" w:header="0"/>
        </w:sectPr>
      </w:pPr>
    </w:p>
    <w:bookmarkStart w:id="15" w:name="page16"/>
    <w:bookmarkEnd w:id="15"/>
    <w:p>
      <w:pPr>
        <w:ind w:right="900"/>
        <w:spacing w:after="0" w:line="266" w:lineRule="auto"/>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Diverse product mix across digital and analog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304"/>
        </w:trPr>
        <w:tc>
          <w:tcPr>
            <w:tcW w:w="3220" w:type="dxa"/>
            <w:vAlign w:val="bottom"/>
          </w:tcPr>
          <w:p>
            <w:pPr>
              <w:spacing w:after="0"/>
              <w:rPr>
                <w:sz w:val="20"/>
                <w:szCs w:val="20"/>
                <w:color w:val="auto"/>
              </w:rPr>
            </w:pPr>
            <w:r>
              <w:rPr>
                <w:rFonts w:ascii="Arial" w:cs="Arial" w:eastAsia="Arial" w:hAnsi="Arial"/>
                <w:sz w:val="23"/>
                <w:szCs w:val="23"/>
                <w:b w:val="1"/>
                <w:bCs w:val="1"/>
                <w:color w:val="FFFFFF"/>
              </w:rPr>
              <w:t>Company profile</w:t>
            </w:r>
          </w:p>
        </w:tc>
        <w:tc>
          <w:tcPr>
            <w:tcW w:w="5620" w:type="dxa"/>
            <w:vAlign w:val="bottom"/>
            <w:gridSpan w:val="2"/>
          </w:tcPr>
          <w:p>
            <w:pPr>
              <w:ind w:left="2060"/>
              <w:spacing w:after="0"/>
              <w:rPr>
                <w:sz w:val="20"/>
                <w:szCs w:val="20"/>
                <w:color w:val="auto"/>
              </w:rPr>
            </w:pPr>
            <w:r>
              <w:rPr>
                <w:rFonts w:ascii="Arial" w:cs="Arial" w:eastAsia="Arial" w:hAnsi="Arial"/>
                <w:sz w:val="23"/>
                <w:szCs w:val="23"/>
                <w:b w:val="1"/>
                <w:bCs w:val="1"/>
                <w:color w:val="FFFFFF"/>
              </w:rPr>
              <w:t>Revenue contribution FYE 2013</w:t>
            </w:r>
          </w:p>
        </w:tc>
        <w:tc>
          <w:tcPr>
            <w:tcW w:w="560" w:type="dxa"/>
            <w:vAlign w:val="bottom"/>
          </w:tcPr>
          <w:p>
            <w:pPr>
              <w:spacing w:after="0"/>
              <w:rPr>
                <w:sz w:val="24"/>
                <w:szCs w:val="24"/>
                <w:color w:val="auto"/>
              </w:rPr>
            </w:pPr>
          </w:p>
        </w:tc>
      </w:tr>
      <w:tr>
        <w:trPr>
          <w:trHeight w:val="422"/>
        </w:trPr>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60" w:type="dxa"/>
            <w:vAlign w:val="bottom"/>
          </w:tcPr>
          <w:p>
            <w:pPr>
              <w:jc w:val="right"/>
              <w:ind w:right="369"/>
              <w:spacing w:after="0"/>
              <w:rPr>
                <w:sz w:val="20"/>
                <w:szCs w:val="20"/>
                <w:color w:val="auto"/>
              </w:rPr>
            </w:pPr>
            <w:r>
              <w:rPr>
                <w:rFonts w:ascii="Arial" w:cs="Arial" w:eastAsia="Arial" w:hAnsi="Arial"/>
                <w:sz w:val="18"/>
                <w:szCs w:val="18"/>
                <w:color w:val="auto"/>
              </w:rPr>
              <w:t>($mm)</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1"/>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color w:val="auto"/>
              </w:rPr>
              <w:t>Analog bulletin displays</w:t>
            </w:r>
          </w:p>
        </w:tc>
        <w:tc>
          <w:tcPr>
            <w:tcW w:w="1260" w:type="dxa"/>
            <w:vAlign w:val="bottom"/>
          </w:tcPr>
          <w:p>
            <w:pPr>
              <w:jc w:val="right"/>
              <w:ind w:right="349"/>
              <w:spacing w:after="0"/>
              <w:rPr>
                <w:sz w:val="20"/>
                <w:szCs w:val="20"/>
                <w:color w:val="auto"/>
              </w:rPr>
            </w:pPr>
            <w:r>
              <w:rPr>
                <w:rFonts w:ascii="Arial" w:cs="Arial" w:eastAsia="Arial" w:hAnsi="Arial"/>
                <w:sz w:val="18"/>
                <w:szCs w:val="18"/>
                <w:color w:val="auto"/>
              </w:rPr>
              <w:t>$657</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895"/>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color w:val="auto"/>
              </w:rPr>
              <w:t>Analog poster displays</w:t>
            </w:r>
          </w:p>
        </w:tc>
        <w:tc>
          <w:tcPr>
            <w:tcW w:w="1260" w:type="dxa"/>
            <w:vAlign w:val="bottom"/>
          </w:tcPr>
          <w:p>
            <w:pPr>
              <w:jc w:val="right"/>
              <w:ind w:right="349"/>
              <w:spacing w:after="0"/>
              <w:rPr>
                <w:sz w:val="20"/>
                <w:szCs w:val="20"/>
                <w:color w:val="auto"/>
              </w:rPr>
            </w:pPr>
            <w:r>
              <w:rPr>
                <w:rFonts w:ascii="Arial" w:cs="Arial" w:eastAsia="Arial" w:hAnsi="Arial"/>
                <w:sz w:val="18"/>
                <w:szCs w:val="18"/>
                <w:color w:val="auto"/>
              </w:rPr>
              <w:t>263</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907"/>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color w:val="auto"/>
              </w:rPr>
              <w:t>Digital posters &amp; bulletins</w:t>
            </w:r>
          </w:p>
        </w:tc>
        <w:tc>
          <w:tcPr>
            <w:tcW w:w="1260" w:type="dxa"/>
            <w:vAlign w:val="bottom"/>
          </w:tcPr>
          <w:p>
            <w:pPr>
              <w:jc w:val="right"/>
              <w:ind w:right="349"/>
              <w:spacing w:after="0"/>
              <w:rPr>
                <w:sz w:val="20"/>
                <w:szCs w:val="20"/>
                <w:color w:val="auto"/>
              </w:rPr>
            </w:pPr>
            <w:r>
              <w:rPr>
                <w:rFonts w:ascii="Arial" w:cs="Arial" w:eastAsia="Arial" w:hAnsi="Arial"/>
                <w:sz w:val="18"/>
                <w:szCs w:val="18"/>
                <w:color w:val="auto"/>
              </w:rPr>
              <w:t>184</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895"/>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color w:val="auto"/>
              </w:rPr>
              <w:t>Transit displays</w:t>
            </w:r>
          </w:p>
        </w:tc>
        <w:tc>
          <w:tcPr>
            <w:tcW w:w="1260" w:type="dxa"/>
            <w:vAlign w:val="bottom"/>
          </w:tcPr>
          <w:p>
            <w:pPr>
              <w:jc w:val="right"/>
              <w:ind w:right="349"/>
              <w:spacing w:after="0"/>
              <w:rPr>
                <w:sz w:val="20"/>
                <w:szCs w:val="20"/>
                <w:color w:val="auto"/>
              </w:rPr>
            </w:pPr>
            <w:r>
              <w:rPr>
                <w:rFonts w:ascii="Arial" w:cs="Arial" w:eastAsia="Arial" w:hAnsi="Arial"/>
                <w:sz w:val="18"/>
                <w:szCs w:val="18"/>
                <w:color w:val="auto"/>
              </w:rPr>
              <w:t>75</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895"/>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color w:val="auto"/>
              </w:rPr>
              <w:t>Logos</w:t>
            </w:r>
          </w:p>
        </w:tc>
        <w:tc>
          <w:tcPr>
            <w:tcW w:w="1260" w:type="dxa"/>
            <w:vAlign w:val="bottom"/>
          </w:tcPr>
          <w:p>
            <w:pPr>
              <w:jc w:val="right"/>
              <w:ind w:right="349"/>
              <w:spacing w:after="0"/>
              <w:rPr>
                <w:sz w:val="20"/>
                <w:szCs w:val="20"/>
                <w:color w:val="auto"/>
              </w:rPr>
            </w:pPr>
            <w:r>
              <w:rPr>
                <w:rFonts w:ascii="Arial" w:cs="Arial" w:eastAsia="Arial" w:hAnsi="Arial"/>
                <w:sz w:val="18"/>
                <w:szCs w:val="18"/>
                <w:color w:val="auto"/>
              </w:rPr>
              <w:t>67</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605"/>
        </w:trPr>
        <w:tc>
          <w:tcPr>
            <w:tcW w:w="3220" w:type="dxa"/>
            <w:vAlign w:val="bottom"/>
          </w:tcPr>
          <w:p>
            <w:pPr>
              <w:spacing w:after="0"/>
              <w:rPr>
                <w:sz w:val="24"/>
                <w:szCs w:val="24"/>
                <w:color w:val="auto"/>
              </w:rPr>
            </w:pPr>
          </w:p>
        </w:tc>
        <w:tc>
          <w:tcPr>
            <w:tcW w:w="4360" w:type="dxa"/>
            <w:vAlign w:val="bottom"/>
          </w:tcPr>
          <w:p>
            <w:pPr>
              <w:ind w:left="206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ind w:right="349"/>
              <w:spacing w:after="0"/>
              <w:rPr>
                <w:sz w:val="20"/>
                <w:szCs w:val="20"/>
                <w:color w:val="auto"/>
              </w:rPr>
            </w:pPr>
            <w:r>
              <w:rPr>
                <w:rFonts w:ascii="Arial" w:cs="Arial" w:eastAsia="Arial" w:hAnsi="Arial"/>
                <w:sz w:val="18"/>
                <w:szCs w:val="18"/>
                <w:b w:val="1"/>
                <w:bCs w:val="1"/>
                <w:color w:val="auto"/>
              </w:rPr>
              <w:t>$1,246</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1089"/>
        </w:trPr>
        <w:tc>
          <w:tcPr>
            <w:tcW w:w="3220" w:type="dxa"/>
            <w:vAlign w:val="bottom"/>
          </w:tcPr>
          <w:p>
            <w:pPr>
              <w:spacing w:after="0"/>
              <w:rPr>
                <w:sz w:val="24"/>
                <w:szCs w:val="24"/>
                <w:color w:val="auto"/>
              </w:rPr>
            </w:pPr>
          </w:p>
        </w:tc>
        <w:tc>
          <w:tcPr>
            <w:tcW w:w="4360" w:type="dxa"/>
            <w:vAlign w:val="bottom"/>
          </w:tcPr>
          <w:p>
            <w:pPr>
              <w:ind w:left="142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9440"/>
          </w:cols>
          <w:pgMar w:left="1240" w:top="553" w:right="1219" w:bottom="1440" w:gutter="0" w:footer="0" w:header="0"/>
        </w:sectPr>
      </w:pPr>
    </w:p>
    <w:bookmarkStart w:id="16" w:name="page17"/>
    <w:bookmarkEnd w:id="16"/>
    <w:p>
      <w:pPr>
        <w:ind w:left="11" w:right="2780"/>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Historically, Lamar has emerged strongly from economic downturns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
        <w:spacing w:after="0"/>
        <w:rPr>
          <w:sz w:val="20"/>
          <w:szCs w:val="20"/>
          <w:color w:val="auto"/>
        </w:rPr>
      </w:pPr>
      <w:r>
        <w:rPr>
          <w:rFonts w:ascii="Arial" w:cs="Arial" w:eastAsia="Arial" w:hAnsi="Arial"/>
          <w:sz w:val="23"/>
          <w:szCs w:val="23"/>
          <w:b w:val="1"/>
          <w:bCs w:val="1"/>
          <w:color w:val="FFFFFF"/>
        </w:rPr>
        <w:t>Annual pro forma financials</w:t>
      </w:r>
    </w:p>
    <w:p>
      <w:pPr>
        <w:spacing w:after="0" w:line="267" w:lineRule="exact"/>
        <w:rPr>
          <w:sz w:val="20"/>
          <w:szCs w:val="20"/>
          <w:color w:val="auto"/>
        </w:rPr>
      </w:pPr>
    </w:p>
    <w:tbl>
      <w:tblPr>
        <w:tblLayout w:type="fixed"/>
        <w:tblInd w:w="51" w:type="dxa"/>
        <w:tblCellMar>
          <w:top w:w="0" w:type="dxa"/>
          <w:left w:w="0" w:type="dxa"/>
          <w:bottom w:w="0" w:type="dxa"/>
          <w:right w:w="0" w:type="dxa"/>
        </w:tblCellMar>
      </w:tblPr>
      <w:tr>
        <w:trPr>
          <w:trHeight w:val="218"/>
        </w:trPr>
        <w:tc>
          <w:tcPr>
            <w:tcW w:w="520" w:type="dxa"/>
            <w:vAlign w:val="bottom"/>
          </w:tcPr>
          <w:p>
            <w:pPr>
              <w:spacing w:after="0"/>
              <w:rPr>
                <w:sz w:val="18"/>
                <w:szCs w:val="18"/>
                <w:color w:val="auto"/>
              </w:rPr>
            </w:pPr>
          </w:p>
        </w:tc>
        <w:tc>
          <w:tcPr>
            <w:tcW w:w="1840" w:type="dxa"/>
            <w:vAlign w:val="bottom"/>
            <w:gridSpan w:val="5"/>
          </w:tcPr>
          <w:p>
            <w:pPr>
              <w:jc w:val="right"/>
              <w:ind w:right="133"/>
              <w:spacing w:after="0"/>
              <w:rPr>
                <w:sz w:val="20"/>
                <w:szCs w:val="20"/>
                <w:color w:val="auto"/>
              </w:rPr>
            </w:pPr>
            <w:r>
              <w:rPr>
                <w:rFonts w:ascii="Arial" w:cs="Arial" w:eastAsia="Arial" w:hAnsi="Arial"/>
                <w:sz w:val="18"/>
                <w:szCs w:val="18"/>
                <w:color w:val="990000"/>
              </w:rPr>
              <w:t>Economic downturn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jc w:val="right"/>
              <w:spacing w:after="0"/>
              <w:rPr>
                <w:sz w:val="20"/>
                <w:szCs w:val="20"/>
                <w:color w:val="auto"/>
              </w:rPr>
            </w:pPr>
            <w:r>
              <w:rPr>
                <w:rFonts w:ascii="Arial" w:cs="Arial" w:eastAsia="Arial" w:hAnsi="Arial"/>
                <w:sz w:val="18"/>
                <w:szCs w:val="18"/>
                <w:color w:val="990000"/>
              </w:rPr>
              <w:t>Economic downturn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5"/>
          </w:tcPr>
          <w:p>
            <w:pPr>
              <w:jc w:val="right"/>
              <w:ind w:right="13"/>
              <w:spacing w:after="0"/>
              <w:rPr>
                <w:sz w:val="20"/>
                <w:szCs w:val="20"/>
                <w:color w:val="auto"/>
              </w:rPr>
            </w:pPr>
            <w:r>
              <w:rPr>
                <w:rFonts w:ascii="Arial" w:cs="Arial" w:eastAsia="Arial" w:hAnsi="Arial"/>
                <w:sz w:val="18"/>
                <w:szCs w:val="18"/>
                <w:color w:val="990000"/>
              </w:rPr>
              <w:t>Economic downturn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rPr>
              <w:t>1991</w:t>
            </w:r>
          </w:p>
        </w:tc>
        <w:tc>
          <w:tcPr>
            <w:tcW w:w="380" w:type="dxa"/>
            <w:vAlign w:val="bottom"/>
          </w:tcPr>
          <w:p>
            <w:pPr>
              <w:jc w:val="right"/>
              <w:spacing w:after="0"/>
              <w:rPr>
                <w:sz w:val="20"/>
                <w:szCs w:val="20"/>
                <w:color w:val="auto"/>
              </w:rPr>
            </w:pPr>
            <w:r>
              <w:rPr>
                <w:rFonts w:ascii="Arial" w:cs="Arial" w:eastAsia="Arial" w:hAnsi="Arial"/>
                <w:sz w:val="13"/>
                <w:szCs w:val="13"/>
                <w:color w:val="auto"/>
              </w:rPr>
              <w:t>1992</w:t>
            </w:r>
          </w:p>
        </w:tc>
        <w:tc>
          <w:tcPr>
            <w:tcW w:w="380" w:type="dxa"/>
            <w:vAlign w:val="bottom"/>
          </w:tcPr>
          <w:p>
            <w:pPr>
              <w:jc w:val="right"/>
              <w:spacing w:after="0"/>
              <w:rPr>
                <w:sz w:val="20"/>
                <w:szCs w:val="20"/>
                <w:color w:val="auto"/>
              </w:rPr>
            </w:pPr>
            <w:r>
              <w:rPr>
                <w:rFonts w:ascii="Arial" w:cs="Arial" w:eastAsia="Arial" w:hAnsi="Arial"/>
                <w:sz w:val="13"/>
                <w:szCs w:val="13"/>
                <w:color w:val="auto"/>
              </w:rPr>
              <w:t>1993</w:t>
            </w:r>
          </w:p>
        </w:tc>
        <w:tc>
          <w:tcPr>
            <w:tcW w:w="380" w:type="dxa"/>
            <w:vAlign w:val="bottom"/>
          </w:tcPr>
          <w:p>
            <w:pPr>
              <w:jc w:val="right"/>
              <w:spacing w:after="0"/>
              <w:rPr>
                <w:sz w:val="20"/>
                <w:szCs w:val="20"/>
                <w:color w:val="auto"/>
              </w:rPr>
            </w:pPr>
            <w:r>
              <w:rPr>
                <w:rFonts w:ascii="Arial" w:cs="Arial" w:eastAsia="Arial" w:hAnsi="Arial"/>
                <w:sz w:val="13"/>
                <w:szCs w:val="13"/>
                <w:color w:val="auto"/>
              </w:rPr>
              <w:t>1994</w:t>
            </w:r>
          </w:p>
        </w:tc>
        <w:tc>
          <w:tcPr>
            <w:tcW w:w="380" w:type="dxa"/>
            <w:vAlign w:val="bottom"/>
          </w:tcPr>
          <w:p>
            <w:pPr>
              <w:ind w:left="40"/>
              <w:spacing w:after="0"/>
              <w:rPr>
                <w:sz w:val="20"/>
                <w:szCs w:val="20"/>
                <w:color w:val="auto"/>
              </w:rPr>
            </w:pPr>
            <w:r>
              <w:rPr>
                <w:rFonts w:ascii="Arial" w:cs="Arial" w:eastAsia="Arial" w:hAnsi="Arial"/>
                <w:sz w:val="13"/>
                <w:szCs w:val="13"/>
                <w:color w:val="auto"/>
              </w:rPr>
              <w:t>1995</w:t>
            </w:r>
          </w:p>
        </w:tc>
        <w:tc>
          <w:tcPr>
            <w:tcW w:w="380" w:type="dxa"/>
            <w:vAlign w:val="bottom"/>
          </w:tcPr>
          <w:p>
            <w:pPr>
              <w:jc w:val="right"/>
              <w:spacing w:after="0"/>
              <w:rPr>
                <w:sz w:val="20"/>
                <w:szCs w:val="20"/>
                <w:color w:val="auto"/>
              </w:rPr>
            </w:pPr>
            <w:r>
              <w:rPr>
                <w:rFonts w:ascii="Arial" w:cs="Arial" w:eastAsia="Arial" w:hAnsi="Arial"/>
                <w:sz w:val="13"/>
                <w:szCs w:val="13"/>
                <w:color w:val="auto"/>
              </w:rPr>
              <w:t>1996</w:t>
            </w:r>
          </w:p>
        </w:tc>
        <w:tc>
          <w:tcPr>
            <w:tcW w:w="380" w:type="dxa"/>
            <w:vAlign w:val="bottom"/>
          </w:tcPr>
          <w:p>
            <w:pPr>
              <w:jc w:val="right"/>
              <w:spacing w:after="0"/>
              <w:rPr>
                <w:sz w:val="20"/>
                <w:szCs w:val="20"/>
                <w:color w:val="auto"/>
              </w:rPr>
            </w:pPr>
            <w:r>
              <w:rPr>
                <w:rFonts w:ascii="Arial" w:cs="Arial" w:eastAsia="Arial" w:hAnsi="Arial"/>
                <w:sz w:val="13"/>
                <w:szCs w:val="13"/>
                <w:color w:val="auto"/>
              </w:rPr>
              <w:t>1997</w:t>
            </w:r>
          </w:p>
        </w:tc>
        <w:tc>
          <w:tcPr>
            <w:tcW w:w="360" w:type="dxa"/>
            <w:vAlign w:val="bottom"/>
          </w:tcPr>
          <w:p>
            <w:pPr>
              <w:jc w:val="right"/>
              <w:spacing w:after="0"/>
              <w:rPr>
                <w:sz w:val="20"/>
                <w:szCs w:val="20"/>
                <w:color w:val="auto"/>
              </w:rPr>
            </w:pPr>
            <w:r>
              <w:rPr>
                <w:rFonts w:ascii="Arial" w:cs="Arial" w:eastAsia="Arial" w:hAnsi="Arial"/>
                <w:sz w:val="13"/>
                <w:szCs w:val="13"/>
                <w:color w:val="auto"/>
              </w:rPr>
              <w:t>1998</w:t>
            </w:r>
          </w:p>
        </w:tc>
        <w:tc>
          <w:tcPr>
            <w:tcW w:w="380" w:type="dxa"/>
            <w:vAlign w:val="bottom"/>
          </w:tcPr>
          <w:p>
            <w:pPr>
              <w:jc w:val="right"/>
              <w:spacing w:after="0"/>
              <w:rPr>
                <w:sz w:val="20"/>
                <w:szCs w:val="20"/>
                <w:color w:val="auto"/>
              </w:rPr>
            </w:pPr>
            <w:r>
              <w:rPr>
                <w:rFonts w:ascii="Arial" w:cs="Arial" w:eastAsia="Arial" w:hAnsi="Arial"/>
                <w:sz w:val="13"/>
                <w:szCs w:val="13"/>
                <w:color w:val="auto"/>
              </w:rPr>
              <w:t>1999</w:t>
            </w:r>
          </w:p>
        </w:tc>
        <w:tc>
          <w:tcPr>
            <w:tcW w:w="380" w:type="dxa"/>
            <w:vAlign w:val="bottom"/>
          </w:tcPr>
          <w:p>
            <w:pPr>
              <w:jc w:val="right"/>
              <w:spacing w:after="0"/>
              <w:rPr>
                <w:sz w:val="20"/>
                <w:szCs w:val="20"/>
                <w:color w:val="auto"/>
              </w:rPr>
            </w:pPr>
            <w:r>
              <w:rPr>
                <w:rFonts w:ascii="Arial" w:cs="Arial" w:eastAsia="Arial" w:hAnsi="Arial"/>
                <w:sz w:val="13"/>
                <w:szCs w:val="13"/>
                <w:color w:val="auto"/>
              </w:rPr>
              <w:t>2000</w:t>
            </w:r>
          </w:p>
        </w:tc>
        <w:tc>
          <w:tcPr>
            <w:tcW w:w="380" w:type="dxa"/>
            <w:vAlign w:val="bottom"/>
          </w:tcPr>
          <w:p>
            <w:pPr>
              <w:jc w:val="right"/>
              <w:spacing w:after="0"/>
              <w:rPr>
                <w:sz w:val="20"/>
                <w:szCs w:val="20"/>
                <w:color w:val="auto"/>
              </w:rPr>
            </w:pPr>
            <w:r>
              <w:rPr>
                <w:rFonts w:ascii="Arial" w:cs="Arial" w:eastAsia="Arial" w:hAnsi="Arial"/>
                <w:sz w:val="13"/>
                <w:szCs w:val="13"/>
                <w:color w:val="auto"/>
              </w:rPr>
              <w:t>2001</w:t>
            </w:r>
          </w:p>
        </w:tc>
        <w:tc>
          <w:tcPr>
            <w:tcW w:w="380" w:type="dxa"/>
            <w:vAlign w:val="bottom"/>
          </w:tcPr>
          <w:p>
            <w:pPr>
              <w:jc w:val="right"/>
              <w:spacing w:after="0"/>
              <w:rPr>
                <w:sz w:val="20"/>
                <w:szCs w:val="20"/>
                <w:color w:val="auto"/>
              </w:rPr>
            </w:pPr>
            <w:r>
              <w:rPr>
                <w:rFonts w:ascii="Arial" w:cs="Arial" w:eastAsia="Arial" w:hAnsi="Arial"/>
                <w:sz w:val="13"/>
                <w:szCs w:val="13"/>
                <w:color w:val="auto"/>
              </w:rPr>
              <w:t>2002</w:t>
            </w:r>
          </w:p>
        </w:tc>
        <w:tc>
          <w:tcPr>
            <w:tcW w:w="380" w:type="dxa"/>
            <w:vAlign w:val="bottom"/>
          </w:tcPr>
          <w:p>
            <w:pPr>
              <w:jc w:val="right"/>
              <w:spacing w:after="0"/>
              <w:rPr>
                <w:sz w:val="20"/>
                <w:szCs w:val="20"/>
                <w:color w:val="auto"/>
              </w:rPr>
            </w:pPr>
            <w:r>
              <w:rPr>
                <w:rFonts w:ascii="Arial" w:cs="Arial" w:eastAsia="Arial" w:hAnsi="Arial"/>
                <w:sz w:val="13"/>
                <w:szCs w:val="13"/>
                <w:color w:val="auto"/>
              </w:rPr>
              <w:t>2003</w:t>
            </w:r>
          </w:p>
        </w:tc>
        <w:tc>
          <w:tcPr>
            <w:tcW w:w="380" w:type="dxa"/>
            <w:vAlign w:val="bottom"/>
          </w:tcPr>
          <w:p>
            <w:pPr>
              <w:ind w:left="40"/>
              <w:spacing w:after="0"/>
              <w:rPr>
                <w:sz w:val="20"/>
                <w:szCs w:val="20"/>
                <w:color w:val="auto"/>
              </w:rPr>
            </w:pPr>
            <w:r>
              <w:rPr>
                <w:rFonts w:ascii="Arial" w:cs="Arial" w:eastAsia="Arial" w:hAnsi="Arial"/>
                <w:sz w:val="13"/>
                <w:szCs w:val="13"/>
                <w:color w:val="auto"/>
              </w:rPr>
              <w:t>2004</w:t>
            </w:r>
          </w:p>
        </w:tc>
        <w:tc>
          <w:tcPr>
            <w:tcW w:w="380" w:type="dxa"/>
            <w:vAlign w:val="bottom"/>
          </w:tcPr>
          <w:p>
            <w:pPr>
              <w:jc w:val="right"/>
              <w:spacing w:after="0"/>
              <w:rPr>
                <w:sz w:val="20"/>
                <w:szCs w:val="20"/>
                <w:color w:val="auto"/>
              </w:rPr>
            </w:pPr>
            <w:r>
              <w:rPr>
                <w:rFonts w:ascii="Arial" w:cs="Arial" w:eastAsia="Arial" w:hAnsi="Arial"/>
                <w:sz w:val="13"/>
                <w:szCs w:val="13"/>
                <w:color w:val="auto"/>
              </w:rPr>
              <w:t>2005</w:t>
            </w:r>
          </w:p>
        </w:tc>
        <w:tc>
          <w:tcPr>
            <w:tcW w:w="380" w:type="dxa"/>
            <w:vAlign w:val="bottom"/>
          </w:tcPr>
          <w:p>
            <w:pPr>
              <w:jc w:val="right"/>
              <w:spacing w:after="0"/>
              <w:rPr>
                <w:sz w:val="20"/>
                <w:szCs w:val="20"/>
                <w:color w:val="auto"/>
              </w:rPr>
            </w:pPr>
            <w:r>
              <w:rPr>
                <w:rFonts w:ascii="Arial" w:cs="Arial" w:eastAsia="Arial" w:hAnsi="Arial"/>
                <w:sz w:val="13"/>
                <w:szCs w:val="13"/>
                <w:color w:val="auto"/>
              </w:rPr>
              <w:t>2006</w:t>
            </w:r>
          </w:p>
        </w:tc>
        <w:tc>
          <w:tcPr>
            <w:tcW w:w="360" w:type="dxa"/>
            <w:vAlign w:val="bottom"/>
          </w:tcPr>
          <w:p>
            <w:pPr>
              <w:jc w:val="right"/>
              <w:spacing w:after="0"/>
              <w:rPr>
                <w:sz w:val="20"/>
                <w:szCs w:val="20"/>
                <w:color w:val="auto"/>
              </w:rPr>
            </w:pPr>
            <w:r>
              <w:rPr>
                <w:rFonts w:ascii="Arial" w:cs="Arial" w:eastAsia="Arial" w:hAnsi="Arial"/>
                <w:sz w:val="13"/>
                <w:szCs w:val="13"/>
                <w:color w:val="auto"/>
              </w:rPr>
              <w:t>2007</w:t>
            </w:r>
          </w:p>
        </w:tc>
        <w:tc>
          <w:tcPr>
            <w:tcW w:w="380" w:type="dxa"/>
            <w:vAlign w:val="bottom"/>
          </w:tcPr>
          <w:p>
            <w:pPr>
              <w:jc w:val="right"/>
              <w:spacing w:after="0"/>
              <w:rPr>
                <w:sz w:val="20"/>
                <w:szCs w:val="20"/>
                <w:color w:val="auto"/>
              </w:rPr>
            </w:pPr>
            <w:r>
              <w:rPr>
                <w:rFonts w:ascii="Arial" w:cs="Arial" w:eastAsia="Arial" w:hAnsi="Arial"/>
                <w:sz w:val="13"/>
                <w:szCs w:val="13"/>
                <w:color w:val="auto"/>
              </w:rPr>
              <w:t>2008</w:t>
            </w:r>
          </w:p>
        </w:tc>
        <w:tc>
          <w:tcPr>
            <w:tcW w:w="380" w:type="dxa"/>
            <w:vAlign w:val="bottom"/>
          </w:tcPr>
          <w:p>
            <w:pPr>
              <w:jc w:val="right"/>
              <w:spacing w:after="0"/>
              <w:rPr>
                <w:sz w:val="20"/>
                <w:szCs w:val="20"/>
                <w:color w:val="auto"/>
              </w:rPr>
            </w:pPr>
            <w:r>
              <w:rPr>
                <w:rFonts w:ascii="Arial" w:cs="Arial" w:eastAsia="Arial" w:hAnsi="Arial"/>
                <w:sz w:val="13"/>
                <w:szCs w:val="13"/>
                <w:color w:val="auto"/>
              </w:rPr>
              <w:t>2009</w:t>
            </w:r>
          </w:p>
        </w:tc>
        <w:tc>
          <w:tcPr>
            <w:tcW w:w="380" w:type="dxa"/>
            <w:vAlign w:val="bottom"/>
          </w:tcPr>
          <w:p>
            <w:pPr>
              <w:jc w:val="right"/>
              <w:spacing w:after="0"/>
              <w:rPr>
                <w:sz w:val="20"/>
                <w:szCs w:val="20"/>
                <w:color w:val="auto"/>
              </w:rPr>
            </w:pPr>
            <w:r>
              <w:rPr>
                <w:rFonts w:ascii="Arial" w:cs="Arial" w:eastAsia="Arial" w:hAnsi="Arial"/>
                <w:sz w:val="13"/>
                <w:szCs w:val="13"/>
                <w:color w:val="auto"/>
              </w:rPr>
              <w:t>2010</w:t>
            </w:r>
          </w:p>
        </w:tc>
        <w:tc>
          <w:tcPr>
            <w:tcW w:w="380" w:type="dxa"/>
            <w:vAlign w:val="bottom"/>
          </w:tcPr>
          <w:p>
            <w:pPr>
              <w:jc w:val="right"/>
              <w:spacing w:after="0"/>
              <w:rPr>
                <w:sz w:val="20"/>
                <w:szCs w:val="20"/>
                <w:color w:val="auto"/>
              </w:rPr>
            </w:pPr>
            <w:r>
              <w:rPr>
                <w:rFonts w:ascii="Arial" w:cs="Arial" w:eastAsia="Arial" w:hAnsi="Arial"/>
                <w:sz w:val="13"/>
                <w:szCs w:val="13"/>
                <w:color w:val="auto"/>
              </w:rPr>
              <w:t>2011</w:t>
            </w:r>
          </w:p>
        </w:tc>
        <w:tc>
          <w:tcPr>
            <w:tcW w:w="380" w:type="dxa"/>
            <w:vAlign w:val="bottom"/>
          </w:tcPr>
          <w:p>
            <w:pPr>
              <w:jc w:val="right"/>
              <w:spacing w:after="0"/>
              <w:rPr>
                <w:sz w:val="20"/>
                <w:szCs w:val="20"/>
                <w:color w:val="auto"/>
              </w:rPr>
            </w:pPr>
            <w:r>
              <w:rPr>
                <w:rFonts w:ascii="Arial" w:cs="Arial" w:eastAsia="Arial" w:hAnsi="Arial"/>
                <w:sz w:val="13"/>
                <w:szCs w:val="13"/>
                <w:color w:val="auto"/>
              </w:rPr>
              <w:t>2012</w:t>
            </w: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2013</w:t>
            </w:r>
          </w:p>
        </w:tc>
        <w:tc>
          <w:tcPr>
            <w:tcW w:w="0" w:type="dxa"/>
            <w:vAlign w:val="bottom"/>
          </w:tcPr>
          <w:p>
            <w:pPr>
              <w:spacing w:after="0"/>
              <w:rPr>
                <w:sz w:val="1"/>
                <w:szCs w:val="1"/>
                <w:color w:val="auto"/>
              </w:rPr>
            </w:pPr>
          </w:p>
        </w:tc>
      </w:tr>
      <w:tr>
        <w:trPr>
          <w:trHeight w:val="614"/>
        </w:trPr>
        <w:tc>
          <w:tcPr>
            <w:tcW w:w="520" w:type="dxa"/>
            <w:vAlign w:val="bottom"/>
          </w:tcPr>
          <w:p>
            <w:pPr>
              <w:spacing w:after="0"/>
              <w:rPr>
                <w:sz w:val="20"/>
                <w:szCs w:val="20"/>
                <w:color w:val="auto"/>
              </w:rPr>
            </w:pPr>
            <w:r>
              <w:rPr>
                <w:rFonts w:ascii="Arial" w:cs="Arial" w:eastAsia="Arial" w:hAnsi="Arial"/>
                <w:sz w:val="13"/>
                <w:szCs w:val="13"/>
                <w:color w:val="auto"/>
              </w:rPr>
              <w:t>Y/Y net</w:t>
            </w:r>
          </w:p>
        </w:tc>
        <w:tc>
          <w:tcPr>
            <w:tcW w:w="3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 (2)%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(3)%(13)%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5"/>
        </w:trPr>
        <w:tc>
          <w:tcPr>
            <w:tcW w:w="520" w:type="dxa"/>
            <w:vAlign w:val="bottom"/>
          </w:tcPr>
          <w:p>
            <w:pPr>
              <w:spacing w:after="0" w:line="146" w:lineRule="exact"/>
              <w:rPr>
                <w:sz w:val="20"/>
                <w:szCs w:val="20"/>
                <w:color w:val="auto"/>
              </w:rPr>
            </w:pPr>
            <w:r>
              <w:rPr>
                <w:rFonts w:ascii="Arial" w:cs="Arial" w:eastAsia="Arial" w:hAnsi="Arial"/>
                <w:sz w:val="13"/>
                <w:szCs w:val="13"/>
                <w:color w:val="auto"/>
              </w:rPr>
              <w:t>revenue</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20"/>
                <w:szCs w:val="20"/>
                <w:color w:val="auto"/>
              </w:rPr>
            </w:pPr>
            <w:r>
              <w:rPr>
                <w:rFonts w:ascii="Arial" w:cs="Arial" w:eastAsia="Arial" w:hAnsi="Arial"/>
                <w:sz w:val="13"/>
                <w:szCs w:val="13"/>
                <w:color w:val="auto"/>
              </w:rPr>
              <w:t>growth¹</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7"/>
        </w:trPr>
        <w:tc>
          <w:tcPr>
            <w:tcW w:w="820" w:type="dxa"/>
            <w:vAlign w:val="bottom"/>
            <w:gridSpan w:val="2"/>
          </w:tcPr>
          <w:p>
            <w:pPr>
              <w:spacing w:after="0"/>
              <w:rPr>
                <w:sz w:val="20"/>
                <w:szCs w:val="20"/>
                <w:color w:val="auto"/>
              </w:rPr>
            </w:pPr>
            <w:r>
              <w:rPr>
                <w:rFonts w:ascii="Arial" w:cs="Arial" w:eastAsia="Arial" w:hAnsi="Arial"/>
                <w:sz w:val="13"/>
                <w:szCs w:val="13"/>
                <w:color w:val="auto"/>
              </w:rPr>
              <w:t>Adj. EBITDA</w:t>
            </w:r>
          </w:p>
        </w:tc>
        <w:tc>
          <w:tcPr>
            <w:tcW w:w="400" w:type="dxa"/>
            <w:vAlign w:val="bottom"/>
            <w:vMerge w:val="restart"/>
          </w:tcPr>
          <w:p>
            <w:pPr>
              <w:ind w:left="80"/>
              <w:spacing w:after="0"/>
              <w:rPr>
                <w:sz w:val="20"/>
                <w:szCs w:val="20"/>
                <w:color w:val="auto"/>
              </w:rPr>
            </w:pPr>
            <w:r>
              <w:rPr>
                <w:rFonts w:ascii="Arial" w:cs="Arial" w:eastAsia="Arial" w:hAnsi="Arial"/>
                <w:sz w:val="13"/>
                <w:szCs w:val="13"/>
                <w:color w:val="auto"/>
              </w:rPr>
              <w:t>32%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380" w:type="dxa"/>
            <w:vAlign w:val="bottom"/>
            <w:vMerge w:val="restart"/>
          </w:tcPr>
          <w:p>
            <w:pPr>
              <w:ind w:left="40"/>
              <w:spacing w:after="0"/>
              <w:rPr>
                <w:sz w:val="20"/>
                <w:szCs w:val="20"/>
                <w:color w:val="auto"/>
              </w:rPr>
            </w:pPr>
            <w:r>
              <w:rPr>
                <w:rFonts w:ascii="Arial" w:cs="Arial" w:eastAsia="Arial" w:hAnsi="Arial"/>
                <w:sz w:val="13"/>
                <w:szCs w:val="13"/>
                <w:color w:val="auto"/>
              </w:rPr>
              <w:t>40%</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80" w:type="dxa"/>
            <w:vAlign w:val="bottom"/>
            <w:vMerge w:val="restart"/>
          </w:tcPr>
          <w:p>
            <w:pPr>
              <w:ind w:left="40"/>
              <w:spacing w:after="0"/>
              <w:rPr>
                <w:sz w:val="20"/>
                <w:szCs w:val="20"/>
                <w:color w:val="auto"/>
              </w:rPr>
            </w:pPr>
            <w:r>
              <w:rPr>
                <w:rFonts w:ascii="Arial" w:cs="Arial" w:eastAsia="Arial" w:hAnsi="Arial"/>
                <w:sz w:val="13"/>
                <w:szCs w:val="13"/>
                <w:color w:val="auto"/>
              </w:rPr>
              <w:t>45%</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340" w:type="dxa"/>
            <w:vAlign w:val="bottom"/>
            <w:vMerge w:val="restart"/>
          </w:tcPr>
          <w:p>
            <w:pPr>
              <w:ind w:lef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rPr>
                <w:sz w:val="20"/>
                <w:szCs w:val="20"/>
                <w:color w:val="auto"/>
              </w:rPr>
            </w:pPr>
            <w:r>
              <w:rPr>
                <w:rFonts w:ascii="Arial" w:cs="Arial" w:eastAsia="Arial" w:hAnsi="Arial"/>
                <w:sz w:val="13"/>
                <w:szCs w:val="13"/>
                <w:color w:val="auto"/>
              </w:rPr>
              <w:t>margin</w:t>
            </w:r>
          </w:p>
        </w:tc>
        <w:tc>
          <w:tcPr>
            <w:tcW w:w="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1" w:right="240" w:hanging="91"/>
        <w:spacing w:after="0" w:line="253" w:lineRule="auto"/>
        <w:tabs>
          <w:tab w:leader="none" w:pos="91"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organic growth of the Company adjusted for acquisitions; Pro forma net revenue includes adjustments to the comparable periods to include the effect of any acquisitions or divestitures</w:t>
      </w:r>
    </w:p>
    <w:p>
      <w:pPr>
        <w:spacing w:after="0" w:line="200" w:lineRule="exact"/>
        <w:rPr>
          <w:sz w:val="20"/>
          <w:szCs w:val="20"/>
          <w:color w:val="auto"/>
        </w:rPr>
      </w:pPr>
    </w:p>
    <w:p>
      <w:pPr>
        <w:spacing w:after="0" w:line="226"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551"/>
          </w:cols>
          <w:pgMar w:left="1229" w:top="671" w:right="1119" w:bottom="1440" w:gutter="0" w:footer="0" w:header="0"/>
        </w:sectPr>
      </w:pPr>
    </w:p>
    <w:bookmarkStart w:id="17" w:name="page18"/>
    <w:bookmarkEnd w:id="17"/>
    <w:p>
      <w:pPr>
        <w:ind w:left="20"/>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Historical financial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FFFFFF"/>
        </w:rPr>
        <w:t>Lamar Advertising Co. ($mm)</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140" w:type="dxa"/>
            <w:vAlign w:val="bottom"/>
          </w:tcPr>
          <w:p>
            <w:pPr>
              <w:spacing w:after="0"/>
              <w:rPr>
                <w:sz w:val="18"/>
                <w:szCs w:val="18"/>
                <w:color w:val="auto"/>
              </w:rPr>
            </w:pPr>
          </w:p>
        </w:tc>
        <w:tc>
          <w:tcPr>
            <w:tcW w:w="1300" w:type="dxa"/>
            <w:vAlign w:val="bottom"/>
          </w:tcPr>
          <w:p>
            <w:pPr>
              <w:jc w:val="right"/>
              <w:ind w:right="69"/>
              <w:spacing w:after="0"/>
              <w:rPr>
                <w:sz w:val="20"/>
                <w:szCs w:val="20"/>
                <w:color w:val="auto"/>
              </w:rPr>
            </w:pPr>
            <w:r>
              <w:rPr>
                <w:rFonts w:ascii="Arial" w:cs="Arial" w:eastAsia="Arial" w:hAnsi="Arial"/>
                <w:sz w:val="18"/>
                <w:szCs w:val="18"/>
                <w:color w:val="auto"/>
              </w:rPr>
              <w:t>FY 2007</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FY 2008</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FY 2009</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FY 2010</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FY 2011</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FY 2012</w:t>
            </w:r>
          </w:p>
        </w:tc>
        <w:tc>
          <w:tcPr>
            <w:tcW w:w="880" w:type="dxa"/>
            <w:vAlign w:val="bottom"/>
          </w:tcPr>
          <w:p>
            <w:pPr>
              <w:jc w:val="right"/>
              <w:spacing w:after="0"/>
              <w:rPr>
                <w:sz w:val="20"/>
                <w:szCs w:val="20"/>
                <w:color w:val="auto"/>
              </w:rPr>
            </w:pPr>
            <w:r>
              <w:rPr>
                <w:rFonts w:ascii="Arial" w:cs="Arial" w:eastAsia="Arial" w:hAnsi="Arial"/>
                <w:sz w:val="18"/>
                <w:szCs w:val="18"/>
                <w:color w:val="auto"/>
              </w:rPr>
              <w:t>FY 2013</w:t>
            </w: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300" w:type="dxa"/>
            <w:vAlign w:val="bottom"/>
          </w:tcPr>
          <w:p>
            <w:pPr>
              <w:jc w:val="right"/>
              <w:ind w:right="69"/>
              <w:spacing w:after="0"/>
              <w:rPr>
                <w:sz w:val="20"/>
                <w:szCs w:val="20"/>
                <w:color w:val="auto"/>
              </w:rPr>
            </w:pPr>
            <w:r>
              <w:rPr>
                <w:rFonts w:ascii="Arial" w:cs="Arial" w:eastAsia="Arial" w:hAnsi="Arial"/>
                <w:sz w:val="18"/>
                <w:szCs w:val="18"/>
                <w:b w:val="1"/>
                <w:bCs w:val="1"/>
                <w:color w:val="auto"/>
              </w:rPr>
              <w:t>$1,209.6</w:t>
            </w:r>
          </w:p>
        </w:tc>
        <w:tc>
          <w:tcPr>
            <w:tcW w:w="1020" w:type="dxa"/>
            <w:vAlign w:val="bottom"/>
          </w:tcPr>
          <w:p>
            <w:pPr>
              <w:jc w:val="right"/>
              <w:ind w:right="69"/>
              <w:spacing w:after="0"/>
              <w:rPr>
                <w:sz w:val="20"/>
                <w:szCs w:val="20"/>
                <w:color w:val="auto"/>
              </w:rPr>
            </w:pPr>
            <w:r>
              <w:rPr>
                <w:rFonts w:ascii="Arial" w:cs="Arial" w:eastAsia="Arial" w:hAnsi="Arial"/>
                <w:sz w:val="18"/>
                <w:szCs w:val="18"/>
                <w:b w:val="1"/>
                <w:bCs w:val="1"/>
                <w:color w:val="auto"/>
              </w:rPr>
              <w:t>$1,198.4</w:t>
            </w:r>
          </w:p>
        </w:tc>
        <w:tc>
          <w:tcPr>
            <w:tcW w:w="1020" w:type="dxa"/>
            <w:vAlign w:val="bottom"/>
          </w:tcPr>
          <w:p>
            <w:pPr>
              <w:jc w:val="right"/>
              <w:ind w:right="69"/>
              <w:spacing w:after="0"/>
              <w:rPr>
                <w:sz w:val="20"/>
                <w:szCs w:val="20"/>
                <w:color w:val="auto"/>
              </w:rPr>
            </w:pPr>
            <w:r>
              <w:rPr>
                <w:rFonts w:ascii="Arial" w:cs="Arial" w:eastAsia="Arial" w:hAnsi="Arial"/>
                <w:sz w:val="18"/>
                <w:szCs w:val="18"/>
                <w:b w:val="1"/>
                <w:bCs w:val="1"/>
                <w:color w:val="auto"/>
              </w:rPr>
              <w:t>$1,055.1</w:t>
            </w:r>
          </w:p>
        </w:tc>
        <w:tc>
          <w:tcPr>
            <w:tcW w:w="1040" w:type="dxa"/>
            <w:vAlign w:val="bottom"/>
          </w:tcPr>
          <w:p>
            <w:pPr>
              <w:jc w:val="right"/>
              <w:ind w:right="69"/>
              <w:spacing w:after="0"/>
              <w:rPr>
                <w:sz w:val="20"/>
                <w:szCs w:val="20"/>
                <w:color w:val="auto"/>
              </w:rPr>
            </w:pPr>
            <w:r>
              <w:rPr>
                <w:rFonts w:ascii="Arial" w:cs="Arial" w:eastAsia="Arial" w:hAnsi="Arial"/>
                <w:sz w:val="18"/>
                <w:szCs w:val="18"/>
                <w:b w:val="1"/>
                <w:bCs w:val="1"/>
                <w:color w:val="auto"/>
              </w:rPr>
              <w:t>$1,094.1</w:t>
            </w:r>
          </w:p>
        </w:tc>
        <w:tc>
          <w:tcPr>
            <w:tcW w:w="1020" w:type="dxa"/>
            <w:vAlign w:val="bottom"/>
          </w:tcPr>
          <w:p>
            <w:pPr>
              <w:jc w:val="right"/>
              <w:ind w:right="69"/>
              <w:spacing w:after="0"/>
              <w:rPr>
                <w:sz w:val="20"/>
                <w:szCs w:val="20"/>
                <w:color w:val="auto"/>
              </w:rPr>
            </w:pPr>
            <w:r>
              <w:rPr>
                <w:rFonts w:ascii="Arial" w:cs="Arial" w:eastAsia="Arial" w:hAnsi="Arial"/>
                <w:sz w:val="18"/>
                <w:szCs w:val="18"/>
                <w:b w:val="1"/>
                <w:bCs w:val="1"/>
                <w:color w:val="auto"/>
              </w:rPr>
              <w:t>$1,130.7</w:t>
            </w:r>
          </w:p>
        </w:tc>
        <w:tc>
          <w:tcPr>
            <w:tcW w:w="1020" w:type="dxa"/>
            <w:vAlign w:val="bottom"/>
          </w:tcPr>
          <w:p>
            <w:pPr>
              <w:jc w:val="right"/>
              <w:ind w:right="69"/>
              <w:spacing w:after="0"/>
              <w:rPr>
                <w:sz w:val="20"/>
                <w:szCs w:val="20"/>
                <w:color w:val="auto"/>
              </w:rPr>
            </w:pPr>
            <w:r>
              <w:rPr>
                <w:rFonts w:ascii="Arial" w:cs="Arial" w:eastAsia="Arial" w:hAnsi="Arial"/>
                <w:sz w:val="18"/>
                <w:szCs w:val="18"/>
                <w:b w:val="1"/>
                <w:bCs w:val="1"/>
                <w:color w:val="auto"/>
              </w:rPr>
              <w:t>$1,179.7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$1,245.8</w:t>
            </w:r>
          </w:p>
        </w:tc>
        <w:tc>
          <w:tcPr>
            <w:tcW w:w="0" w:type="dxa"/>
            <w:vAlign w:val="bottom"/>
          </w:tcPr>
          <w:p>
            <w:pPr>
              <w:spacing w:after="0"/>
              <w:rPr>
                <w:sz w:val="1"/>
                <w:szCs w:val="1"/>
                <w:color w:val="auto"/>
              </w:rPr>
            </w:pPr>
          </w:p>
        </w:tc>
      </w:tr>
      <w:tr>
        <w:trPr>
          <w:trHeight w:val="351"/>
        </w:trPr>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 growth</w:t>
            </w:r>
          </w:p>
        </w:tc>
        <w:tc>
          <w:tcPr>
            <w:tcW w:w="1300" w:type="dxa"/>
            <w:vAlign w:val="bottom"/>
          </w:tcPr>
          <w:p>
            <w:pPr>
              <w:jc w:val="right"/>
              <w:ind w:right="89"/>
              <w:spacing w:after="0"/>
              <w:rPr>
                <w:sz w:val="20"/>
                <w:szCs w:val="20"/>
                <w:color w:val="auto"/>
              </w:rPr>
            </w:pPr>
            <w:r>
              <w:rPr>
                <w:rFonts w:ascii="Arial" w:cs="Arial" w:eastAsia="Arial" w:hAnsi="Arial"/>
                <w:sz w:val="18"/>
                <w:szCs w:val="18"/>
                <w:i w:val="1"/>
                <w:iCs w:val="1"/>
                <w:color w:val="auto"/>
              </w:rPr>
              <w:t>8.0%</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(0.9%)</w:t>
            </w:r>
          </w:p>
        </w:tc>
        <w:tc>
          <w:tcPr>
            <w:tcW w:w="1020" w:type="dxa"/>
            <w:vAlign w:val="bottom"/>
          </w:tcPr>
          <w:p>
            <w:pPr>
              <w:jc w:val="right"/>
              <w:ind w:right="69"/>
              <w:spacing w:after="0"/>
              <w:rPr>
                <w:sz w:val="20"/>
                <w:szCs w:val="20"/>
                <w:color w:val="auto"/>
              </w:rPr>
            </w:pPr>
            <w:r>
              <w:rPr>
                <w:rFonts w:ascii="Arial" w:cs="Arial" w:eastAsia="Arial" w:hAnsi="Arial"/>
                <w:sz w:val="18"/>
                <w:szCs w:val="18"/>
                <w:i w:val="1"/>
                <w:iCs w:val="1"/>
                <w:color w:val="auto"/>
              </w:rPr>
              <w:t>(12.0%)</w:t>
            </w:r>
          </w:p>
        </w:tc>
        <w:tc>
          <w:tcPr>
            <w:tcW w:w="1040" w:type="dxa"/>
            <w:vAlign w:val="bottom"/>
          </w:tcPr>
          <w:p>
            <w:pPr>
              <w:jc w:val="right"/>
              <w:ind w:right="89"/>
              <w:spacing w:after="0"/>
              <w:rPr>
                <w:sz w:val="20"/>
                <w:szCs w:val="20"/>
                <w:color w:val="auto"/>
              </w:rPr>
            </w:pPr>
            <w:r>
              <w:rPr>
                <w:rFonts w:ascii="Arial" w:cs="Arial" w:eastAsia="Arial" w:hAnsi="Arial"/>
                <w:sz w:val="18"/>
                <w:szCs w:val="18"/>
                <w:i w:val="1"/>
                <w:iCs w:val="1"/>
                <w:color w:val="auto"/>
              </w:rPr>
              <w:t>3.7%</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3.3%</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4.3%</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526"/>
        </w:trPr>
        <w:tc>
          <w:tcPr>
            <w:tcW w:w="21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tc>
        <w:tc>
          <w:tcPr>
            <w:tcW w:w="1300" w:type="dxa"/>
            <w:vAlign w:val="bottom"/>
          </w:tcPr>
          <w:p>
            <w:pPr>
              <w:jc w:val="right"/>
              <w:ind w:right="69"/>
              <w:spacing w:after="0"/>
              <w:rPr>
                <w:sz w:val="20"/>
                <w:szCs w:val="20"/>
                <w:color w:val="auto"/>
              </w:rPr>
            </w:pPr>
            <w:r>
              <w:rPr>
                <w:rFonts w:ascii="Arial" w:cs="Arial" w:eastAsia="Arial" w:hAnsi="Arial"/>
                <w:sz w:val="18"/>
                <w:szCs w:val="18"/>
                <w:color w:val="auto"/>
              </w:rPr>
              <w:t>653.7</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686.3</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614.7</w:t>
            </w:r>
          </w:p>
        </w:tc>
        <w:tc>
          <w:tcPr>
            <w:tcW w:w="1040" w:type="dxa"/>
            <w:vAlign w:val="bottom"/>
          </w:tcPr>
          <w:p>
            <w:pPr>
              <w:jc w:val="right"/>
              <w:ind w:right="89"/>
              <w:spacing w:after="0"/>
              <w:rPr>
                <w:sz w:val="20"/>
                <w:szCs w:val="20"/>
                <w:color w:val="auto"/>
              </w:rPr>
            </w:pPr>
            <w:r>
              <w:rPr>
                <w:rFonts w:ascii="Arial" w:cs="Arial" w:eastAsia="Arial" w:hAnsi="Arial"/>
                <w:sz w:val="18"/>
                <w:szCs w:val="18"/>
                <w:color w:val="auto"/>
              </w:rPr>
              <w:t>627.1</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646.4</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668.4</w:t>
            </w:r>
          </w:p>
        </w:tc>
        <w:tc>
          <w:tcPr>
            <w:tcW w:w="880" w:type="dxa"/>
            <w:vAlign w:val="bottom"/>
          </w:tcPr>
          <w:p>
            <w:pPr>
              <w:jc w:val="right"/>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36"/>
        </w:trPr>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 of net revenues</w:t>
            </w:r>
          </w:p>
        </w:tc>
        <w:tc>
          <w:tcPr>
            <w:tcW w:w="1300" w:type="dxa"/>
            <w:vAlign w:val="bottom"/>
          </w:tcPr>
          <w:p>
            <w:pPr>
              <w:jc w:val="right"/>
              <w:ind w:right="69"/>
              <w:spacing w:after="0"/>
              <w:rPr>
                <w:sz w:val="20"/>
                <w:szCs w:val="20"/>
                <w:color w:val="auto"/>
              </w:rPr>
            </w:pPr>
            <w:r>
              <w:rPr>
                <w:rFonts w:ascii="Arial" w:cs="Arial" w:eastAsia="Arial" w:hAnsi="Arial"/>
                <w:sz w:val="18"/>
                <w:szCs w:val="18"/>
                <w:i w:val="1"/>
                <w:iCs w:val="1"/>
                <w:color w:val="auto"/>
              </w:rPr>
              <w:t>54.0%</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57.3%</w:t>
            </w:r>
          </w:p>
        </w:tc>
        <w:tc>
          <w:tcPr>
            <w:tcW w:w="1020" w:type="dxa"/>
            <w:vAlign w:val="bottom"/>
          </w:tcPr>
          <w:p>
            <w:pPr>
              <w:jc w:val="right"/>
              <w:ind w:right="69"/>
              <w:spacing w:after="0"/>
              <w:rPr>
                <w:sz w:val="20"/>
                <w:szCs w:val="20"/>
                <w:color w:val="auto"/>
              </w:rPr>
            </w:pPr>
            <w:r>
              <w:rPr>
                <w:rFonts w:ascii="Arial" w:cs="Arial" w:eastAsia="Arial" w:hAnsi="Arial"/>
                <w:sz w:val="18"/>
                <w:szCs w:val="18"/>
                <w:i w:val="1"/>
                <w:iCs w:val="1"/>
                <w:color w:val="auto"/>
              </w:rPr>
              <w:t>58.3%</w:t>
            </w:r>
          </w:p>
        </w:tc>
        <w:tc>
          <w:tcPr>
            <w:tcW w:w="1040" w:type="dxa"/>
            <w:vAlign w:val="bottom"/>
          </w:tcPr>
          <w:p>
            <w:pPr>
              <w:jc w:val="right"/>
              <w:ind w:right="89"/>
              <w:spacing w:after="0"/>
              <w:rPr>
                <w:sz w:val="20"/>
                <w:szCs w:val="20"/>
                <w:color w:val="auto"/>
              </w:rPr>
            </w:pPr>
            <w:r>
              <w:rPr>
                <w:rFonts w:ascii="Arial" w:cs="Arial" w:eastAsia="Arial" w:hAnsi="Arial"/>
                <w:sz w:val="18"/>
                <w:szCs w:val="18"/>
                <w:i w:val="1"/>
                <w:iCs w:val="1"/>
                <w:color w:val="auto"/>
              </w:rPr>
              <w:t>57.3%</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57.2%</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56.7%</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56.2%</w:t>
            </w:r>
          </w:p>
        </w:tc>
        <w:tc>
          <w:tcPr>
            <w:tcW w:w="0" w:type="dxa"/>
            <w:vAlign w:val="bottom"/>
          </w:tcPr>
          <w:p>
            <w:pPr>
              <w:spacing w:after="0"/>
              <w:rPr>
                <w:sz w:val="1"/>
                <w:szCs w:val="1"/>
                <w:color w:val="auto"/>
              </w:rPr>
            </w:pPr>
          </w:p>
        </w:tc>
      </w:tr>
      <w:tr>
        <w:trPr>
          <w:trHeight w:val="442"/>
        </w:trPr>
        <w:tc>
          <w:tcPr>
            <w:tcW w:w="2140" w:type="dxa"/>
            <w:vAlign w:val="bottom"/>
          </w:tcPr>
          <w:p>
            <w:pPr>
              <w:ind w:left="1440"/>
              <w:spacing w:after="0"/>
              <w:rPr>
                <w:sz w:val="20"/>
                <w:szCs w:val="20"/>
                <w:color w:val="auto"/>
              </w:rPr>
            </w:pPr>
            <w:r>
              <w:rPr>
                <w:rFonts w:ascii="Arial" w:cs="Arial" w:eastAsia="Arial" w:hAnsi="Arial"/>
                <w:sz w:val="15"/>
                <w:szCs w:val="15"/>
                <w:b w:val="1"/>
                <w:bCs w:val="1"/>
                <w:color w:val="auto"/>
              </w:rPr>
              <w:t>2</w:t>
            </w:r>
          </w:p>
        </w:tc>
        <w:tc>
          <w:tcPr>
            <w:tcW w:w="130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$555.9</w:t>
            </w:r>
          </w:p>
        </w:tc>
        <w:tc>
          <w:tcPr>
            <w:tcW w:w="102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$512.1</w:t>
            </w:r>
          </w:p>
        </w:tc>
        <w:tc>
          <w:tcPr>
            <w:tcW w:w="102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$440.5</w:t>
            </w:r>
          </w:p>
        </w:tc>
        <w:tc>
          <w:tcPr>
            <w:tcW w:w="104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auto"/>
              </w:rPr>
              <w:t>$467.0</w:t>
            </w:r>
          </w:p>
        </w:tc>
        <w:tc>
          <w:tcPr>
            <w:tcW w:w="102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auto"/>
              </w:rPr>
              <w:t>$484.3</w:t>
            </w:r>
          </w:p>
        </w:tc>
        <w:tc>
          <w:tcPr>
            <w:tcW w:w="102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$511.3</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$545.1</w:t>
            </w: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 of net revenues</w:t>
            </w:r>
          </w:p>
        </w:tc>
        <w:tc>
          <w:tcPr>
            <w:tcW w:w="1300" w:type="dxa"/>
            <w:vAlign w:val="bottom"/>
          </w:tcPr>
          <w:p>
            <w:pPr>
              <w:jc w:val="right"/>
              <w:ind w:right="69"/>
              <w:spacing w:after="0"/>
              <w:rPr>
                <w:sz w:val="20"/>
                <w:szCs w:val="20"/>
                <w:color w:val="auto"/>
              </w:rPr>
            </w:pPr>
            <w:r>
              <w:rPr>
                <w:rFonts w:ascii="Arial" w:cs="Arial" w:eastAsia="Arial" w:hAnsi="Arial"/>
                <w:sz w:val="18"/>
                <w:szCs w:val="18"/>
                <w:i w:val="1"/>
                <w:iCs w:val="1"/>
                <w:color w:val="auto"/>
              </w:rPr>
              <w:t>46.0%</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42.7%</w:t>
            </w:r>
          </w:p>
        </w:tc>
        <w:tc>
          <w:tcPr>
            <w:tcW w:w="1020" w:type="dxa"/>
            <w:vAlign w:val="bottom"/>
          </w:tcPr>
          <w:p>
            <w:pPr>
              <w:jc w:val="right"/>
              <w:ind w:right="69"/>
              <w:spacing w:after="0"/>
              <w:rPr>
                <w:sz w:val="20"/>
                <w:szCs w:val="20"/>
                <w:color w:val="auto"/>
              </w:rPr>
            </w:pPr>
            <w:r>
              <w:rPr>
                <w:rFonts w:ascii="Arial" w:cs="Arial" w:eastAsia="Arial" w:hAnsi="Arial"/>
                <w:sz w:val="18"/>
                <w:szCs w:val="18"/>
                <w:i w:val="1"/>
                <w:iCs w:val="1"/>
                <w:color w:val="auto"/>
              </w:rPr>
              <w:t>41.7%</w:t>
            </w:r>
          </w:p>
        </w:tc>
        <w:tc>
          <w:tcPr>
            <w:tcW w:w="1040" w:type="dxa"/>
            <w:vAlign w:val="bottom"/>
          </w:tcPr>
          <w:p>
            <w:pPr>
              <w:jc w:val="right"/>
              <w:ind w:right="89"/>
              <w:spacing w:after="0"/>
              <w:rPr>
                <w:sz w:val="20"/>
                <w:szCs w:val="20"/>
                <w:color w:val="auto"/>
              </w:rPr>
            </w:pPr>
            <w:r>
              <w:rPr>
                <w:rFonts w:ascii="Arial" w:cs="Arial" w:eastAsia="Arial" w:hAnsi="Arial"/>
                <w:sz w:val="18"/>
                <w:szCs w:val="18"/>
                <w:i w:val="1"/>
                <w:iCs w:val="1"/>
                <w:color w:val="auto"/>
              </w:rPr>
              <w:t>42.7%</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42.8%</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43.3%</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43.8%</w:t>
            </w:r>
          </w:p>
        </w:tc>
        <w:tc>
          <w:tcPr>
            <w:tcW w:w="0" w:type="dxa"/>
            <w:vAlign w:val="bottom"/>
          </w:tcPr>
          <w:p>
            <w:pPr>
              <w:spacing w:after="0"/>
              <w:rPr>
                <w:sz w:val="1"/>
                <w:szCs w:val="1"/>
                <w:color w:val="auto"/>
              </w:rPr>
            </w:pPr>
          </w:p>
        </w:tc>
      </w:tr>
      <w:tr>
        <w:trPr>
          <w:trHeight w:val="423"/>
        </w:trPr>
        <w:tc>
          <w:tcPr>
            <w:tcW w:w="2140" w:type="dxa"/>
            <w:vAlign w:val="bottom"/>
          </w:tcPr>
          <w:p>
            <w:pPr>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jc w:val="right"/>
              <w:ind w:right="69"/>
              <w:spacing w:after="0"/>
              <w:rPr>
                <w:sz w:val="20"/>
                <w:szCs w:val="20"/>
                <w:color w:val="auto"/>
              </w:rPr>
            </w:pPr>
            <w:r>
              <w:rPr>
                <w:rFonts w:ascii="Arial" w:cs="Arial" w:eastAsia="Arial" w:hAnsi="Arial"/>
                <w:sz w:val="18"/>
                <w:szCs w:val="18"/>
                <w:color w:val="auto"/>
              </w:rPr>
              <w:t>220.5</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198.1</w:t>
            </w:r>
          </w:p>
        </w:tc>
        <w:tc>
          <w:tcPr>
            <w:tcW w:w="1020" w:type="dxa"/>
            <w:vAlign w:val="bottom"/>
          </w:tcPr>
          <w:p>
            <w:pPr>
              <w:jc w:val="right"/>
              <w:ind w:right="69"/>
              <w:spacing w:after="0"/>
              <w:rPr>
                <w:sz w:val="20"/>
                <w:szCs w:val="20"/>
                <w:color w:val="auto"/>
              </w:rPr>
            </w:pPr>
            <w:r>
              <w:rPr>
                <w:rFonts w:ascii="Arial" w:cs="Arial" w:eastAsia="Arial" w:hAnsi="Arial"/>
                <w:sz w:val="18"/>
                <w:szCs w:val="18"/>
                <w:color w:val="auto"/>
              </w:rPr>
              <w:t>38.8</w:t>
            </w:r>
          </w:p>
        </w:tc>
        <w:tc>
          <w:tcPr>
            <w:tcW w:w="1040" w:type="dxa"/>
            <w:vAlign w:val="bottom"/>
          </w:tcPr>
          <w:p>
            <w:pPr>
              <w:jc w:val="right"/>
              <w:ind w:right="89"/>
              <w:spacing w:after="0"/>
              <w:rPr>
                <w:sz w:val="20"/>
                <w:szCs w:val="20"/>
                <w:color w:val="auto"/>
              </w:rPr>
            </w:pPr>
            <w:r>
              <w:rPr>
                <w:rFonts w:ascii="Arial" w:cs="Arial" w:eastAsia="Arial" w:hAnsi="Arial"/>
                <w:sz w:val="18"/>
                <w:szCs w:val="18"/>
                <w:color w:val="auto"/>
              </w:rPr>
              <w:t>43.5</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107.1</w:t>
            </w:r>
          </w:p>
        </w:tc>
        <w:tc>
          <w:tcPr>
            <w:tcW w:w="1020" w:type="dxa"/>
            <w:vAlign w:val="bottom"/>
          </w:tcPr>
          <w:p>
            <w:pPr>
              <w:jc w:val="right"/>
              <w:ind w:right="89"/>
              <w:spacing w:after="0"/>
              <w:rPr>
                <w:sz w:val="20"/>
                <w:szCs w:val="20"/>
                <w:color w:val="auto"/>
              </w:rPr>
            </w:pPr>
            <w:r>
              <w:rPr>
                <w:rFonts w:ascii="Arial" w:cs="Arial" w:eastAsia="Arial" w:hAnsi="Arial"/>
                <w:sz w:val="18"/>
                <w:szCs w:val="18"/>
                <w:color w:val="auto"/>
              </w:rPr>
              <w:t>105.6</w:t>
            </w:r>
          </w:p>
        </w:tc>
        <w:tc>
          <w:tcPr>
            <w:tcW w:w="880" w:type="dxa"/>
            <w:vAlign w:val="bottom"/>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351"/>
        </w:trPr>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 of net revenues</w:t>
            </w:r>
          </w:p>
        </w:tc>
        <w:tc>
          <w:tcPr>
            <w:tcW w:w="1300" w:type="dxa"/>
            <w:vAlign w:val="bottom"/>
          </w:tcPr>
          <w:p>
            <w:pPr>
              <w:jc w:val="right"/>
              <w:ind w:right="69"/>
              <w:spacing w:after="0"/>
              <w:rPr>
                <w:sz w:val="20"/>
                <w:szCs w:val="20"/>
                <w:color w:val="auto"/>
              </w:rPr>
            </w:pPr>
            <w:r>
              <w:rPr>
                <w:rFonts w:ascii="Arial" w:cs="Arial" w:eastAsia="Arial" w:hAnsi="Arial"/>
                <w:sz w:val="18"/>
                <w:szCs w:val="18"/>
                <w:i w:val="1"/>
                <w:iCs w:val="1"/>
                <w:color w:val="auto"/>
              </w:rPr>
              <w:t>18.2%</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16.5%</w:t>
            </w:r>
          </w:p>
        </w:tc>
        <w:tc>
          <w:tcPr>
            <w:tcW w:w="1020" w:type="dxa"/>
            <w:vAlign w:val="bottom"/>
          </w:tcPr>
          <w:p>
            <w:pPr>
              <w:jc w:val="right"/>
              <w:ind w:right="69"/>
              <w:spacing w:after="0"/>
              <w:rPr>
                <w:sz w:val="20"/>
                <w:szCs w:val="20"/>
                <w:color w:val="auto"/>
              </w:rPr>
            </w:pPr>
            <w:r>
              <w:rPr>
                <w:rFonts w:ascii="Arial" w:cs="Arial" w:eastAsia="Arial" w:hAnsi="Arial"/>
                <w:sz w:val="18"/>
                <w:szCs w:val="18"/>
                <w:i w:val="1"/>
                <w:iCs w:val="1"/>
                <w:color w:val="auto"/>
              </w:rPr>
              <w:t>3.7%</w:t>
            </w:r>
          </w:p>
        </w:tc>
        <w:tc>
          <w:tcPr>
            <w:tcW w:w="1040" w:type="dxa"/>
            <w:vAlign w:val="bottom"/>
          </w:tcPr>
          <w:p>
            <w:pPr>
              <w:jc w:val="right"/>
              <w:ind w:right="89"/>
              <w:spacing w:after="0"/>
              <w:rPr>
                <w:sz w:val="20"/>
                <w:szCs w:val="20"/>
                <w:color w:val="auto"/>
              </w:rPr>
            </w:pPr>
            <w:r>
              <w:rPr>
                <w:rFonts w:ascii="Arial" w:cs="Arial" w:eastAsia="Arial" w:hAnsi="Arial"/>
                <w:sz w:val="18"/>
                <w:szCs w:val="18"/>
                <w:i w:val="1"/>
                <w:iCs w:val="1"/>
                <w:color w:val="auto"/>
              </w:rPr>
              <w:t>4.0%</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9.5%</w:t>
            </w:r>
          </w:p>
        </w:tc>
        <w:tc>
          <w:tcPr>
            <w:tcW w:w="1020" w:type="dxa"/>
            <w:vAlign w:val="bottom"/>
          </w:tcPr>
          <w:p>
            <w:pPr>
              <w:jc w:val="right"/>
              <w:ind w:right="89"/>
              <w:spacing w:after="0"/>
              <w:rPr>
                <w:sz w:val="20"/>
                <w:szCs w:val="20"/>
                <w:color w:val="auto"/>
              </w:rPr>
            </w:pPr>
            <w:r>
              <w:rPr>
                <w:rFonts w:ascii="Arial" w:cs="Arial" w:eastAsia="Arial" w:hAnsi="Arial"/>
                <w:sz w:val="18"/>
                <w:szCs w:val="18"/>
                <w:i w:val="1"/>
                <w:iCs w:val="1"/>
                <w:color w:val="auto"/>
              </w:rPr>
              <w:t>9.0%</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¹ Excludes non-cash compensation</w:t>
      </w:r>
    </w:p>
    <w:p>
      <w:pPr>
        <w:ind w:left="100" w:right="420" w:hanging="91"/>
        <w:spacing w:after="0" w:line="244" w:lineRule="auto"/>
        <w:tabs>
          <w:tab w:leader="none" w:pos="1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is defined as earnings (loss) before non-cash compensation, interest, taxes, depreciation, amortization, gain or loss on disposition of assets and investments and loss on debt extinguishment. Refer to the appendix for a reconciliation of Adjusted EBITDA to Net Income (Loss)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500"/>
          </w:cols>
          <w:pgMar w:left="1220" w:top="1061" w:right="1179" w:bottom="1440" w:gutter="0" w:footer="0" w:header="0"/>
        </w:sectPr>
      </w:pPr>
    </w:p>
    <w:bookmarkStart w:id="18" w:name="page19"/>
    <w:bookmarkEnd w:id="18"/>
    <w:p>
      <w:pPr>
        <w:ind w:left="20"/>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Lamar is a strong free cash flow generator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FFFFFF"/>
        </w:rPr>
        <w:t>Lamar Advertising Co. ($mm)</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80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8"/>
                <w:szCs w:val="18"/>
                <w:color w:val="auto"/>
              </w:rPr>
              <w:t>FY 2007</w:t>
            </w:r>
          </w:p>
        </w:tc>
        <w:tc>
          <w:tcPr>
            <w:tcW w:w="940" w:type="dxa"/>
            <w:vAlign w:val="bottom"/>
          </w:tcPr>
          <w:p>
            <w:pPr>
              <w:jc w:val="right"/>
              <w:ind w:right="29"/>
              <w:spacing w:after="0"/>
              <w:rPr>
                <w:sz w:val="20"/>
                <w:szCs w:val="20"/>
                <w:color w:val="auto"/>
              </w:rPr>
            </w:pPr>
            <w:r>
              <w:rPr>
                <w:rFonts w:ascii="Arial" w:cs="Arial" w:eastAsia="Arial" w:hAnsi="Arial"/>
                <w:sz w:val="18"/>
                <w:szCs w:val="18"/>
                <w:color w:val="auto"/>
              </w:rPr>
              <w:t>FY 2008</w:t>
            </w:r>
          </w:p>
        </w:tc>
        <w:tc>
          <w:tcPr>
            <w:tcW w:w="940" w:type="dxa"/>
            <w:vAlign w:val="bottom"/>
          </w:tcPr>
          <w:p>
            <w:pPr>
              <w:jc w:val="right"/>
              <w:ind w:right="29"/>
              <w:spacing w:after="0"/>
              <w:rPr>
                <w:sz w:val="20"/>
                <w:szCs w:val="20"/>
                <w:color w:val="auto"/>
              </w:rPr>
            </w:pPr>
            <w:r>
              <w:rPr>
                <w:rFonts w:ascii="Arial" w:cs="Arial" w:eastAsia="Arial" w:hAnsi="Arial"/>
                <w:sz w:val="18"/>
                <w:szCs w:val="18"/>
                <w:color w:val="auto"/>
              </w:rPr>
              <w:t>FY 2009</w:t>
            </w:r>
          </w:p>
        </w:tc>
        <w:tc>
          <w:tcPr>
            <w:tcW w:w="940" w:type="dxa"/>
            <w:vAlign w:val="bottom"/>
          </w:tcPr>
          <w:p>
            <w:pPr>
              <w:jc w:val="right"/>
              <w:ind w:right="29"/>
              <w:spacing w:after="0"/>
              <w:rPr>
                <w:sz w:val="20"/>
                <w:szCs w:val="20"/>
                <w:color w:val="auto"/>
              </w:rPr>
            </w:pPr>
            <w:r>
              <w:rPr>
                <w:rFonts w:ascii="Arial" w:cs="Arial" w:eastAsia="Arial" w:hAnsi="Arial"/>
                <w:sz w:val="18"/>
                <w:szCs w:val="18"/>
                <w:color w:val="auto"/>
              </w:rPr>
              <w:t>FY 2010</w:t>
            </w:r>
          </w:p>
        </w:tc>
        <w:tc>
          <w:tcPr>
            <w:tcW w:w="960" w:type="dxa"/>
            <w:vAlign w:val="bottom"/>
          </w:tcPr>
          <w:p>
            <w:pPr>
              <w:jc w:val="right"/>
              <w:ind w:right="49"/>
              <w:spacing w:after="0"/>
              <w:rPr>
                <w:sz w:val="20"/>
                <w:szCs w:val="20"/>
                <w:color w:val="auto"/>
              </w:rPr>
            </w:pPr>
            <w:r>
              <w:rPr>
                <w:rFonts w:ascii="Arial" w:cs="Arial" w:eastAsia="Arial" w:hAnsi="Arial"/>
                <w:sz w:val="18"/>
                <w:szCs w:val="18"/>
                <w:color w:val="auto"/>
              </w:rPr>
              <w:t>FY 2011</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FY 2012</w:t>
            </w:r>
          </w:p>
        </w:tc>
        <w:tc>
          <w:tcPr>
            <w:tcW w:w="820" w:type="dxa"/>
            <w:vAlign w:val="bottom"/>
          </w:tcPr>
          <w:p>
            <w:pPr>
              <w:jc w:val="right"/>
              <w:spacing w:after="0"/>
              <w:rPr>
                <w:sz w:val="20"/>
                <w:szCs w:val="20"/>
                <w:color w:val="auto"/>
              </w:rPr>
            </w:pPr>
            <w:r>
              <w:rPr>
                <w:rFonts w:ascii="Arial" w:cs="Arial" w:eastAsia="Arial" w:hAnsi="Arial"/>
                <w:sz w:val="18"/>
                <w:szCs w:val="18"/>
                <w:color w:val="auto"/>
              </w:rPr>
              <w:t>FY 2013</w:t>
            </w:r>
          </w:p>
        </w:tc>
      </w:tr>
      <w:tr>
        <w:trPr>
          <w:trHeight w:val="315"/>
        </w:trPr>
        <w:tc>
          <w:tcPr>
            <w:tcW w:w="280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¹</w:t>
            </w:r>
          </w:p>
        </w:tc>
        <w:tc>
          <w:tcPr>
            <w:tcW w:w="1100" w:type="dxa"/>
            <w:vAlign w:val="bottom"/>
          </w:tcPr>
          <w:p>
            <w:pPr>
              <w:jc w:val="right"/>
              <w:ind w:right="29"/>
              <w:spacing w:after="0"/>
              <w:rPr>
                <w:sz w:val="20"/>
                <w:szCs w:val="20"/>
                <w:color w:val="auto"/>
              </w:rPr>
            </w:pPr>
            <w:r>
              <w:rPr>
                <w:rFonts w:ascii="Arial" w:cs="Arial" w:eastAsia="Arial" w:hAnsi="Arial"/>
                <w:sz w:val="18"/>
                <w:szCs w:val="18"/>
                <w:b w:val="1"/>
                <w:bCs w:val="1"/>
                <w:color w:val="auto"/>
              </w:rPr>
              <w:t>$555.9</w:t>
            </w:r>
          </w:p>
        </w:tc>
        <w:tc>
          <w:tcPr>
            <w:tcW w:w="940" w:type="dxa"/>
            <w:vAlign w:val="bottom"/>
          </w:tcPr>
          <w:p>
            <w:pPr>
              <w:jc w:val="right"/>
              <w:ind w:right="29"/>
              <w:spacing w:after="0"/>
              <w:rPr>
                <w:sz w:val="20"/>
                <w:szCs w:val="20"/>
                <w:color w:val="auto"/>
              </w:rPr>
            </w:pPr>
            <w:r>
              <w:rPr>
                <w:rFonts w:ascii="Arial" w:cs="Arial" w:eastAsia="Arial" w:hAnsi="Arial"/>
                <w:sz w:val="18"/>
                <w:szCs w:val="18"/>
                <w:b w:val="1"/>
                <w:bCs w:val="1"/>
                <w:color w:val="auto"/>
              </w:rPr>
              <w:t>$512.1</w:t>
            </w:r>
          </w:p>
        </w:tc>
        <w:tc>
          <w:tcPr>
            <w:tcW w:w="940" w:type="dxa"/>
            <w:vAlign w:val="bottom"/>
          </w:tcPr>
          <w:p>
            <w:pPr>
              <w:jc w:val="right"/>
              <w:ind w:right="49"/>
              <w:spacing w:after="0"/>
              <w:rPr>
                <w:sz w:val="20"/>
                <w:szCs w:val="20"/>
                <w:color w:val="auto"/>
              </w:rPr>
            </w:pPr>
            <w:r>
              <w:rPr>
                <w:rFonts w:ascii="Arial" w:cs="Arial" w:eastAsia="Arial" w:hAnsi="Arial"/>
                <w:sz w:val="18"/>
                <w:szCs w:val="18"/>
                <w:b w:val="1"/>
                <w:bCs w:val="1"/>
                <w:color w:val="auto"/>
              </w:rPr>
              <w:t>$440.5</w:t>
            </w:r>
          </w:p>
        </w:tc>
        <w:tc>
          <w:tcPr>
            <w:tcW w:w="940" w:type="dxa"/>
            <w:vAlign w:val="bottom"/>
          </w:tcPr>
          <w:p>
            <w:pPr>
              <w:jc w:val="right"/>
              <w:ind w:right="29"/>
              <w:spacing w:after="0"/>
              <w:rPr>
                <w:sz w:val="20"/>
                <w:szCs w:val="20"/>
                <w:color w:val="auto"/>
              </w:rPr>
            </w:pPr>
            <w:r>
              <w:rPr>
                <w:rFonts w:ascii="Arial" w:cs="Arial" w:eastAsia="Arial" w:hAnsi="Arial"/>
                <w:sz w:val="18"/>
                <w:szCs w:val="18"/>
                <w:b w:val="1"/>
                <w:bCs w:val="1"/>
                <w:color w:val="auto"/>
              </w:rPr>
              <w:t>$467.0</w:t>
            </w:r>
          </w:p>
        </w:tc>
        <w:tc>
          <w:tcPr>
            <w:tcW w:w="960" w:type="dxa"/>
            <w:vAlign w:val="bottom"/>
          </w:tcPr>
          <w:p>
            <w:pPr>
              <w:jc w:val="right"/>
              <w:ind w:right="49"/>
              <w:spacing w:after="0"/>
              <w:rPr>
                <w:sz w:val="20"/>
                <w:szCs w:val="20"/>
                <w:color w:val="auto"/>
              </w:rPr>
            </w:pPr>
            <w:r>
              <w:rPr>
                <w:rFonts w:ascii="Arial" w:cs="Arial" w:eastAsia="Arial" w:hAnsi="Arial"/>
                <w:sz w:val="18"/>
                <w:szCs w:val="18"/>
                <w:b w:val="1"/>
                <w:bCs w:val="1"/>
                <w:color w:val="auto"/>
              </w:rPr>
              <w:t>$484.3</w:t>
            </w:r>
          </w:p>
        </w:tc>
        <w:tc>
          <w:tcPr>
            <w:tcW w:w="940" w:type="dxa"/>
            <w:vAlign w:val="bottom"/>
          </w:tcPr>
          <w:p>
            <w:pPr>
              <w:jc w:val="right"/>
              <w:ind w:right="49"/>
              <w:spacing w:after="0"/>
              <w:rPr>
                <w:sz w:val="20"/>
                <w:szCs w:val="20"/>
                <w:color w:val="auto"/>
              </w:rPr>
            </w:pPr>
            <w:r>
              <w:rPr>
                <w:rFonts w:ascii="Arial" w:cs="Arial" w:eastAsia="Arial" w:hAnsi="Arial"/>
                <w:sz w:val="18"/>
                <w:szCs w:val="18"/>
                <w:b w:val="1"/>
                <w:bCs w:val="1"/>
                <w:color w:val="auto"/>
              </w:rPr>
              <w:t>$511.3</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$545.1</w:t>
            </w:r>
          </w:p>
        </w:tc>
      </w:tr>
      <w:tr>
        <w:trPr>
          <w:trHeight w:val="399"/>
        </w:trPr>
        <w:tc>
          <w:tcPr>
            <w:tcW w:w="2800" w:type="dxa"/>
            <w:vAlign w:val="bottom"/>
          </w:tcPr>
          <w:p>
            <w:pPr>
              <w:spacing w:after="0"/>
              <w:rPr>
                <w:sz w:val="20"/>
                <w:szCs w:val="20"/>
                <w:color w:val="auto"/>
              </w:rPr>
            </w:pPr>
            <w:r>
              <w:rPr>
                <w:rFonts w:ascii="Arial" w:cs="Arial" w:eastAsia="Arial" w:hAnsi="Arial"/>
                <w:sz w:val="18"/>
                <w:szCs w:val="18"/>
                <w:color w:val="auto"/>
              </w:rPr>
              <w:t>Less: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9"/>
        </w:trPr>
        <w:tc>
          <w:tcPr>
            <w:tcW w:w="28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jc w:val="right"/>
              <w:ind w:right="49"/>
              <w:spacing w:after="0"/>
              <w:rPr>
                <w:sz w:val="20"/>
                <w:szCs w:val="20"/>
                <w:color w:val="auto"/>
              </w:rPr>
            </w:pPr>
            <w:r>
              <w:rPr>
                <w:rFonts w:ascii="Arial" w:cs="Arial" w:eastAsia="Arial" w:hAnsi="Arial"/>
                <w:sz w:val="18"/>
                <w:szCs w:val="18"/>
                <w:color w:val="auto"/>
              </w:rPr>
              <w:t>155.3</w:t>
            </w:r>
          </w:p>
        </w:tc>
        <w:tc>
          <w:tcPr>
            <w:tcW w:w="940" w:type="dxa"/>
            <w:vAlign w:val="bottom"/>
          </w:tcPr>
          <w:p>
            <w:pPr>
              <w:jc w:val="right"/>
              <w:ind w:right="29"/>
              <w:spacing w:after="0"/>
              <w:rPr>
                <w:sz w:val="20"/>
                <w:szCs w:val="20"/>
                <w:color w:val="auto"/>
              </w:rPr>
            </w:pPr>
            <w:r>
              <w:rPr>
                <w:rFonts w:ascii="Arial" w:cs="Arial" w:eastAsia="Arial" w:hAnsi="Arial"/>
                <w:sz w:val="18"/>
                <w:szCs w:val="18"/>
                <w:color w:val="auto"/>
              </w:rPr>
              <w:t>153.0</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177.1</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168.7</w:t>
            </w:r>
          </w:p>
        </w:tc>
        <w:tc>
          <w:tcPr>
            <w:tcW w:w="960" w:type="dxa"/>
            <w:vAlign w:val="bottom"/>
          </w:tcPr>
          <w:p>
            <w:pPr>
              <w:jc w:val="right"/>
              <w:ind w:right="49"/>
              <w:spacing w:after="0"/>
              <w:rPr>
                <w:sz w:val="20"/>
                <w:szCs w:val="20"/>
                <w:color w:val="auto"/>
              </w:rPr>
            </w:pPr>
            <w:r>
              <w:rPr>
                <w:rFonts w:ascii="Arial" w:cs="Arial" w:eastAsia="Arial" w:hAnsi="Arial"/>
                <w:sz w:val="18"/>
                <w:szCs w:val="18"/>
                <w:color w:val="auto"/>
              </w:rPr>
              <w:t>152.0</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139.0</w:t>
            </w:r>
          </w:p>
        </w:tc>
        <w:tc>
          <w:tcPr>
            <w:tcW w:w="82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399"/>
        </w:trPr>
        <w:tc>
          <w:tcPr>
            <w:tcW w:w="2800" w:type="dxa"/>
            <w:vAlign w:val="bottom"/>
          </w:tcPr>
          <w:p>
            <w:pPr>
              <w:ind w:left="140"/>
              <w:spacing w:after="0"/>
              <w:rPr>
                <w:sz w:val="20"/>
                <w:szCs w:val="20"/>
                <w:color w:val="auto"/>
              </w:rPr>
            </w:pPr>
            <w:r>
              <w:rPr>
                <w:rFonts w:ascii="Arial" w:cs="Arial" w:eastAsia="Arial" w:hAnsi="Arial"/>
                <w:sz w:val="18"/>
                <w:szCs w:val="18"/>
                <w:color w:val="auto"/>
              </w:rPr>
              <w:t>Current tax expense (benefit)</w:t>
            </w:r>
          </w:p>
        </w:tc>
        <w:tc>
          <w:tcPr>
            <w:tcW w:w="1100" w:type="dxa"/>
            <w:vAlign w:val="bottom"/>
          </w:tcPr>
          <w:p>
            <w:pPr>
              <w:jc w:val="right"/>
              <w:ind w:right="49"/>
              <w:spacing w:after="0"/>
              <w:rPr>
                <w:sz w:val="20"/>
                <w:szCs w:val="20"/>
                <w:color w:val="auto"/>
              </w:rPr>
            </w:pPr>
            <w:r>
              <w:rPr>
                <w:rFonts w:ascii="Arial" w:cs="Arial" w:eastAsia="Arial" w:hAnsi="Arial"/>
                <w:sz w:val="18"/>
                <w:szCs w:val="18"/>
                <w:color w:val="auto"/>
              </w:rPr>
              <w:t>31.0</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(10.7)</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(16.0)</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69"/>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69"/>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99"/>
        </w:trPr>
        <w:tc>
          <w:tcPr>
            <w:tcW w:w="2800" w:type="dxa"/>
            <w:vAlign w:val="bottom"/>
          </w:tcPr>
          <w:p>
            <w:pPr>
              <w:ind w:left="140"/>
              <w:spacing w:after="0"/>
              <w:rPr>
                <w:sz w:val="20"/>
                <w:szCs w:val="20"/>
                <w:color w:val="auto"/>
              </w:rPr>
            </w:pPr>
            <w:r>
              <w:rPr>
                <w:rFonts w:ascii="Arial" w:cs="Arial" w:eastAsia="Arial" w:hAnsi="Arial"/>
                <w:sz w:val="18"/>
                <w:szCs w:val="18"/>
                <w:color w:val="auto"/>
              </w:rPr>
              <w:t>Preferred dividends</w:t>
            </w:r>
          </w:p>
        </w:tc>
        <w:tc>
          <w:tcPr>
            <w:tcW w:w="1100" w:type="dxa"/>
            <w:vAlign w:val="bottom"/>
          </w:tcPr>
          <w:p>
            <w:pPr>
              <w:jc w:val="right"/>
              <w:ind w:right="49"/>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0.4</w:t>
            </w:r>
          </w:p>
        </w:tc>
        <w:tc>
          <w:tcPr>
            <w:tcW w:w="960" w:type="dxa"/>
            <w:vAlign w:val="bottom"/>
          </w:tcPr>
          <w:p>
            <w:pPr>
              <w:jc w:val="right"/>
              <w:ind w:right="69"/>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69"/>
              <w:spacing w:after="0"/>
              <w:rPr>
                <w:sz w:val="20"/>
                <w:szCs w:val="20"/>
                <w:color w:val="auto"/>
              </w:rPr>
            </w:pPr>
            <w:r>
              <w:rPr>
                <w:rFonts w:ascii="Arial" w:cs="Arial" w:eastAsia="Arial" w:hAnsi="Arial"/>
                <w:sz w:val="18"/>
                <w:szCs w:val="18"/>
                <w:color w:val="auto"/>
              </w:rPr>
              <w:t>0.4</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411"/>
        </w:trPr>
        <w:tc>
          <w:tcPr>
            <w:tcW w:w="2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49"/>
              <w:spacing w:after="0"/>
              <w:rPr>
                <w:sz w:val="20"/>
                <w:szCs w:val="20"/>
                <w:color w:val="auto"/>
              </w:rPr>
            </w:pPr>
            <w:r>
              <w:rPr>
                <w:rFonts w:ascii="Arial" w:cs="Arial" w:eastAsia="Arial" w:hAnsi="Arial"/>
                <w:sz w:val="18"/>
                <w:szCs w:val="18"/>
                <w:color w:val="auto"/>
              </w:rPr>
              <w:t>220.5</w:t>
            </w:r>
          </w:p>
        </w:tc>
        <w:tc>
          <w:tcPr>
            <w:tcW w:w="940" w:type="dxa"/>
            <w:vAlign w:val="bottom"/>
          </w:tcPr>
          <w:p>
            <w:pPr>
              <w:jc w:val="right"/>
              <w:ind w:right="29"/>
              <w:spacing w:after="0"/>
              <w:rPr>
                <w:sz w:val="20"/>
                <w:szCs w:val="20"/>
                <w:color w:val="auto"/>
              </w:rPr>
            </w:pPr>
            <w:r>
              <w:rPr>
                <w:rFonts w:ascii="Arial" w:cs="Arial" w:eastAsia="Arial" w:hAnsi="Arial"/>
                <w:sz w:val="18"/>
                <w:szCs w:val="18"/>
                <w:color w:val="auto"/>
              </w:rPr>
              <w:t>198.1</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38.8</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43.5</w:t>
            </w:r>
          </w:p>
        </w:tc>
        <w:tc>
          <w:tcPr>
            <w:tcW w:w="960" w:type="dxa"/>
            <w:vAlign w:val="bottom"/>
          </w:tcPr>
          <w:p>
            <w:pPr>
              <w:jc w:val="right"/>
              <w:ind w:right="49"/>
              <w:spacing w:after="0"/>
              <w:rPr>
                <w:sz w:val="20"/>
                <w:szCs w:val="20"/>
                <w:color w:val="auto"/>
              </w:rPr>
            </w:pPr>
            <w:r>
              <w:rPr>
                <w:rFonts w:ascii="Arial" w:cs="Arial" w:eastAsia="Arial" w:hAnsi="Arial"/>
                <w:sz w:val="18"/>
                <w:szCs w:val="18"/>
                <w:color w:val="auto"/>
              </w:rPr>
              <w:t>107.1</w:t>
            </w:r>
          </w:p>
        </w:tc>
        <w:tc>
          <w:tcPr>
            <w:tcW w:w="940" w:type="dxa"/>
            <w:vAlign w:val="bottom"/>
          </w:tcPr>
          <w:p>
            <w:pPr>
              <w:jc w:val="right"/>
              <w:ind w:right="49"/>
              <w:spacing w:after="0"/>
              <w:rPr>
                <w:sz w:val="20"/>
                <w:szCs w:val="20"/>
                <w:color w:val="auto"/>
              </w:rPr>
            </w:pPr>
            <w:r>
              <w:rPr>
                <w:rFonts w:ascii="Arial" w:cs="Arial" w:eastAsia="Arial" w:hAnsi="Arial"/>
                <w:sz w:val="18"/>
                <w:szCs w:val="18"/>
                <w:color w:val="auto"/>
              </w:rPr>
              <w:t>105.6</w:t>
            </w:r>
          </w:p>
        </w:tc>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399"/>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1100" w:type="dxa"/>
            <w:vAlign w:val="bottom"/>
          </w:tcPr>
          <w:p>
            <w:pPr>
              <w:jc w:val="right"/>
              <w:ind w:right="29"/>
              <w:spacing w:after="0"/>
              <w:rPr>
                <w:sz w:val="20"/>
                <w:szCs w:val="20"/>
                <w:color w:val="auto"/>
              </w:rPr>
            </w:pPr>
            <w:r>
              <w:rPr>
                <w:rFonts w:ascii="Arial" w:cs="Arial" w:eastAsia="Arial" w:hAnsi="Arial"/>
                <w:sz w:val="18"/>
                <w:szCs w:val="18"/>
                <w:b w:val="1"/>
                <w:bCs w:val="1"/>
                <w:color w:val="auto"/>
              </w:rPr>
              <w:t>$148.7</w:t>
            </w:r>
          </w:p>
        </w:tc>
        <w:tc>
          <w:tcPr>
            <w:tcW w:w="940" w:type="dxa"/>
            <w:vAlign w:val="bottom"/>
          </w:tcPr>
          <w:p>
            <w:pPr>
              <w:jc w:val="right"/>
              <w:ind w:right="29"/>
              <w:spacing w:after="0"/>
              <w:rPr>
                <w:sz w:val="20"/>
                <w:szCs w:val="20"/>
                <w:color w:val="auto"/>
              </w:rPr>
            </w:pPr>
            <w:r>
              <w:rPr>
                <w:rFonts w:ascii="Arial" w:cs="Arial" w:eastAsia="Arial" w:hAnsi="Arial"/>
                <w:sz w:val="18"/>
                <w:szCs w:val="18"/>
                <w:b w:val="1"/>
                <w:bCs w:val="1"/>
                <w:color w:val="auto"/>
              </w:rPr>
              <w:t>$171.3</w:t>
            </w:r>
          </w:p>
        </w:tc>
        <w:tc>
          <w:tcPr>
            <w:tcW w:w="940" w:type="dxa"/>
            <w:vAlign w:val="bottom"/>
          </w:tcPr>
          <w:p>
            <w:pPr>
              <w:jc w:val="right"/>
              <w:ind w:right="49"/>
              <w:spacing w:after="0"/>
              <w:rPr>
                <w:sz w:val="20"/>
                <w:szCs w:val="20"/>
                <w:color w:val="auto"/>
              </w:rPr>
            </w:pPr>
            <w:r>
              <w:rPr>
                <w:rFonts w:ascii="Arial" w:cs="Arial" w:eastAsia="Arial" w:hAnsi="Arial"/>
                <w:sz w:val="18"/>
                <w:szCs w:val="18"/>
                <w:b w:val="1"/>
                <w:bCs w:val="1"/>
                <w:color w:val="auto"/>
              </w:rPr>
              <w:t>$240.2</w:t>
            </w:r>
          </w:p>
        </w:tc>
        <w:tc>
          <w:tcPr>
            <w:tcW w:w="940" w:type="dxa"/>
            <w:vAlign w:val="bottom"/>
          </w:tcPr>
          <w:p>
            <w:pPr>
              <w:jc w:val="right"/>
              <w:ind w:right="29"/>
              <w:spacing w:after="0"/>
              <w:rPr>
                <w:sz w:val="20"/>
                <w:szCs w:val="20"/>
                <w:color w:val="auto"/>
              </w:rPr>
            </w:pPr>
            <w:r>
              <w:rPr>
                <w:rFonts w:ascii="Arial" w:cs="Arial" w:eastAsia="Arial" w:hAnsi="Arial"/>
                <w:sz w:val="18"/>
                <w:szCs w:val="18"/>
                <w:b w:val="1"/>
                <w:bCs w:val="1"/>
                <w:color w:val="auto"/>
              </w:rPr>
              <w:t>$253.3</w:t>
            </w:r>
          </w:p>
        </w:tc>
        <w:tc>
          <w:tcPr>
            <w:tcW w:w="960" w:type="dxa"/>
            <w:vAlign w:val="bottom"/>
          </w:tcPr>
          <w:p>
            <w:pPr>
              <w:jc w:val="right"/>
              <w:ind w:right="49"/>
              <w:spacing w:after="0"/>
              <w:rPr>
                <w:sz w:val="20"/>
                <w:szCs w:val="20"/>
                <w:color w:val="auto"/>
              </w:rPr>
            </w:pPr>
            <w:r>
              <w:rPr>
                <w:rFonts w:ascii="Arial" w:cs="Arial" w:eastAsia="Arial" w:hAnsi="Arial"/>
                <w:sz w:val="18"/>
                <w:szCs w:val="18"/>
                <w:b w:val="1"/>
                <w:bCs w:val="1"/>
                <w:color w:val="auto"/>
              </w:rPr>
              <w:t>$222.0</w:t>
            </w:r>
          </w:p>
        </w:tc>
        <w:tc>
          <w:tcPr>
            <w:tcW w:w="940" w:type="dxa"/>
            <w:vAlign w:val="bottom"/>
          </w:tcPr>
          <w:p>
            <w:pPr>
              <w:jc w:val="right"/>
              <w:ind w:right="49"/>
              <w:spacing w:after="0"/>
              <w:rPr>
                <w:sz w:val="20"/>
                <w:szCs w:val="20"/>
                <w:color w:val="auto"/>
              </w:rPr>
            </w:pPr>
            <w:r>
              <w:rPr>
                <w:rFonts w:ascii="Arial" w:cs="Arial" w:eastAsia="Arial" w:hAnsi="Arial"/>
                <w:sz w:val="18"/>
                <w:szCs w:val="18"/>
                <w:b w:val="1"/>
                <w:bCs w:val="1"/>
                <w:color w:val="auto"/>
              </w:rPr>
              <w:t>$264.4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$303.6</w:t>
            </w:r>
          </w:p>
        </w:tc>
      </w:tr>
    </w:tbl>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FFFFFF"/>
        </w:rPr>
        <w:t>Lamar has the ability to reduce maintenance capex,</w:t>
      </w:r>
    </w:p>
    <w:p>
      <w:pPr>
        <w:spacing w:after="0" w:line="47"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FFFFFF"/>
        </w:rPr>
        <w:t>allowing it to protect AFFO even in difficult economic cycles</w:t>
      </w:r>
    </w:p>
    <w:p>
      <w:pPr>
        <w:spacing w:after="0" w:line="200" w:lineRule="exact"/>
        <w:rPr>
          <w:sz w:val="20"/>
          <w:szCs w:val="20"/>
          <w:color w:val="auto"/>
        </w:rPr>
      </w:pPr>
    </w:p>
    <w:p>
      <w:pPr>
        <w:spacing w:after="0" w:line="252" w:lineRule="exact"/>
        <w:rPr>
          <w:sz w:val="20"/>
          <w:szCs w:val="20"/>
          <w:color w:val="auto"/>
        </w:rPr>
      </w:pPr>
    </w:p>
    <w:p>
      <w:pPr>
        <w:ind w:left="100" w:right="460" w:hanging="91"/>
        <w:spacing w:after="0" w:line="244" w:lineRule="auto"/>
        <w:tabs>
          <w:tab w:leader="none" w:pos="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is defined as earnings (loss) before non-cash compensation, interest, taxes, depreciation, amortization, gain or loss on disposition of assets and investments and loss on debt extinguishment. Refer to the appendix for a reconciliation of adjusted EBITDA to net income (loss)</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500"/>
          </w:cols>
          <w:pgMar w:left="1220" w:top="1061" w:right="1179" w:bottom="1440" w:gutter="0" w:footer="0" w:header="0"/>
        </w:sectPr>
      </w:pPr>
    </w:p>
    <w:bookmarkStart w:id="19" w:name="page20"/>
    <w:bookmarkEnd w:id="19"/>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Capital expenditures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FFFFFF"/>
        </w:rPr>
        <w:t>$mm</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FY 2007</w:t>
            </w:r>
          </w:p>
        </w:tc>
        <w:tc>
          <w:tcPr>
            <w:tcW w:w="1120" w:type="dxa"/>
            <w:vAlign w:val="bottom"/>
          </w:tcPr>
          <w:p>
            <w:pPr>
              <w:jc w:val="right"/>
              <w:ind w:right="129"/>
              <w:spacing w:after="0"/>
              <w:rPr>
                <w:sz w:val="20"/>
                <w:szCs w:val="20"/>
                <w:color w:val="auto"/>
              </w:rPr>
            </w:pPr>
            <w:r>
              <w:rPr>
                <w:rFonts w:ascii="Arial" w:cs="Arial" w:eastAsia="Arial" w:hAnsi="Arial"/>
                <w:sz w:val="18"/>
                <w:szCs w:val="18"/>
                <w:color w:val="auto"/>
              </w:rPr>
              <w:t>FY 2008</w:t>
            </w:r>
          </w:p>
        </w:tc>
        <w:tc>
          <w:tcPr>
            <w:tcW w:w="1100" w:type="dxa"/>
            <w:vAlign w:val="bottom"/>
          </w:tcPr>
          <w:p>
            <w:pPr>
              <w:jc w:val="right"/>
              <w:ind w:right="109"/>
              <w:spacing w:after="0"/>
              <w:rPr>
                <w:sz w:val="20"/>
                <w:szCs w:val="20"/>
                <w:color w:val="auto"/>
              </w:rPr>
            </w:pPr>
            <w:r>
              <w:rPr>
                <w:rFonts w:ascii="Arial" w:cs="Arial" w:eastAsia="Arial" w:hAnsi="Arial"/>
                <w:sz w:val="18"/>
                <w:szCs w:val="18"/>
                <w:color w:val="auto"/>
              </w:rPr>
              <w:t>FY 2009</w:t>
            </w:r>
          </w:p>
        </w:tc>
        <w:tc>
          <w:tcPr>
            <w:tcW w:w="1100" w:type="dxa"/>
            <w:vAlign w:val="bottom"/>
          </w:tcPr>
          <w:p>
            <w:pPr>
              <w:jc w:val="right"/>
              <w:ind w:right="109"/>
              <w:spacing w:after="0"/>
              <w:rPr>
                <w:sz w:val="20"/>
                <w:szCs w:val="20"/>
                <w:color w:val="auto"/>
              </w:rPr>
            </w:pPr>
            <w:r>
              <w:rPr>
                <w:rFonts w:ascii="Arial" w:cs="Arial" w:eastAsia="Arial" w:hAnsi="Arial"/>
                <w:sz w:val="18"/>
                <w:szCs w:val="18"/>
                <w:color w:val="auto"/>
              </w:rPr>
              <w:t>FY 2010</w:t>
            </w:r>
          </w:p>
        </w:tc>
        <w:tc>
          <w:tcPr>
            <w:tcW w:w="1120" w:type="dxa"/>
            <w:vAlign w:val="bottom"/>
          </w:tcPr>
          <w:p>
            <w:pPr>
              <w:jc w:val="right"/>
              <w:ind w:right="129"/>
              <w:spacing w:after="0"/>
              <w:rPr>
                <w:sz w:val="20"/>
                <w:szCs w:val="20"/>
                <w:color w:val="auto"/>
              </w:rPr>
            </w:pPr>
            <w:r>
              <w:rPr>
                <w:rFonts w:ascii="Arial" w:cs="Arial" w:eastAsia="Arial" w:hAnsi="Arial"/>
                <w:sz w:val="18"/>
                <w:szCs w:val="18"/>
                <w:color w:val="auto"/>
              </w:rPr>
              <w:t>FY 2011</w:t>
            </w:r>
          </w:p>
        </w:tc>
        <w:tc>
          <w:tcPr>
            <w:tcW w:w="1100" w:type="dxa"/>
            <w:vAlign w:val="bottom"/>
          </w:tcPr>
          <w:p>
            <w:pPr>
              <w:jc w:val="right"/>
              <w:ind w:right="109"/>
              <w:spacing w:after="0"/>
              <w:rPr>
                <w:sz w:val="20"/>
                <w:szCs w:val="20"/>
                <w:color w:val="auto"/>
              </w:rPr>
            </w:pPr>
            <w:r>
              <w:rPr>
                <w:rFonts w:ascii="Arial" w:cs="Arial" w:eastAsia="Arial" w:hAnsi="Arial"/>
                <w:sz w:val="18"/>
                <w:szCs w:val="18"/>
                <w:color w:val="auto"/>
              </w:rPr>
              <w:t>FY 2012</w:t>
            </w:r>
          </w:p>
        </w:tc>
        <w:tc>
          <w:tcPr>
            <w:tcW w:w="900" w:type="dxa"/>
            <w:vAlign w:val="bottom"/>
          </w:tcPr>
          <w:p>
            <w:pPr>
              <w:jc w:val="right"/>
              <w:spacing w:after="0"/>
              <w:rPr>
                <w:sz w:val="20"/>
                <w:szCs w:val="20"/>
                <w:color w:val="auto"/>
              </w:rPr>
            </w:pPr>
            <w:r>
              <w:rPr>
                <w:rFonts w:ascii="Arial" w:cs="Arial" w:eastAsia="Arial" w:hAnsi="Arial"/>
                <w:sz w:val="18"/>
                <w:szCs w:val="18"/>
                <w:color w:val="auto"/>
              </w:rPr>
              <w:t>FY 2013</w:t>
            </w:r>
          </w:p>
        </w:tc>
      </w:tr>
      <w:tr>
        <w:trPr>
          <w:trHeight w:val="327"/>
        </w:trPr>
        <w:tc>
          <w:tcPr>
            <w:tcW w:w="1920" w:type="dxa"/>
            <w:vAlign w:val="bottom"/>
          </w:tcPr>
          <w:p>
            <w:pPr>
              <w:spacing w:after="0"/>
              <w:rPr>
                <w:sz w:val="20"/>
                <w:szCs w:val="20"/>
                <w:color w:val="auto"/>
              </w:rPr>
            </w:pPr>
            <w:r>
              <w:rPr>
                <w:rFonts w:ascii="Arial" w:cs="Arial" w:eastAsia="Arial" w:hAnsi="Arial"/>
                <w:sz w:val="18"/>
                <w:szCs w:val="18"/>
                <w:color w:val="auto"/>
              </w:rPr>
              <w:t>Billboards–Traditional</w:t>
            </w: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68.7</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58.1</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7.4</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9.5</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34.5</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29.1</w:t>
            </w: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363"/>
        </w:trPr>
        <w:tc>
          <w:tcPr>
            <w:tcW w:w="1920" w:type="dxa"/>
            <w:vAlign w:val="bottom"/>
          </w:tcPr>
          <w:p>
            <w:pPr>
              <w:spacing w:after="0"/>
              <w:rPr>
                <w:sz w:val="20"/>
                <w:szCs w:val="20"/>
                <w:color w:val="auto"/>
              </w:rPr>
            </w:pPr>
            <w:r>
              <w:rPr>
                <w:rFonts w:ascii="Arial" w:cs="Arial" w:eastAsia="Arial" w:hAnsi="Arial"/>
                <w:sz w:val="18"/>
                <w:szCs w:val="18"/>
                <w:color w:val="auto"/>
              </w:rPr>
              <w:t>Billboards–Digital</w:t>
            </w: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92.1</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103.7</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15.2</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13.2</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41.3</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42.1</w:t>
            </w: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375"/>
        </w:trPr>
        <w:tc>
          <w:tcPr>
            <w:tcW w:w="1920" w:type="dxa"/>
            <w:vAlign w:val="bottom"/>
          </w:tcPr>
          <w:p>
            <w:pPr>
              <w:spacing w:after="0"/>
              <w:rPr>
                <w:sz w:val="20"/>
                <w:szCs w:val="20"/>
                <w:color w:val="auto"/>
              </w:rPr>
            </w:pPr>
            <w:r>
              <w:rPr>
                <w:rFonts w:ascii="Arial" w:cs="Arial" w:eastAsia="Arial" w:hAnsi="Arial"/>
                <w:sz w:val="18"/>
                <w:szCs w:val="18"/>
                <w:color w:val="auto"/>
              </w:rPr>
              <w:t>Logos</w:t>
            </w: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10.2</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7.6</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5.3</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8.5</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10.1</w:t>
            </w:r>
          </w:p>
        </w:tc>
        <w:tc>
          <w:tcPr>
            <w:tcW w:w="1100" w:type="dxa"/>
            <w:vAlign w:val="bottom"/>
          </w:tcPr>
          <w:p>
            <w:pPr>
              <w:jc w:val="right"/>
              <w:ind w:right="149"/>
              <w:spacing w:after="0"/>
              <w:rPr>
                <w:sz w:val="20"/>
                <w:szCs w:val="20"/>
                <w:color w:val="auto"/>
              </w:rPr>
            </w:pPr>
            <w:r>
              <w:rPr>
                <w:rFonts w:ascii="Arial" w:cs="Arial" w:eastAsia="Arial" w:hAnsi="Arial"/>
                <w:sz w:val="18"/>
                <w:szCs w:val="18"/>
                <w:color w:val="auto"/>
              </w:rPr>
              <w:t>8.7</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63"/>
        </w:trPr>
        <w:tc>
          <w:tcPr>
            <w:tcW w:w="1920" w:type="dxa"/>
            <w:vAlign w:val="bottom"/>
          </w:tcPr>
          <w:p>
            <w:pPr>
              <w:spacing w:after="0"/>
              <w:rPr>
                <w:sz w:val="20"/>
                <w:szCs w:val="20"/>
                <w:color w:val="auto"/>
              </w:rPr>
            </w:pPr>
            <w:r>
              <w:rPr>
                <w:rFonts w:ascii="Arial" w:cs="Arial" w:eastAsia="Arial" w:hAnsi="Arial"/>
                <w:sz w:val="18"/>
                <w:szCs w:val="18"/>
                <w:color w:val="auto"/>
              </w:rPr>
              <w:t>Transit</w:t>
            </w: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5.4</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0.9</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0.8</w:t>
            </w:r>
          </w:p>
        </w:tc>
        <w:tc>
          <w:tcPr>
            <w:tcW w:w="1100" w:type="dxa"/>
            <w:vAlign w:val="bottom"/>
          </w:tcPr>
          <w:p>
            <w:pPr>
              <w:jc w:val="right"/>
              <w:ind w:right="149"/>
              <w:spacing w:after="0"/>
              <w:rPr>
                <w:sz w:val="20"/>
                <w:szCs w:val="20"/>
                <w:color w:val="auto"/>
              </w:rPr>
            </w:pPr>
            <w:r>
              <w:rPr>
                <w:rFonts w:ascii="Arial" w:cs="Arial" w:eastAsia="Arial" w:hAnsi="Arial"/>
                <w:sz w:val="18"/>
                <w:szCs w:val="18"/>
                <w:color w:val="auto"/>
              </w:rPr>
              <w:t>0.3</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363"/>
        </w:trPr>
        <w:tc>
          <w:tcPr>
            <w:tcW w:w="1920" w:type="dxa"/>
            <w:vAlign w:val="bottom"/>
          </w:tcPr>
          <w:p>
            <w:pPr>
              <w:spacing w:after="0"/>
              <w:rPr>
                <w:sz w:val="20"/>
                <w:szCs w:val="20"/>
                <w:color w:val="auto"/>
              </w:rPr>
            </w:pPr>
            <w:r>
              <w:rPr>
                <w:rFonts w:ascii="Arial" w:cs="Arial" w:eastAsia="Arial" w:hAnsi="Arial"/>
                <w:sz w:val="18"/>
                <w:szCs w:val="18"/>
                <w:color w:val="auto"/>
              </w:rPr>
              <w:t>Land and buildings</w:t>
            </w: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31.4</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11.2</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0.6</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2.5</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4.5</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12.8</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63"/>
        </w:trPr>
        <w:tc>
          <w:tcPr>
            <w:tcW w:w="1920" w:type="dxa"/>
            <w:vAlign w:val="bottom"/>
          </w:tcPr>
          <w:p>
            <w:pPr>
              <w:spacing w:after="0"/>
              <w:rPr>
                <w:sz w:val="20"/>
                <w:szCs w:val="20"/>
                <w:color w:val="auto"/>
              </w:rPr>
            </w:pPr>
            <w:r>
              <w:rPr>
                <w:rFonts w:ascii="Arial" w:cs="Arial" w:eastAsia="Arial" w:hAnsi="Arial"/>
                <w:sz w:val="18"/>
                <w:szCs w:val="18"/>
                <w:color w:val="auto"/>
              </w:rPr>
              <w:t>Other PP&amp;E</w:t>
            </w:r>
          </w:p>
        </w:tc>
        <w:tc>
          <w:tcPr>
            <w:tcW w:w="1080" w:type="dxa"/>
            <w:vAlign w:val="bottom"/>
          </w:tcPr>
          <w:p>
            <w:pPr>
              <w:jc w:val="right"/>
              <w:ind w:right="129"/>
              <w:spacing w:after="0"/>
              <w:rPr>
                <w:sz w:val="20"/>
                <w:szCs w:val="20"/>
                <w:color w:val="auto"/>
              </w:rPr>
            </w:pPr>
            <w:r>
              <w:rPr>
                <w:rFonts w:ascii="Arial" w:cs="Arial" w:eastAsia="Arial" w:hAnsi="Arial"/>
                <w:sz w:val="18"/>
                <w:szCs w:val="18"/>
                <w:color w:val="auto"/>
              </w:rPr>
              <w:t>16.1</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16.5</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4.9</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8.9</w:t>
            </w:r>
          </w:p>
        </w:tc>
        <w:tc>
          <w:tcPr>
            <w:tcW w:w="1120" w:type="dxa"/>
            <w:vAlign w:val="bottom"/>
          </w:tcPr>
          <w:p>
            <w:pPr>
              <w:jc w:val="right"/>
              <w:ind w:right="149"/>
              <w:spacing w:after="0"/>
              <w:rPr>
                <w:sz w:val="20"/>
                <w:szCs w:val="20"/>
                <w:color w:val="auto"/>
              </w:rPr>
            </w:pPr>
            <w:r>
              <w:rPr>
                <w:rFonts w:ascii="Arial" w:cs="Arial" w:eastAsia="Arial" w:hAnsi="Arial"/>
                <w:sz w:val="18"/>
                <w:szCs w:val="18"/>
                <w:color w:val="auto"/>
              </w:rPr>
              <w:t>15.9</w:t>
            </w:r>
          </w:p>
        </w:tc>
        <w:tc>
          <w:tcPr>
            <w:tcW w:w="1100" w:type="dxa"/>
            <w:vAlign w:val="bottom"/>
          </w:tcPr>
          <w:p>
            <w:pPr>
              <w:jc w:val="right"/>
              <w:ind w:right="129"/>
              <w:spacing w:after="0"/>
              <w:rPr>
                <w:sz w:val="20"/>
                <w:szCs w:val="20"/>
                <w:color w:val="auto"/>
              </w:rPr>
            </w:pPr>
            <w:r>
              <w:rPr>
                <w:rFonts w:ascii="Arial" w:cs="Arial" w:eastAsia="Arial" w:hAnsi="Arial"/>
                <w:sz w:val="18"/>
                <w:szCs w:val="18"/>
                <w:color w:val="auto"/>
              </w:rPr>
              <w:t>12.6</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63"/>
        </w:trPr>
        <w:tc>
          <w:tcPr>
            <w:tcW w:w="1920" w:type="dxa"/>
            <w:vAlign w:val="bottom"/>
          </w:tcPr>
          <w:p>
            <w:pPr>
              <w:spacing w:after="0"/>
              <w:rPr>
                <w:sz w:val="20"/>
                <w:szCs w:val="20"/>
                <w:color w:val="auto"/>
              </w:rPr>
            </w:pPr>
            <w:r>
              <w:rPr>
                <w:rFonts w:ascii="Arial" w:cs="Arial" w:eastAsia="Arial" w:hAnsi="Arial"/>
                <w:sz w:val="18"/>
                <w:szCs w:val="18"/>
                <w:b w:val="1"/>
                <w:bCs w:val="1"/>
                <w:color w:val="auto"/>
              </w:rPr>
              <w:t>Total capex</w:t>
            </w:r>
          </w:p>
        </w:tc>
        <w:tc>
          <w:tcPr>
            <w:tcW w:w="1080" w:type="dxa"/>
            <w:vAlign w:val="bottom"/>
          </w:tcPr>
          <w:p>
            <w:pPr>
              <w:jc w:val="right"/>
              <w:ind w:right="129"/>
              <w:spacing w:after="0"/>
              <w:rPr>
                <w:sz w:val="20"/>
                <w:szCs w:val="20"/>
                <w:color w:val="auto"/>
              </w:rPr>
            </w:pPr>
            <w:r>
              <w:rPr>
                <w:rFonts w:ascii="Arial" w:cs="Arial" w:eastAsia="Arial" w:hAnsi="Arial"/>
                <w:sz w:val="18"/>
                <w:szCs w:val="18"/>
                <w:b w:val="1"/>
                <w:bCs w:val="1"/>
                <w:color w:val="auto"/>
              </w:rPr>
              <w:t>220.5</w:t>
            </w:r>
          </w:p>
        </w:tc>
        <w:tc>
          <w:tcPr>
            <w:tcW w:w="1120" w:type="dxa"/>
            <w:vAlign w:val="bottom"/>
          </w:tcPr>
          <w:p>
            <w:pPr>
              <w:jc w:val="right"/>
              <w:ind w:right="149"/>
              <w:spacing w:after="0"/>
              <w:rPr>
                <w:sz w:val="20"/>
                <w:szCs w:val="20"/>
                <w:color w:val="auto"/>
              </w:rPr>
            </w:pPr>
            <w:r>
              <w:rPr>
                <w:rFonts w:ascii="Arial" w:cs="Arial" w:eastAsia="Arial" w:hAnsi="Arial"/>
                <w:sz w:val="18"/>
                <w:szCs w:val="18"/>
                <w:b w:val="1"/>
                <w:bCs w:val="1"/>
                <w:color w:val="auto"/>
              </w:rPr>
              <w:t>198.1</w:t>
            </w:r>
          </w:p>
        </w:tc>
        <w:tc>
          <w:tcPr>
            <w:tcW w:w="1100" w:type="dxa"/>
            <w:vAlign w:val="bottom"/>
          </w:tcPr>
          <w:p>
            <w:pPr>
              <w:jc w:val="right"/>
              <w:ind w:right="129"/>
              <w:spacing w:after="0"/>
              <w:rPr>
                <w:sz w:val="20"/>
                <w:szCs w:val="20"/>
                <w:color w:val="auto"/>
              </w:rPr>
            </w:pPr>
            <w:r>
              <w:rPr>
                <w:rFonts w:ascii="Arial" w:cs="Arial" w:eastAsia="Arial" w:hAnsi="Arial"/>
                <w:sz w:val="18"/>
                <w:szCs w:val="18"/>
                <w:b w:val="1"/>
                <w:bCs w:val="1"/>
                <w:color w:val="auto"/>
              </w:rPr>
              <w:t>38.8</w:t>
            </w:r>
          </w:p>
        </w:tc>
        <w:tc>
          <w:tcPr>
            <w:tcW w:w="1100" w:type="dxa"/>
            <w:vAlign w:val="bottom"/>
          </w:tcPr>
          <w:p>
            <w:pPr>
              <w:jc w:val="right"/>
              <w:ind w:right="129"/>
              <w:spacing w:after="0"/>
              <w:rPr>
                <w:sz w:val="20"/>
                <w:szCs w:val="20"/>
                <w:color w:val="auto"/>
              </w:rPr>
            </w:pPr>
            <w:r>
              <w:rPr>
                <w:rFonts w:ascii="Arial" w:cs="Arial" w:eastAsia="Arial" w:hAnsi="Arial"/>
                <w:sz w:val="18"/>
                <w:szCs w:val="18"/>
                <w:b w:val="1"/>
                <w:bCs w:val="1"/>
                <w:color w:val="auto"/>
              </w:rPr>
              <w:t>43.5</w:t>
            </w:r>
          </w:p>
        </w:tc>
        <w:tc>
          <w:tcPr>
            <w:tcW w:w="1120" w:type="dxa"/>
            <w:vAlign w:val="bottom"/>
          </w:tcPr>
          <w:p>
            <w:pPr>
              <w:jc w:val="right"/>
              <w:ind w:right="149"/>
              <w:spacing w:after="0"/>
              <w:rPr>
                <w:sz w:val="20"/>
                <w:szCs w:val="20"/>
                <w:color w:val="auto"/>
              </w:rPr>
            </w:pPr>
            <w:r>
              <w:rPr>
                <w:rFonts w:ascii="Arial" w:cs="Arial" w:eastAsia="Arial" w:hAnsi="Arial"/>
                <w:sz w:val="18"/>
                <w:szCs w:val="18"/>
                <w:b w:val="1"/>
                <w:bCs w:val="1"/>
                <w:color w:val="auto"/>
              </w:rPr>
              <w:t>107.1</w:t>
            </w:r>
          </w:p>
        </w:tc>
        <w:tc>
          <w:tcPr>
            <w:tcW w:w="1100" w:type="dxa"/>
            <w:vAlign w:val="bottom"/>
          </w:tcPr>
          <w:p>
            <w:pPr>
              <w:jc w:val="right"/>
              <w:ind w:right="129"/>
              <w:spacing w:after="0"/>
              <w:rPr>
                <w:sz w:val="20"/>
                <w:szCs w:val="20"/>
                <w:color w:val="auto"/>
              </w:rPr>
            </w:pPr>
            <w:r>
              <w:rPr>
                <w:rFonts w:ascii="Arial" w:cs="Arial" w:eastAsia="Arial" w:hAnsi="Arial"/>
                <w:sz w:val="18"/>
                <w:szCs w:val="18"/>
                <w:b w:val="1"/>
                <w:bCs w:val="1"/>
                <w:color w:val="auto"/>
              </w:rPr>
              <w:t>105.6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FFFFFF"/>
        </w:rPr>
        <w:t>FY 2014: ~$100mm consisting of ~$45mm growth and ~$55mm maintenance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480"/>
          </w:cols>
          <w:pgMar w:left="1240" w:top="1061" w:right="1179" w:bottom="1440" w:gutter="0" w:footer="0" w:header="0"/>
        </w:sectPr>
      </w:pPr>
    </w:p>
    <w:bookmarkStart w:id="20" w:name="page21"/>
    <w:bookmarkEnd w:id="20"/>
    <w:p>
      <w:pPr>
        <w:ind w:left="23"/>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Strong balance sheet with no near term maturities</w:t>
      </w:r>
    </w:p>
    <w:p>
      <w:pPr>
        <w:sectPr>
          <w:pgSz w:w="11900" w:h="16838" w:orient="portrait"/>
          <w:cols w:equalWidth="0" w:num="1">
            <w:col w:w="9503"/>
          </w:cols>
          <w:pgMar w:left="1217" w:top="1061" w:right="11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63"/>
        <w:spacing w:after="0"/>
        <w:rPr>
          <w:sz w:val="20"/>
          <w:szCs w:val="20"/>
          <w:color w:val="auto"/>
        </w:rPr>
      </w:pPr>
      <w:r>
        <w:rPr>
          <w:rFonts w:ascii="Arial" w:cs="Arial" w:eastAsia="Arial" w:hAnsi="Arial"/>
          <w:sz w:val="23"/>
          <w:szCs w:val="23"/>
          <w:b w:val="1"/>
          <w:bCs w:val="1"/>
          <w:color w:val="FFFFFF"/>
        </w:rPr>
        <w:t>$mm</w:t>
      </w:r>
    </w:p>
    <w:p>
      <w:pPr>
        <w:spacing w:after="0" w:line="168" w:lineRule="exact"/>
        <w:rPr>
          <w:sz w:val="20"/>
          <w:szCs w:val="20"/>
          <w:color w:val="auto"/>
        </w:rPr>
      </w:pPr>
    </w:p>
    <w:tbl>
      <w:tblPr>
        <w:tblLayout w:type="fixed"/>
        <w:tblInd w:w="63" w:type="dxa"/>
        <w:tblCellMar>
          <w:top w:w="0" w:type="dxa"/>
          <w:left w:w="0" w:type="dxa"/>
          <w:bottom w:w="0" w:type="dxa"/>
          <w:right w:w="0" w:type="dxa"/>
        </w:tblCellMar>
      </w:tblPr>
      <w:tr>
        <w:trPr>
          <w:trHeight w:val="188"/>
        </w:trPr>
        <w:tc>
          <w:tcPr>
            <w:tcW w:w="2860" w:type="dxa"/>
            <w:vAlign w:val="bottom"/>
          </w:tcPr>
          <w:p>
            <w:pPr>
              <w:spacing w:after="0"/>
              <w:rPr>
                <w:sz w:val="20"/>
                <w:szCs w:val="20"/>
                <w:color w:val="auto"/>
              </w:rPr>
            </w:pPr>
            <w:r>
              <w:rPr>
                <w:rFonts w:ascii="Arial" w:cs="Arial" w:eastAsia="Arial" w:hAnsi="Arial"/>
                <w:sz w:val="16"/>
                <w:szCs w:val="16"/>
                <w:color w:val="auto"/>
              </w:rPr>
              <w:t>As of March 31, 2014</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Amount¹</w:t>
            </w:r>
          </w:p>
        </w:tc>
        <w:tc>
          <w:tcPr>
            <w:tcW w:w="900" w:type="dxa"/>
            <w:vAlign w:val="bottom"/>
          </w:tcPr>
          <w:p>
            <w:pPr>
              <w:jc w:val="right"/>
              <w:spacing w:after="0"/>
              <w:rPr>
                <w:sz w:val="20"/>
                <w:szCs w:val="20"/>
                <w:color w:val="auto"/>
              </w:rPr>
            </w:pPr>
            <w:r>
              <w:rPr>
                <w:rFonts w:ascii="Arial" w:cs="Arial" w:eastAsia="Arial" w:hAnsi="Arial"/>
                <w:sz w:val="16"/>
                <w:szCs w:val="16"/>
                <w:color w:val="auto"/>
              </w:rPr>
              <w:t>xEBITDA</w:t>
            </w:r>
          </w:p>
        </w:tc>
      </w:tr>
      <w:tr>
        <w:trPr>
          <w:trHeight w:val="254"/>
        </w:trPr>
        <w:tc>
          <w:tcPr>
            <w:tcW w:w="2860" w:type="dxa"/>
            <w:vAlign w:val="bottom"/>
          </w:tcPr>
          <w:p>
            <w:pPr>
              <w:spacing w:after="0"/>
              <w:rPr>
                <w:sz w:val="20"/>
                <w:szCs w:val="20"/>
                <w:color w:val="auto"/>
              </w:rPr>
            </w:pPr>
            <w:r>
              <w:rPr>
                <w:rFonts w:ascii="Arial" w:cs="Arial" w:eastAsia="Arial" w:hAnsi="Arial"/>
                <w:sz w:val="16"/>
                <w:szCs w:val="16"/>
                <w:color w:val="auto"/>
              </w:rPr>
              <w:t>Cash</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$28.4</w:t>
            </w:r>
          </w:p>
        </w:tc>
        <w:tc>
          <w:tcPr>
            <w:tcW w:w="900" w:type="dxa"/>
            <w:vAlign w:val="bottom"/>
          </w:tcPr>
          <w:p>
            <w:pPr>
              <w:spacing w:after="0"/>
              <w:rPr>
                <w:sz w:val="22"/>
                <w:szCs w:val="22"/>
                <w:color w:val="auto"/>
              </w:rPr>
            </w:pPr>
          </w:p>
        </w:tc>
      </w:tr>
      <w:tr>
        <w:trPr>
          <w:trHeight w:val="278"/>
        </w:trPr>
        <w:tc>
          <w:tcPr>
            <w:tcW w:w="2860" w:type="dxa"/>
            <w:vAlign w:val="bottom"/>
          </w:tcPr>
          <w:p>
            <w:pPr>
              <w:spacing w:after="0"/>
              <w:rPr>
                <w:sz w:val="20"/>
                <w:szCs w:val="20"/>
                <w:color w:val="auto"/>
              </w:rPr>
            </w:pPr>
            <w:r>
              <w:rPr>
                <w:rFonts w:ascii="Arial" w:cs="Arial" w:eastAsia="Arial" w:hAnsi="Arial"/>
                <w:sz w:val="16"/>
                <w:szCs w:val="16"/>
                <w:color w:val="auto"/>
              </w:rPr>
              <w:t>$400mm Revolving credit facility</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80.0</w:t>
            </w:r>
          </w:p>
        </w:tc>
        <w:tc>
          <w:tcPr>
            <w:tcW w:w="900" w:type="dxa"/>
            <w:vAlign w:val="bottom"/>
          </w:tcPr>
          <w:p>
            <w:pPr>
              <w:spacing w:after="0"/>
              <w:rPr>
                <w:sz w:val="24"/>
                <w:szCs w:val="24"/>
                <w:color w:val="auto"/>
              </w:rPr>
            </w:pPr>
          </w:p>
        </w:tc>
      </w:tr>
      <w:tr>
        <w:trPr>
          <w:trHeight w:val="278"/>
        </w:trPr>
        <w:tc>
          <w:tcPr>
            <w:tcW w:w="2860" w:type="dxa"/>
            <w:vAlign w:val="bottom"/>
          </w:tcPr>
          <w:p>
            <w:pPr>
              <w:spacing w:after="0"/>
              <w:rPr>
                <w:sz w:val="20"/>
                <w:szCs w:val="20"/>
                <w:color w:val="auto"/>
              </w:rPr>
            </w:pPr>
            <w:r>
              <w:rPr>
                <w:rFonts w:ascii="Arial" w:cs="Arial" w:eastAsia="Arial" w:hAnsi="Arial"/>
                <w:sz w:val="16"/>
                <w:szCs w:val="16"/>
                <w:color w:val="auto"/>
              </w:rPr>
              <w:t>New Term Loan A</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300.0</w:t>
            </w:r>
          </w:p>
        </w:tc>
        <w:tc>
          <w:tcPr>
            <w:tcW w:w="900" w:type="dxa"/>
            <w:vAlign w:val="bottom"/>
          </w:tcPr>
          <w:p>
            <w:pPr>
              <w:spacing w:after="0"/>
              <w:rPr>
                <w:sz w:val="24"/>
                <w:szCs w:val="24"/>
                <w:color w:val="auto"/>
              </w:rPr>
            </w:pPr>
          </w:p>
        </w:tc>
      </w:tr>
      <w:tr>
        <w:trPr>
          <w:trHeight w:val="278"/>
        </w:trPr>
        <w:tc>
          <w:tcPr>
            <w:tcW w:w="2860" w:type="dxa"/>
            <w:vAlign w:val="bottom"/>
          </w:tcPr>
          <w:p>
            <w:pPr>
              <w:spacing w:after="0"/>
              <w:rPr>
                <w:sz w:val="20"/>
                <w:szCs w:val="20"/>
                <w:color w:val="auto"/>
              </w:rPr>
            </w:pPr>
            <w:r>
              <w:rPr>
                <w:rFonts w:ascii="Arial" w:cs="Arial" w:eastAsia="Arial" w:hAnsi="Arial"/>
                <w:sz w:val="16"/>
                <w:szCs w:val="16"/>
                <w:b w:val="1"/>
                <w:bCs w:val="1"/>
                <w:color w:val="auto"/>
              </w:rPr>
              <w:t>Total secured debt</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$380.0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0.7x</w:t>
            </w:r>
          </w:p>
        </w:tc>
      </w:tr>
      <w:tr>
        <w:trPr>
          <w:trHeight w:val="266"/>
        </w:trPr>
        <w:tc>
          <w:tcPr>
            <w:tcW w:w="2860" w:type="dxa"/>
            <w:vAlign w:val="bottom"/>
          </w:tcPr>
          <w:p>
            <w:pPr>
              <w:spacing w:after="0"/>
              <w:rPr>
                <w:sz w:val="20"/>
                <w:szCs w:val="20"/>
                <w:color w:val="auto"/>
              </w:rPr>
            </w:pPr>
            <w:r>
              <w:rPr>
                <w:rFonts w:ascii="Arial" w:cs="Arial" w:eastAsia="Arial" w:hAnsi="Arial"/>
                <w:sz w:val="16"/>
                <w:szCs w:val="16"/>
                <w:color w:val="auto"/>
              </w:rPr>
              <w:t>5.375% senior notes due 2024</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510.0</w:t>
            </w:r>
          </w:p>
        </w:tc>
        <w:tc>
          <w:tcPr>
            <w:tcW w:w="900" w:type="dxa"/>
            <w:vAlign w:val="bottom"/>
          </w:tcPr>
          <w:p>
            <w:pPr>
              <w:spacing w:after="0"/>
              <w:rPr>
                <w:sz w:val="23"/>
                <w:szCs w:val="23"/>
                <w:color w:val="auto"/>
              </w:rPr>
            </w:pPr>
          </w:p>
        </w:tc>
      </w:tr>
      <w:tr>
        <w:trPr>
          <w:trHeight w:val="278"/>
        </w:trPr>
        <w:tc>
          <w:tcPr>
            <w:tcW w:w="2860" w:type="dxa"/>
            <w:vAlign w:val="bottom"/>
          </w:tcPr>
          <w:p>
            <w:pPr>
              <w:spacing w:after="0"/>
              <w:rPr>
                <w:sz w:val="20"/>
                <w:szCs w:val="20"/>
                <w:color w:val="auto"/>
              </w:rPr>
            </w:pPr>
            <w:r>
              <w:rPr>
                <w:rFonts w:ascii="Arial" w:cs="Arial" w:eastAsia="Arial" w:hAnsi="Arial"/>
                <w:sz w:val="16"/>
                <w:szCs w:val="16"/>
                <w:b w:val="1"/>
                <w:bCs w:val="1"/>
                <w:color w:val="auto"/>
              </w:rPr>
              <w:t>Total senior debt</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$890.0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1.6x</w:t>
            </w:r>
          </w:p>
        </w:tc>
      </w:tr>
      <w:tr>
        <w:trPr>
          <w:trHeight w:val="242"/>
        </w:trPr>
        <w:tc>
          <w:tcPr>
            <w:tcW w:w="2860" w:type="dxa"/>
            <w:vAlign w:val="bottom"/>
          </w:tcPr>
          <w:p>
            <w:pPr>
              <w:spacing w:after="0"/>
              <w:rPr>
                <w:sz w:val="20"/>
                <w:szCs w:val="20"/>
                <w:color w:val="auto"/>
              </w:rPr>
            </w:pPr>
            <w:r>
              <w:rPr>
                <w:rFonts w:ascii="Arial" w:cs="Arial" w:eastAsia="Arial" w:hAnsi="Arial"/>
                <w:sz w:val="16"/>
                <w:szCs w:val="16"/>
                <w:color w:val="auto"/>
              </w:rPr>
              <w:t>5.000% senior sub notes due 2023</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535.0</w:t>
            </w:r>
          </w:p>
        </w:tc>
        <w:tc>
          <w:tcPr>
            <w:tcW w:w="900" w:type="dxa"/>
            <w:vAlign w:val="bottom"/>
          </w:tcPr>
          <w:p>
            <w:pPr>
              <w:spacing w:after="0"/>
              <w:rPr>
                <w:sz w:val="21"/>
                <w:szCs w:val="2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5.875% senior sub notes due 2022</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500.0</w:t>
            </w:r>
          </w:p>
        </w:tc>
        <w:tc>
          <w:tcPr>
            <w:tcW w:w="900" w:type="dxa"/>
            <w:vAlign w:val="bottom"/>
          </w:tcPr>
          <w:p>
            <w:pPr>
              <w:spacing w:after="0"/>
              <w:rPr>
                <w:sz w:val="19"/>
                <w:szCs w:val="19"/>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16"/>
                <w:szCs w:val="16"/>
                <w:color w:val="auto"/>
              </w:rPr>
              <w:t>Other debt</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1.8</w:t>
            </w:r>
          </w:p>
        </w:tc>
        <w:tc>
          <w:tcPr>
            <w:tcW w:w="900" w:type="dxa"/>
            <w:vAlign w:val="bottom"/>
          </w:tcPr>
          <w:p>
            <w:pPr>
              <w:spacing w:after="0"/>
              <w:rPr>
                <w:sz w:val="21"/>
                <w:szCs w:val="2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6"/>
                <w:szCs w:val="16"/>
                <w:b w:val="1"/>
                <w:bCs w:val="1"/>
                <w:color w:val="auto"/>
              </w:rPr>
              <w:t>Total debt</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$1,926.8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3.5x</w:t>
            </w:r>
          </w:p>
        </w:tc>
      </w:tr>
      <w:tr>
        <w:trPr>
          <w:trHeight w:val="302"/>
        </w:trPr>
        <w:tc>
          <w:tcPr>
            <w:tcW w:w="2860" w:type="dxa"/>
            <w:vAlign w:val="bottom"/>
          </w:tcPr>
          <w:p>
            <w:pPr>
              <w:spacing w:after="0"/>
              <w:rPr>
                <w:sz w:val="20"/>
                <w:szCs w:val="20"/>
                <w:color w:val="auto"/>
              </w:rPr>
            </w:pPr>
            <w:r>
              <w:rPr>
                <w:rFonts w:ascii="Arial" w:cs="Arial" w:eastAsia="Arial" w:hAnsi="Arial"/>
                <w:sz w:val="16"/>
                <w:szCs w:val="16"/>
                <w:b w:val="1"/>
                <w:bCs w:val="1"/>
                <w:color w:val="auto"/>
              </w:rPr>
              <w:t>Net debt</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$1,898.4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3.5x</w:t>
            </w:r>
          </w:p>
        </w:tc>
      </w:tr>
      <w:tr>
        <w:trPr>
          <w:trHeight w:val="230"/>
        </w:trPr>
        <w:tc>
          <w:tcPr>
            <w:tcW w:w="2860" w:type="dxa"/>
            <w:vAlign w:val="bottom"/>
          </w:tcPr>
          <w:p>
            <w:pPr>
              <w:spacing w:after="0"/>
              <w:rPr>
                <w:sz w:val="20"/>
                <w:szCs w:val="20"/>
                <w:color w:val="auto"/>
              </w:rPr>
            </w:pPr>
            <w:r>
              <w:rPr>
                <w:rFonts w:ascii="Arial" w:cs="Arial" w:eastAsia="Arial" w:hAnsi="Arial"/>
                <w:sz w:val="16"/>
                <w:szCs w:val="16"/>
                <w:b w:val="1"/>
                <w:bCs w:val="1"/>
                <w:color w:val="auto"/>
              </w:rPr>
              <w:t>LTM 3/31/14 Adjusted EBITDA</w:t>
            </w:r>
          </w:p>
        </w:tc>
        <w:tc>
          <w:tcPr>
            <w:tcW w:w="1300" w:type="dxa"/>
            <w:vAlign w:val="bottom"/>
          </w:tcPr>
          <w:p>
            <w:pPr>
              <w:jc w:val="right"/>
              <w:ind w:right="181"/>
              <w:spacing w:after="0"/>
              <w:rPr>
                <w:sz w:val="20"/>
                <w:szCs w:val="20"/>
                <w:color w:val="auto"/>
              </w:rPr>
            </w:pPr>
            <w:r>
              <w:rPr>
                <w:rFonts w:ascii="Arial" w:cs="Arial" w:eastAsia="Arial" w:hAnsi="Arial"/>
                <w:sz w:val="16"/>
                <w:szCs w:val="16"/>
                <w:b w:val="1"/>
                <w:bCs w:val="1"/>
                <w:color w:val="auto"/>
              </w:rPr>
              <w:t>$546.4</w:t>
            </w:r>
          </w:p>
        </w:tc>
        <w:tc>
          <w:tcPr>
            <w:tcW w:w="900" w:type="dxa"/>
            <w:vAlign w:val="bottom"/>
          </w:tcPr>
          <w:p>
            <w:pPr>
              <w:spacing w:after="0"/>
              <w:rPr>
                <w:sz w:val="19"/>
                <w:szCs w:val="19"/>
                <w:color w:val="auto"/>
              </w:rPr>
            </w:pPr>
          </w:p>
        </w:tc>
      </w:tr>
      <w:tr>
        <w:trPr>
          <w:trHeight w:val="242"/>
        </w:trPr>
        <w:tc>
          <w:tcPr>
            <w:tcW w:w="2860" w:type="dxa"/>
            <w:vAlign w:val="bottom"/>
          </w:tcPr>
          <w:p>
            <w:pPr>
              <w:spacing w:after="0"/>
              <w:rPr>
                <w:sz w:val="20"/>
                <w:szCs w:val="20"/>
                <w:color w:val="auto"/>
              </w:rPr>
            </w:pPr>
            <w:r>
              <w:rPr>
                <w:rFonts w:ascii="Arial" w:cs="Arial" w:eastAsia="Arial" w:hAnsi="Arial"/>
                <w:sz w:val="16"/>
                <w:szCs w:val="16"/>
                <w:i w:val="1"/>
                <w:iCs w:val="1"/>
                <w:color w:val="auto"/>
              </w:rPr>
              <w:t>Memo: Interest coverage ratio</w:t>
            </w:r>
          </w:p>
        </w:tc>
        <w:tc>
          <w:tcPr>
            <w:tcW w:w="1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3.9x</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Capital structure highlights</w:t>
      </w:r>
    </w:p>
    <w:p>
      <w:pPr>
        <w:spacing w:after="0" w:line="187" w:lineRule="exact"/>
        <w:rPr>
          <w:sz w:val="20"/>
          <w:szCs w:val="20"/>
          <w:color w:val="auto"/>
        </w:rPr>
      </w:pPr>
    </w:p>
    <w:p>
      <w:pPr>
        <w:ind w:left="240" w:right="40"/>
        <w:spacing w:after="0" w:line="270" w:lineRule="auto"/>
        <w:rPr>
          <w:sz w:val="20"/>
          <w:szCs w:val="20"/>
          <w:color w:val="auto"/>
        </w:rPr>
      </w:pPr>
      <w:r>
        <w:rPr>
          <w:rFonts w:ascii="Arial" w:cs="Arial" w:eastAsia="Arial" w:hAnsi="Arial"/>
          <w:sz w:val="23"/>
          <w:szCs w:val="23"/>
          <w:color w:val="auto"/>
        </w:rPr>
        <w:t>Redeemed $400mm 2018 subordinated notes in April 2014 with $300mm new term debt, revolving credit borrowings and cash on hand</w:t>
      </w:r>
    </w:p>
    <w:p>
      <w:pPr>
        <w:spacing w:after="0" w:line="200" w:lineRule="exact"/>
        <w:rPr>
          <w:sz w:val="20"/>
          <w:szCs w:val="20"/>
          <w:color w:val="auto"/>
        </w:rPr>
      </w:pPr>
    </w:p>
    <w:p>
      <w:pPr>
        <w:spacing w:after="0" w:line="219" w:lineRule="exact"/>
        <w:rPr>
          <w:sz w:val="20"/>
          <w:szCs w:val="20"/>
          <w:color w:val="auto"/>
        </w:rPr>
      </w:pPr>
    </w:p>
    <w:p>
      <w:pPr>
        <w:ind w:left="240" w:right="360"/>
        <w:spacing w:after="0" w:line="274" w:lineRule="auto"/>
        <w:rPr>
          <w:sz w:val="20"/>
          <w:szCs w:val="20"/>
          <w:color w:val="auto"/>
        </w:rPr>
      </w:pPr>
      <w:r>
        <w:rPr>
          <w:rFonts w:ascii="Arial" w:cs="Arial" w:eastAsia="Arial" w:hAnsi="Arial"/>
          <w:sz w:val="23"/>
          <w:szCs w:val="23"/>
          <w:color w:val="auto"/>
        </w:rPr>
        <w:t>Lamar maintains modest leverage ratios post-conversion</w:t>
      </w:r>
    </w:p>
    <w:p>
      <w:pPr>
        <w:spacing w:after="0" w:line="200" w:lineRule="exact"/>
        <w:rPr>
          <w:sz w:val="20"/>
          <w:szCs w:val="20"/>
          <w:color w:val="auto"/>
        </w:rPr>
      </w:pPr>
    </w:p>
    <w:p>
      <w:pPr>
        <w:spacing w:after="0" w:line="212" w:lineRule="exact"/>
        <w:rPr>
          <w:sz w:val="20"/>
          <w:szCs w:val="20"/>
          <w:color w:val="auto"/>
        </w:rPr>
      </w:pPr>
    </w:p>
    <w:p>
      <w:pPr>
        <w:ind w:left="240" w:right="80"/>
        <w:spacing w:after="0" w:line="285" w:lineRule="auto"/>
        <w:rPr>
          <w:sz w:val="20"/>
          <w:szCs w:val="20"/>
          <w:color w:val="auto"/>
        </w:rPr>
      </w:pPr>
      <w:r>
        <w:rPr>
          <w:rFonts w:ascii="Arial" w:cs="Arial" w:eastAsia="Arial" w:hAnsi="Arial"/>
          <w:sz w:val="23"/>
          <w:szCs w:val="23"/>
          <w:color w:val="auto"/>
        </w:rPr>
        <w:t>Very strong interest and fixed charge coverage ratios</w:t>
      </w:r>
    </w:p>
    <w:p>
      <w:pPr>
        <w:spacing w:after="0" w:line="360" w:lineRule="exact"/>
        <w:rPr>
          <w:sz w:val="20"/>
          <w:szCs w:val="20"/>
          <w:color w:val="auto"/>
        </w:rPr>
      </w:pPr>
    </w:p>
    <w:p>
      <w:pPr>
        <w:sectPr>
          <w:pgSz w:w="11900" w:h="16838" w:orient="portrait"/>
          <w:cols w:equalWidth="0" w:num="2">
            <w:col w:w="5123" w:space="320"/>
            <w:col w:w="4060"/>
          </w:cols>
          <w:pgMar w:left="1217" w:top="1061" w:right="1179" w:bottom="1440" w:gutter="0" w:footer="0" w:header="0"/>
          <w:type w:val="continuous"/>
        </w:sectPr>
      </w:pPr>
    </w:p>
    <w:tbl>
      <w:tblPr>
        <w:tblLayout w:type="fixed"/>
        <w:tblInd w:w="63" w:type="dxa"/>
        <w:tblCellMar>
          <w:top w:w="0" w:type="dxa"/>
          <w:left w:w="0" w:type="dxa"/>
          <w:bottom w:w="0" w:type="dxa"/>
          <w:right w:w="0" w:type="dxa"/>
        </w:tblCellMar>
      </w:tblPr>
      <w:tr>
        <w:trPr>
          <w:trHeight w:val="316"/>
        </w:trPr>
        <w:tc>
          <w:tcPr>
            <w:tcW w:w="4020" w:type="dxa"/>
            <w:vAlign w:val="bottom"/>
          </w:tcPr>
          <w:p>
            <w:pPr>
              <w:spacing w:after="0"/>
              <w:rPr>
                <w:sz w:val="20"/>
                <w:szCs w:val="20"/>
                <w:color w:val="auto"/>
              </w:rPr>
            </w:pPr>
            <w:r>
              <w:rPr>
                <w:rFonts w:ascii="Arial" w:cs="Arial" w:eastAsia="Arial" w:hAnsi="Arial"/>
                <w:sz w:val="23"/>
                <w:szCs w:val="23"/>
                <w:b w:val="1"/>
                <w:bCs w:val="1"/>
                <w:color w:val="FFFFFF"/>
              </w:rPr>
              <w:t>Maturity profile ($mm)</w:t>
            </w:r>
          </w:p>
        </w:tc>
        <w:tc>
          <w:tcPr>
            <w:tcW w:w="4700" w:type="dxa"/>
            <w:vAlign w:val="bottom"/>
          </w:tcPr>
          <w:p>
            <w:pPr>
              <w:ind w:left="1600"/>
              <w:spacing w:after="0"/>
              <w:rPr>
                <w:sz w:val="20"/>
                <w:szCs w:val="20"/>
                <w:color w:val="auto"/>
              </w:rPr>
            </w:pPr>
            <w:r>
              <w:rPr>
                <w:rFonts w:ascii="Arial" w:cs="Arial" w:eastAsia="Arial" w:hAnsi="Arial"/>
                <w:sz w:val="23"/>
                <w:szCs w:val="23"/>
                <w:color w:val="auto"/>
                <w:w w:val="99"/>
              </w:rPr>
              <w:t>Simple and transparent capital</w:t>
            </w:r>
          </w:p>
        </w:tc>
      </w:tr>
      <w:tr>
        <w:trPr>
          <w:trHeight w:val="290"/>
        </w:trPr>
        <w:tc>
          <w:tcPr>
            <w:tcW w:w="4020" w:type="dxa"/>
            <w:vAlign w:val="bottom"/>
          </w:tcPr>
          <w:p>
            <w:pPr>
              <w:spacing w:after="0"/>
              <w:rPr>
                <w:sz w:val="24"/>
                <w:szCs w:val="24"/>
                <w:color w:val="auto"/>
              </w:rPr>
            </w:pPr>
          </w:p>
        </w:tc>
        <w:tc>
          <w:tcPr>
            <w:tcW w:w="4700" w:type="dxa"/>
            <w:vAlign w:val="bottom"/>
          </w:tcPr>
          <w:p>
            <w:pPr>
              <w:ind w:left="1600"/>
              <w:spacing w:after="0"/>
              <w:rPr>
                <w:sz w:val="20"/>
                <w:szCs w:val="20"/>
                <w:color w:val="auto"/>
              </w:rPr>
            </w:pPr>
            <w:r>
              <w:rPr>
                <w:rFonts w:ascii="Arial" w:cs="Arial" w:eastAsia="Arial" w:hAnsi="Arial"/>
                <w:sz w:val="23"/>
                <w:szCs w:val="23"/>
                <w:color w:val="auto"/>
              </w:rPr>
              <w:t>structure</w:t>
            </w:r>
          </w:p>
        </w:tc>
      </w:tr>
    </w:tbl>
    <w:p>
      <w:pPr>
        <w:spacing w:after="0" w:line="200" w:lineRule="exact"/>
        <w:rPr>
          <w:sz w:val="20"/>
          <w:szCs w:val="20"/>
          <w:color w:val="auto"/>
        </w:rPr>
      </w:pPr>
    </w:p>
    <w:p>
      <w:pPr>
        <w:spacing w:after="0" w:line="250" w:lineRule="exact"/>
        <w:rPr>
          <w:sz w:val="20"/>
          <w:szCs w:val="20"/>
          <w:color w:val="auto"/>
        </w:rPr>
      </w:pPr>
    </w:p>
    <w:p>
      <w:pPr>
        <w:ind w:left="5683"/>
        <w:spacing w:after="0"/>
        <w:rPr>
          <w:sz w:val="20"/>
          <w:szCs w:val="20"/>
          <w:color w:val="auto"/>
        </w:rPr>
      </w:pPr>
      <w:r>
        <w:rPr>
          <w:rFonts w:ascii="Arial" w:cs="Arial" w:eastAsia="Arial" w:hAnsi="Arial"/>
          <w:sz w:val="22"/>
          <w:szCs w:val="22"/>
          <w:color w:val="auto"/>
        </w:rPr>
        <w:t>Annual dividends expected to be paid</w:t>
      </w:r>
    </w:p>
    <w:p>
      <w:pPr>
        <w:spacing w:after="0" w:line="37" w:lineRule="exact"/>
        <w:rPr>
          <w:sz w:val="20"/>
          <w:szCs w:val="20"/>
          <w:color w:val="auto"/>
        </w:rPr>
      </w:pPr>
    </w:p>
    <w:p>
      <w:pPr>
        <w:ind w:left="5683"/>
        <w:spacing w:after="0"/>
        <w:rPr>
          <w:sz w:val="20"/>
          <w:szCs w:val="20"/>
          <w:color w:val="auto"/>
        </w:rPr>
      </w:pPr>
      <w:r>
        <w:rPr>
          <w:rFonts w:ascii="Arial" w:cs="Arial" w:eastAsia="Arial" w:hAnsi="Arial"/>
          <w:sz w:val="23"/>
          <w:szCs w:val="23"/>
          <w:color w:val="auto"/>
        </w:rPr>
        <w:t>out of internally-generated cash flow</w:t>
      </w:r>
    </w:p>
    <w:p>
      <w:pPr>
        <w:spacing w:after="0" w:line="151" w:lineRule="exact"/>
        <w:rPr>
          <w:sz w:val="20"/>
          <w:szCs w:val="20"/>
          <w:color w:val="auto"/>
        </w:rPr>
      </w:pPr>
    </w:p>
    <w:p>
      <w:pPr>
        <w:ind w:left="103" w:right="200" w:hanging="103"/>
        <w:spacing w:after="0" w:line="253" w:lineRule="auto"/>
        <w:tabs>
          <w:tab w:leader="none" w:pos="103" w:val="left"/>
        </w:tabs>
        <w:numPr>
          <w:ilvl w:val="0"/>
          <w:numId w:val="8"/>
        </w:numPr>
        <w:rPr>
          <w:rFonts w:ascii="Arial" w:cs="Arial" w:eastAsia="Arial" w:hAnsi="Arial"/>
          <w:sz w:val="15"/>
          <w:szCs w:val="15"/>
          <w:color w:val="auto"/>
        </w:rPr>
      </w:pPr>
      <w:r>
        <w:rPr>
          <w:rFonts w:ascii="Arial" w:cs="Arial" w:eastAsia="Arial" w:hAnsi="Arial"/>
          <w:sz w:val="15"/>
          <w:szCs w:val="15"/>
          <w:color w:val="auto"/>
        </w:rPr>
        <w:t>Balances shown are pro forma for the borrowing of $300mm under our Term Loan A and $80mm under our revolving credit facility in April 2014, which was used to fund the redemption of the $400mm Senior Subordinated Notes on April 21, 2014</w:t>
      </w:r>
    </w:p>
    <w:p>
      <w:pPr>
        <w:spacing w:after="0" w:line="200" w:lineRule="exact"/>
        <w:rPr>
          <w:sz w:val="20"/>
          <w:szCs w:val="20"/>
          <w:color w:val="auto"/>
        </w:rPr>
      </w:pPr>
    </w:p>
    <w:p>
      <w:pPr>
        <w:spacing w:after="0" w:line="226" w:lineRule="exact"/>
        <w:rPr>
          <w:sz w:val="20"/>
          <w:szCs w:val="20"/>
          <w:color w:val="auto"/>
        </w:rPr>
      </w:pPr>
    </w:p>
    <w:p>
      <w:pPr>
        <w:jc w:val="center"/>
        <w:ind w:right="-10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503"/>
          </w:cols>
          <w:pgMar w:left="1217" w:top="1061" w:right="11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Key business initiatives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25"/>
          <w:szCs w:val="25"/>
          <w:color w:val="auto"/>
        </w:rPr>
        <w:t>Focus on financial discipline and capital allocation</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25"/>
          <w:szCs w:val="25"/>
          <w:color w:val="auto"/>
        </w:rPr>
        <w:t>– Limited strategic acquisition activity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5"/>
          <w:szCs w:val="25"/>
          <w:color w:val="auto"/>
        </w:rPr>
        <w:t>– Continue to use free cash flow to reduce debt</w:t>
      </w:r>
    </w:p>
    <w:p>
      <w:pPr>
        <w:spacing w:after="0" w:line="220" w:lineRule="exact"/>
        <w:rPr>
          <w:sz w:val="20"/>
          <w:szCs w:val="20"/>
          <w:color w:val="auto"/>
        </w:rPr>
      </w:pPr>
    </w:p>
    <w:p>
      <w:pPr>
        <w:ind w:left="300" w:right="2800" w:hanging="12"/>
        <w:spacing w:after="0" w:line="429" w:lineRule="auto"/>
        <w:rPr>
          <w:sz w:val="20"/>
          <w:szCs w:val="20"/>
          <w:color w:val="auto"/>
        </w:rPr>
      </w:pPr>
      <w:r>
        <w:rPr>
          <w:rFonts w:ascii="Arial" w:cs="Arial" w:eastAsia="Arial" w:hAnsi="Arial"/>
          <w:sz w:val="25"/>
          <w:szCs w:val="25"/>
          <w:color w:val="auto"/>
        </w:rPr>
        <w:t>– Continue to invest in highly profitable digital billboards No approved stock buyback plan</w:t>
      </w:r>
    </w:p>
    <w:p>
      <w:pPr>
        <w:ind w:left="300"/>
        <w:spacing w:after="0"/>
        <w:rPr>
          <w:sz w:val="20"/>
          <w:szCs w:val="20"/>
          <w:color w:val="auto"/>
        </w:rPr>
      </w:pPr>
      <w:r>
        <w:rPr>
          <w:rFonts w:ascii="Arial" w:cs="Arial" w:eastAsia="Arial" w:hAnsi="Arial"/>
          <w:sz w:val="25"/>
          <w:szCs w:val="25"/>
          <w:color w:val="auto"/>
        </w:rPr>
        <w:t>Focus on cost containment</w:t>
      </w:r>
    </w:p>
    <w:p>
      <w:pPr>
        <w:spacing w:after="0" w:line="220" w:lineRule="exact"/>
        <w:rPr>
          <w:sz w:val="20"/>
          <w:szCs w:val="20"/>
          <w:color w:val="auto"/>
        </w:rPr>
      </w:pPr>
    </w:p>
    <w:p>
      <w:pPr>
        <w:ind w:left="520" w:hanging="230"/>
        <w:spacing w:after="0" w:line="298" w:lineRule="auto"/>
        <w:rPr>
          <w:sz w:val="20"/>
          <w:szCs w:val="20"/>
          <w:color w:val="auto"/>
        </w:rPr>
      </w:pPr>
      <w:r>
        <w:rPr>
          <w:rFonts w:ascii="Arial" w:cs="Arial" w:eastAsia="Arial" w:hAnsi="Arial"/>
          <w:sz w:val="25"/>
          <w:szCs w:val="25"/>
          <w:color w:val="auto"/>
        </w:rPr>
        <w:t>– No near term plans to increase headcount; headcount in 2008 was 3,500+ and currently stands at approximately 3,000</w:t>
      </w:r>
    </w:p>
    <w:p>
      <w:pPr>
        <w:spacing w:after="0" w:line="145" w:lineRule="exact"/>
        <w:rPr>
          <w:sz w:val="20"/>
          <w:szCs w:val="20"/>
          <w:color w:val="auto"/>
        </w:rPr>
      </w:pPr>
    </w:p>
    <w:p>
      <w:pPr>
        <w:ind w:left="300" w:right="3080"/>
        <w:spacing w:after="0" w:line="439" w:lineRule="auto"/>
        <w:rPr>
          <w:sz w:val="20"/>
          <w:szCs w:val="20"/>
          <w:color w:val="auto"/>
        </w:rPr>
      </w:pPr>
      <w:r>
        <w:rPr>
          <w:rFonts w:ascii="Arial" w:cs="Arial" w:eastAsia="Arial" w:hAnsi="Arial"/>
          <w:sz w:val="25"/>
          <w:szCs w:val="25"/>
          <w:color w:val="auto"/>
        </w:rPr>
        <w:t>Focus on improving pricing and occupancy statistics Expect to elect REIT status effective January 1, 2014</w:t>
      </w:r>
    </w:p>
    <w:p>
      <w:pPr>
        <w:spacing w:after="0" w:line="68" w:lineRule="exact"/>
        <w:rPr>
          <w:sz w:val="20"/>
          <w:szCs w:val="20"/>
          <w:color w:val="auto"/>
        </w:rPr>
      </w:pPr>
    </w:p>
    <w:p>
      <w:pPr>
        <w:jc w:val="center"/>
        <w:ind w:left="1440"/>
        <w:spacing w:after="0" w:line="312" w:lineRule="auto"/>
        <w:rPr>
          <w:sz w:val="20"/>
          <w:szCs w:val="20"/>
          <w:color w:val="auto"/>
        </w:rPr>
      </w:pPr>
      <w:r>
        <w:rPr>
          <w:rFonts w:ascii="Arial" w:cs="Arial" w:eastAsia="Arial" w:hAnsi="Arial"/>
          <w:sz w:val="22"/>
          <w:szCs w:val="22"/>
          <w:b w:val="1"/>
          <w:bCs w:val="1"/>
          <w:color w:val="FFFFFF"/>
        </w:rPr>
        <w:t>Through numerous initiatives, Lamar has demonstrated its prudent financial strategy, generated free cash flow and is well positioned as the economy accelerates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360"/>
          </w:cols>
          <w:pgMar w:left="1240" w:top="1061" w:right="1299" w:bottom="1440" w:gutter="0" w:footer="0" w:header="0"/>
        </w:sectPr>
      </w:pPr>
    </w:p>
    <w:bookmarkStart w:id="22" w:name="page23"/>
    <w:bookmarkEnd w:id="22"/>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481"/>
        </w:trPr>
        <w:tc>
          <w:tcPr>
            <w:tcW w:w="8260" w:type="dxa"/>
            <w:vAlign w:val="bottom"/>
          </w:tcPr>
          <w:p>
            <w:pPr>
              <w:ind w:left="20"/>
              <w:spacing w:after="0"/>
              <w:rPr>
                <w:sz w:val="20"/>
                <w:szCs w:val="20"/>
                <w:color w:val="auto"/>
              </w:rPr>
            </w:pPr>
            <w:r>
              <w:rPr>
                <w:rFonts w:ascii="Arial" w:cs="Arial" w:eastAsia="Arial" w:hAnsi="Arial"/>
                <w:sz w:val="40"/>
                <w:szCs w:val="40"/>
                <w:color w:val="auto"/>
              </w:rPr>
              <w:t>Company background</w:t>
            </w:r>
          </w:p>
        </w:tc>
        <w:tc>
          <w:tcPr>
            <w:tcW w:w="1100" w:type="dxa"/>
            <w:vAlign w:val="bottom"/>
          </w:tcPr>
          <w:p>
            <w:pPr>
              <w:jc w:val="right"/>
              <w:spacing w:after="0"/>
              <w:rPr>
                <w:sz w:val="20"/>
                <w:szCs w:val="20"/>
                <w:color w:val="auto"/>
              </w:rPr>
            </w:pPr>
            <w:r>
              <w:rPr>
                <w:rFonts w:ascii="Arial" w:cs="Arial" w:eastAsia="Arial" w:hAnsi="Arial"/>
                <w:sz w:val="40"/>
                <w:szCs w:val="40"/>
                <w:color w:val="auto"/>
              </w:rPr>
              <w:t>3</w:t>
            </w:r>
          </w:p>
        </w:tc>
      </w:tr>
      <w:tr>
        <w:trPr>
          <w:trHeight w:val="1149"/>
        </w:trPr>
        <w:tc>
          <w:tcPr>
            <w:tcW w:w="8260" w:type="dxa"/>
            <w:vAlign w:val="bottom"/>
          </w:tcPr>
          <w:p>
            <w:pPr>
              <w:ind w:left="20"/>
              <w:spacing w:after="0"/>
              <w:rPr>
                <w:sz w:val="20"/>
                <w:szCs w:val="20"/>
                <w:color w:val="auto"/>
              </w:rPr>
            </w:pPr>
            <w:r>
              <w:rPr>
                <w:rFonts w:ascii="Arial" w:cs="Arial" w:eastAsia="Arial" w:hAnsi="Arial"/>
                <w:sz w:val="40"/>
                <w:szCs w:val="40"/>
                <w:b w:val="1"/>
                <w:bCs w:val="1"/>
                <w:color w:val="FFFFFF"/>
              </w:rPr>
              <w:t>REIT conversion highlights</w:t>
            </w:r>
          </w:p>
        </w:tc>
        <w:tc>
          <w:tcPr>
            <w:tcW w:w="1100" w:type="dxa"/>
            <w:vAlign w:val="bottom"/>
          </w:tcPr>
          <w:p>
            <w:pPr>
              <w:jc w:val="right"/>
              <w:spacing w:after="0"/>
              <w:rPr>
                <w:sz w:val="20"/>
                <w:szCs w:val="20"/>
                <w:color w:val="auto"/>
              </w:rPr>
            </w:pPr>
            <w:r>
              <w:rPr>
                <w:rFonts w:ascii="Arial" w:cs="Arial" w:eastAsia="Arial" w:hAnsi="Arial"/>
                <w:sz w:val="40"/>
                <w:szCs w:val="40"/>
                <w:b w:val="1"/>
                <w:bCs w:val="1"/>
                <w:color w:val="FFFFFF"/>
              </w:rPr>
              <w:t>22</w:t>
            </w:r>
          </w:p>
        </w:tc>
      </w:tr>
      <w:tr>
        <w:trPr>
          <w:trHeight w:val="1137"/>
        </w:trPr>
        <w:tc>
          <w:tcPr>
            <w:tcW w:w="8260" w:type="dxa"/>
            <w:vAlign w:val="bottom"/>
          </w:tcPr>
          <w:p>
            <w:pPr>
              <w:ind w:left="20"/>
              <w:spacing w:after="0"/>
              <w:rPr>
                <w:sz w:val="20"/>
                <w:szCs w:val="20"/>
                <w:color w:val="auto"/>
              </w:rPr>
            </w:pPr>
            <w:r>
              <w:rPr>
                <w:rFonts w:ascii="Arial" w:cs="Arial" w:eastAsia="Arial" w:hAnsi="Arial"/>
                <w:sz w:val="40"/>
                <w:szCs w:val="40"/>
                <w:color w:val="auto"/>
              </w:rPr>
              <w:t>Value creation and opportunities for growth</w:t>
            </w:r>
          </w:p>
        </w:tc>
        <w:tc>
          <w:tcPr>
            <w:tcW w:w="1100" w:type="dxa"/>
            <w:vAlign w:val="bottom"/>
          </w:tcPr>
          <w:p>
            <w:pPr>
              <w:jc w:val="right"/>
              <w:spacing w:after="0"/>
              <w:rPr>
                <w:sz w:val="20"/>
                <w:szCs w:val="20"/>
                <w:color w:val="auto"/>
              </w:rPr>
            </w:pPr>
            <w:r>
              <w:rPr>
                <w:rFonts w:ascii="Arial" w:cs="Arial" w:eastAsia="Arial" w:hAnsi="Arial"/>
                <w:sz w:val="40"/>
                <w:szCs w:val="40"/>
                <w:color w:val="auto"/>
              </w:rPr>
              <w:t>26</w:t>
            </w:r>
          </w:p>
        </w:tc>
      </w:tr>
      <w:tr>
        <w:trPr>
          <w:trHeight w:val="1149"/>
        </w:trPr>
        <w:tc>
          <w:tcPr>
            <w:tcW w:w="8260" w:type="dxa"/>
            <w:vAlign w:val="bottom"/>
          </w:tcPr>
          <w:p>
            <w:pPr>
              <w:spacing w:after="0"/>
              <w:rPr>
                <w:sz w:val="20"/>
                <w:szCs w:val="20"/>
                <w:color w:val="auto"/>
              </w:rPr>
            </w:pPr>
            <w:r>
              <w:rPr>
                <w:rFonts w:ascii="Arial" w:cs="Arial" w:eastAsia="Arial" w:hAnsi="Arial"/>
                <w:sz w:val="40"/>
                <w:szCs w:val="40"/>
                <w:color w:val="auto"/>
              </w:rPr>
              <w:t>Appendix</w:t>
            </w:r>
          </w:p>
        </w:tc>
        <w:tc>
          <w:tcPr>
            <w:tcW w:w="1100" w:type="dxa"/>
            <w:vAlign w:val="bottom"/>
          </w:tcPr>
          <w:p>
            <w:pPr>
              <w:jc w:val="right"/>
              <w:spacing w:after="0"/>
              <w:rPr>
                <w:sz w:val="20"/>
                <w:szCs w:val="20"/>
                <w:color w:val="auto"/>
              </w:rPr>
            </w:pPr>
            <w:r>
              <w:rPr>
                <w:rFonts w:ascii="Arial" w:cs="Arial" w:eastAsia="Arial" w:hAnsi="Arial"/>
                <w:sz w:val="40"/>
                <w:szCs w:val="40"/>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440"/>
          </w:cols>
          <w:pgMar w:left="1240" w:top="1061" w:right="1219" w:bottom="1440" w:gutter="0" w:footer="0" w:header="0"/>
        </w:sectPr>
      </w:pPr>
    </w:p>
    <w:bookmarkStart w:id="23" w:name="page24"/>
    <w:bookmarkEnd w:id="23"/>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REIT conversion highlights</w:t>
      </w: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Favorable IRS PLR received, final Board authorization expected</w:t>
      </w:r>
    </w:p>
    <w:p>
      <w:pPr>
        <w:spacing w:after="0" w:line="181" w:lineRule="exact"/>
        <w:rPr>
          <w:sz w:val="20"/>
          <w:szCs w:val="20"/>
          <w:color w:val="auto"/>
        </w:rPr>
      </w:pPr>
    </w:p>
    <w:p>
      <w:pPr>
        <w:ind w:left="460" w:right="240" w:hanging="169"/>
        <w:spacing w:after="0" w:line="295" w:lineRule="auto"/>
        <w:rPr>
          <w:sz w:val="20"/>
          <w:szCs w:val="20"/>
          <w:color w:val="auto"/>
        </w:rPr>
      </w:pPr>
      <w:r>
        <w:rPr>
          <w:rFonts w:ascii="Arial" w:cs="Arial" w:eastAsia="Arial" w:hAnsi="Arial"/>
          <w:sz w:val="19"/>
          <w:szCs w:val="19"/>
          <w:color w:val="auto"/>
        </w:rPr>
        <w:t>– Expect to complete a merger of Lamar into a newly formed, wholly owned subsidiary to adopt a new REIT-compliant charter</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Merger will be subject to stockholder approval</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Lamar REIT structural reorganization complete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Expect to elect REIT status effective January 1, 2014</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No impact on customer service; No asset divestitures; No business disruption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Composition of qualified REIT subsidiary (QRS) and taxable REIT subsidiary (TRS)</w:t>
      </w:r>
    </w:p>
    <w:p>
      <w:pPr>
        <w:spacing w:after="0" w:line="181" w:lineRule="exact"/>
        <w:rPr>
          <w:sz w:val="20"/>
          <w:szCs w:val="20"/>
          <w:color w:val="auto"/>
        </w:rPr>
      </w:pPr>
    </w:p>
    <w:p>
      <w:pPr>
        <w:ind w:left="460" w:hanging="169"/>
        <w:spacing w:after="0" w:line="295" w:lineRule="auto"/>
        <w:rPr>
          <w:sz w:val="20"/>
          <w:szCs w:val="20"/>
          <w:color w:val="auto"/>
        </w:rPr>
      </w:pPr>
      <w:r>
        <w:rPr>
          <w:rFonts w:ascii="Arial" w:cs="Arial" w:eastAsia="Arial" w:hAnsi="Arial"/>
          <w:sz w:val="19"/>
          <w:szCs w:val="19"/>
          <w:color w:val="auto"/>
        </w:rPr>
        <w:t>– TRS comprised of transit advertising business, design, production &amp; installation services and foreign operations in Canada and Puerto Rico; we expect the tax leakage to be approximately $15mm in 2014</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QRS comprised of billboard and logo sign assets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Significant increase in shareholder value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Higher net income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Dividends initiated in connection with expected conversion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 Potential to expand investor base and valuation multiples</w:t>
      </w:r>
    </w:p>
    <w:p>
      <w:pPr>
        <w:spacing w:after="0" w:line="156" w:lineRule="exact"/>
        <w:rPr>
          <w:sz w:val="20"/>
          <w:szCs w:val="20"/>
          <w:color w:val="auto"/>
        </w:rPr>
      </w:pPr>
    </w:p>
    <w:p>
      <w:pPr>
        <w:ind w:left="540" w:right="720" w:hanging="254"/>
        <w:spacing w:after="0" w:line="306" w:lineRule="auto"/>
        <w:rPr>
          <w:sz w:val="20"/>
          <w:szCs w:val="20"/>
          <w:color w:val="auto"/>
        </w:rPr>
      </w:pPr>
      <w:r>
        <w:rPr>
          <w:rFonts w:ascii="Arial" w:cs="Arial" w:eastAsia="Arial" w:hAnsi="Arial"/>
          <w:sz w:val="19"/>
          <w:szCs w:val="19"/>
          <w:color w:val="auto"/>
        </w:rPr>
        <w:t xml:space="preserve">– Continued strong access to capital at attractive rates; modest post conversion leverage: ~3.5x </w:t>
      </w:r>
      <w:r>
        <w:rPr>
          <w:rFonts w:ascii="Courier New" w:cs="Courier New" w:eastAsia="Courier New" w:hAnsi="Courier New"/>
          <w:sz w:val="19"/>
          <w:szCs w:val="19"/>
          <w:color w:val="auto"/>
        </w:rPr>
        <w:t xml:space="preserve">o </w:t>
      </w:r>
      <w:r>
        <w:rPr>
          <w:rFonts w:ascii="Arial" w:cs="Arial" w:eastAsia="Arial" w:hAnsi="Arial"/>
          <w:sz w:val="19"/>
          <w:szCs w:val="19"/>
          <w:color w:val="auto"/>
        </w:rPr>
        <w:t>Provides dry powder for future accretive acquisitions</w:t>
      </w: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220"/>
          </w:cols>
          <w:pgMar w:left="1240" w:top="1061" w:right="1439" w:bottom="1440" w:gutter="0" w:footer="0" w:header="0"/>
        </w:sectPr>
      </w:pPr>
    </w:p>
    <w:bookmarkStart w:id="24" w:name="page25"/>
    <w:bookmarkEnd w:id="24"/>
    <w:p>
      <w:pPr>
        <w:ind w:left="23"/>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REIT conversion highlights (cont’d)</w:t>
      </w:r>
    </w:p>
    <w:p>
      <w:pPr>
        <w:spacing w:after="0" w:line="200" w:lineRule="exact"/>
        <w:rPr>
          <w:sz w:val="20"/>
          <w:szCs w:val="20"/>
          <w:color w:val="auto"/>
        </w:rPr>
      </w:pPr>
    </w:p>
    <w:p>
      <w:pPr>
        <w:spacing w:after="0" w:line="398" w:lineRule="exact"/>
        <w:rPr>
          <w:sz w:val="20"/>
          <w:szCs w:val="20"/>
          <w:color w:val="auto"/>
        </w:rPr>
      </w:pPr>
    </w:p>
    <w:p>
      <w:pPr>
        <w:ind w:left="323"/>
        <w:spacing w:after="0"/>
        <w:rPr>
          <w:sz w:val="20"/>
          <w:szCs w:val="20"/>
          <w:color w:val="auto"/>
        </w:rPr>
      </w:pPr>
      <w:r>
        <w:rPr>
          <w:rFonts w:ascii="Arial" w:cs="Arial" w:eastAsia="Arial" w:hAnsi="Arial"/>
          <w:sz w:val="19"/>
          <w:szCs w:val="19"/>
          <w:b w:val="1"/>
          <w:bCs w:val="1"/>
          <w:color w:val="auto"/>
        </w:rPr>
        <w:t>Non-REIT E&amp;P dividend</w:t>
      </w:r>
    </w:p>
    <w:p>
      <w:pPr>
        <w:spacing w:after="0" w:line="108"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Accumulated non-REIT E&amp;P: ~$40mm</w:t>
      </w:r>
    </w:p>
    <w:p>
      <w:pPr>
        <w:spacing w:after="0" w:line="84"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Plan to distribute in cash along with three regular quarterly distributions to stockholders during 2014</w:t>
      </w:r>
    </w:p>
    <w:p>
      <w:pPr>
        <w:spacing w:after="0" w:line="96" w:lineRule="exact"/>
        <w:rPr>
          <w:sz w:val="20"/>
          <w:szCs w:val="20"/>
          <w:color w:val="auto"/>
        </w:rPr>
      </w:pPr>
    </w:p>
    <w:p>
      <w:pPr>
        <w:ind w:left="323"/>
        <w:spacing w:after="0"/>
        <w:rPr>
          <w:sz w:val="20"/>
          <w:szCs w:val="20"/>
          <w:color w:val="auto"/>
        </w:rPr>
      </w:pPr>
      <w:r>
        <w:rPr>
          <w:rFonts w:ascii="Arial" w:cs="Arial" w:eastAsia="Arial" w:hAnsi="Arial"/>
          <w:sz w:val="19"/>
          <w:szCs w:val="19"/>
          <w:b w:val="1"/>
          <w:bCs w:val="1"/>
          <w:color w:val="auto"/>
        </w:rPr>
        <w:t>2014 financial guidance</w:t>
      </w:r>
    </w:p>
    <w:p>
      <w:pPr>
        <w:spacing w:after="0" w:line="96"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Projected earnings per diluted share: $2.81 to $2.91¹</w:t>
      </w:r>
    </w:p>
    <w:p>
      <w:pPr>
        <w:spacing w:after="0" w:line="84"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Projected Adjusted Funds from Operations (AFFO) per diluted share: $4.03 to $4.13²</w:t>
      </w:r>
    </w:p>
    <w:p>
      <w:pPr>
        <w:spacing w:after="0" w:line="84" w:lineRule="exact"/>
        <w:rPr>
          <w:sz w:val="20"/>
          <w:szCs w:val="20"/>
          <w:color w:val="auto"/>
        </w:rPr>
      </w:pPr>
    </w:p>
    <w:p>
      <w:pPr>
        <w:ind w:left="563" w:right="320" w:hanging="254"/>
        <w:spacing w:after="0" w:line="283" w:lineRule="auto"/>
        <w:rPr>
          <w:sz w:val="20"/>
          <w:szCs w:val="20"/>
          <w:color w:val="auto"/>
        </w:rPr>
      </w:pPr>
      <w:r>
        <w:rPr>
          <w:rFonts w:ascii="Arial" w:cs="Arial" w:eastAsia="Arial" w:hAnsi="Arial"/>
          <w:sz w:val="19"/>
          <w:szCs w:val="19"/>
          <w:color w:val="auto"/>
        </w:rPr>
        <w:t xml:space="preserve">– 2014 expected annual dividend per share (includes non-REIT E&amp;P distribution of $40mm): $2.50³ </w:t>
      </w:r>
      <w:r>
        <w:rPr>
          <w:rFonts w:ascii="Courier New" w:cs="Courier New" w:eastAsia="Courier New" w:hAnsi="Courier New"/>
          <w:sz w:val="19"/>
          <w:szCs w:val="19"/>
          <w:color w:val="auto"/>
        </w:rPr>
        <w:t xml:space="preserve">o </w:t>
      </w:r>
      <w:r>
        <w:rPr>
          <w:rFonts w:ascii="Arial" w:cs="Arial" w:eastAsia="Arial" w:hAnsi="Arial"/>
          <w:sz w:val="19"/>
          <w:szCs w:val="19"/>
          <w:color w:val="auto"/>
        </w:rPr>
        <w:t>Announced on May 22, 2014 a cash dividend of $0.83 per share to be paid on June 30, 2014 to</w:t>
      </w:r>
    </w:p>
    <w:p>
      <w:pPr>
        <w:spacing w:after="0" w:line="1" w:lineRule="exact"/>
        <w:rPr>
          <w:sz w:val="20"/>
          <w:szCs w:val="20"/>
          <w:color w:val="auto"/>
        </w:rPr>
      </w:pPr>
    </w:p>
    <w:p>
      <w:pPr>
        <w:ind w:left="783"/>
        <w:spacing w:after="0"/>
        <w:rPr>
          <w:sz w:val="20"/>
          <w:szCs w:val="20"/>
          <w:color w:val="auto"/>
        </w:rPr>
      </w:pPr>
      <w:r>
        <w:rPr>
          <w:rFonts w:ascii="Arial" w:cs="Arial" w:eastAsia="Arial" w:hAnsi="Arial"/>
          <w:sz w:val="19"/>
          <w:szCs w:val="19"/>
          <w:color w:val="auto"/>
        </w:rPr>
        <w:t>shareholders of record on June 1, 2014</w:t>
      </w:r>
    </w:p>
    <w:p>
      <w:pPr>
        <w:spacing w:after="0" w:line="96" w:lineRule="exact"/>
        <w:rPr>
          <w:sz w:val="20"/>
          <w:szCs w:val="20"/>
          <w:color w:val="auto"/>
        </w:rPr>
      </w:pPr>
    </w:p>
    <w:p>
      <w:pPr>
        <w:ind w:left="323"/>
        <w:spacing w:after="0"/>
        <w:rPr>
          <w:sz w:val="20"/>
          <w:szCs w:val="20"/>
          <w:color w:val="auto"/>
        </w:rPr>
      </w:pPr>
      <w:r>
        <w:rPr>
          <w:rFonts w:ascii="Arial" w:cs="Arial" w:eastAsia="Arial" w:hAnsi="Arial"/>
          <w:sz w:val="19"/>
          <w:szCs w:val="19"/>
          <w:b w:val="1"/>
          <w:bCs w:val="1"/>
          <w:color w:val="auto"/>
        </w:rPr>
        <w:t>2014 capital expenditures</w:t>
      </w:r>
    </w:p>
    <w:p>
      <w:pPr>
        <w:spacing w:after="0" w:line="96"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~$100mm consisting of ~$45mm growth and ~$55mm maintenance capital expenditures</w:t>
      </w:r>
    </w:p>
    <w:p>
      <w:pPr>
        <w:spacing w:after="0" w:line="108" w:lineRule="exact"/>
        <w:rPr>
          <w:sz w:val="20"/>
          <w:szCs w:val="20"/>
          <w:color w:val="auto"/>
        </w:rPr>
      </w:pPr>
    </w:p>
    <w:p>
      <w:pPr>
        <w:ind w:left="323" w:right="2060"/>
        <w:spacing w:after="0" w:line="358" w:lineRule="auto"/>
        <w:rPr>
          <w:sz w:val="20"/>
          <w:szCs w:val="20"/>
          <w:color w:val="auto"/>
        </w:rPr>
      </w:pPr>
      <w:r>
        <w:rPr>
          <w:rFonts w:ascii="Arial" w:cs="Arial" w:eastAsia="Arial" w:hAnsi="Arial"/>
          <w:sz w:val="19"/>
          <w:szCs w:val="19"/>
          <w:b w:val="1"/>
          <w:bCs w:val="1"/>
          <w:color w:val="auto"/>
        </w:rPr>
        <w:t>Targeting annual dividend equal to ~60% of AFFO per diluted share in 2014 Refinancing transaction</w:t>
      </w:r>
    </w:p>
    <w:p>
      <w:pPr>
        <w:spacing w:after="0" w:line="1" w:lineRule="exact"/>
        <w:rPr>
          <w:sz w:val="20"/>
          <w:szCs w:val="20"/>
          <w:color w:val="auto"/>
        </w:rPr>
      </w:pPr>
    </w:p>
    <w:p>
      <w:pPr>
        <w:ind w:left="483" w:hanging="169"/>
        <w:spacing w:after="0" w:line="305" w:lineRule="auto"/>
        <w:rPr>
          <w:sz w:val="20"/>
          <w:szCs w:val="20"/>
          <w:color w:val="auto"/>
        </w:rPr>
      </w:pPr>
      <w:r>
        <w:rPr>
          <w:rFonts w:ascii="Arial" w:cs="Arial" w:eastAsia="Arial" w:hAnsi="Arial"/>
          <w:sz w:val="19"/>
          <w:szCs w:val="19"/>
          <w:color w:val="auto"/>
        </w:rPr>
        <w:t>– On April 21, 2014, Lamar Media Corp. redeemed its outstanding $400mm 7 7/8% Senior Subordinated Notes due 2018 at 103.938% principal</w:t>
      </w:r>
    </w:p>
    <w:p>
      <w:pPr>
        <w:spacing w:after="0" w:line="1" w:lineRule="exact"/>
        <w:rPr>
          <w:sz w:val="20"/>
          <w:szCs w:val="20"/>
          <w:color w:val="auto"/>
        </w:rPr>
      </w:pPr>
    </w:p>
    <w:p>
      <w:pPr>
        <w:ind w:left="323"/>
        <w:spacing w:after="0"/>
        <w:rPr>
          <w:sz w:val="20"/>
          <w:szCs w:val="20"/>
          <w:color w:val="auto"/>
        </w:rPr>
      </w:pPr>
      <w:r>
        <w:rPr>
          <w:rFonts w:ascii="Arial" w:cs="Arial" w:eastAsia="Arial" w:hAnsi="Arial"/>
          <w:sz w:val="19"/>
          <w:szCs w:val="19"/>
          <w:color w:val="auto"/>
        </w:rPr>
        <w:t>– Funded repayment with $300mm new term debt, revolving credit borrowings and cash</w:t>
      </w:r>
    </w:p>
    <w:p>
      <w:pPr>
        <w:spacing w:after="0" w:line="96" w:lineRule="exact"/>
        <w:rPr>
          <w:sz w:val="20"/>
          <w:szCs w:val="20"/>
          <w:color w:val="auto"/>
        </w:rPr>
      </w:pPr>
    </w:p>
    <w:p>
      <w:pPr>
        <w:ind w:left="323"/>
        <w:spacing w:after="0"/>
        <w:rPr>
          <w:sz w:val="20"/>
          <w:szCs w:val="20"/>
          <w:color w:val="auto"/>
        </w:rPr>
      </w:pPr>
      <w:r>
        <w:rPr>
          <w:rFonts w:ascii="Arial" w:cs="Arial" w:eastAsia="Arial" w:hAnsi="Arial"/>
          <w:sz w:val="19"/>
          <w:szCs w:val="19"/>
          <w:b w:val="1"/>
          <w:bCs w:val="1"/>
          <w:color w:val="auto"/>
        </w:rPr>
        <w:t>Estimated total REIT one-time conversion costs of ~$5mm</w:t>
      </w:r>
    </w:p>
    <w:p>
      <w:pPr>
        <w:spacing w:after="0" w:line="394" w:lineRule="exact"/>
        <w:rPr>
          <w:sz w:val="20"/>
          <w:szCs w:val="20"/>
          <w:color w:val="auto"/>
        </w:rPr>
      </w:pPr>
    </w:p>
    <w:p>
      <w:pPr>
        <w:ind w:left="3"/>
        <w:spacing w:after="0"/>
        <w:rPr>
          <w:sz w:val="20"/>
          <w:szCs w:val="20"/>
          <w:color w:val="auto"/>
        </w:rPr>
      </w:pPr>
      <w:r>
        <w:rPr>
          <w:rFonts w:ascii="Arial" w:cs="Arial" w:eastAsia="Arial" w:hAnsi="Arial"/>
          <w:sz w:val="15"/>
          <w:szCs w:val="15"/>
          <w:color w:val="auto"/>
        </w:rPr>
        <w:t>¹ Calculated before dividends</w:t>
      </w:r>
    </w:p>
    <w:p>
      <w:pPr>
        <w:spacing w:after="0" w:line="9" w:lineRule="exact"/>
        <w:rPr>
          <w:sz w:val="20"/>
          <w:szCs w:val="20"/>
          <w:color w:val="auto"/>
        </w:rPr>
      </w:pPr>
    </w:p>
    <w:p>
      <w:pPr>
        <w:ind w:left="3" w:right="5340" w:hanging="3"/>
        <w:spacing w:after="0" w:line="238" w:lineRule="auto"/>
        <w:tabs>
          <w:tab w:leader="none" w:pos="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 “Reconciliation to AFFO per diluted share” in Appendix ³ Subject to declaration by Board of Directors</w:t>
      </w:r>
    </w:p>
    <w:p>
      <w:pPr>
        <w:spacing w:after="0" w:line="200" w:lineRule="exact"/>
        <w:rPr>
          <w:sz w:val="20"/>
          <w:szCs w:val="20"/>
          <w:color w:val="auto"/>
        </w:rPr>
      </w:pPr>
    </w:p>
    <w:p>
      <w:pPr>
        <w:spacing w:after="0" w:line="236" w:lineRule="exact"/>
        <w:rPr>
          <w:sz w:val="20"/>
          <w:szCs w:val="20"/>
          <w:color w:val="auto"/>
        </w:rPr>
      </w:pPr>
    </w:p>
    <w:p>
      <w:pPr>
        <w:jc w:val="center"/>
        <w:ind w:right="-34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263"/>
          </w:cols>
          <w:pgMar w:left="1217" w:top="1061" w:right="1419" w:bottom="1440" w:gutter="0" w:footer="0" w:header="0"/>
        </w:sectPr>
      </w:pPr>
    </w:p>
    <w:bookmarkStart w:id="25" w:name="page26"/>
    <w:bookmarkEnd w:id="25"/>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Indicative timeline for 2014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60" w:type="dxa"/>
        <w:tblCellMar>
          <w:top w:w="0" w:type="dxa"/>
          <w:left w:w="0" w:type="dxa"/>
          <w:bottom w:w="0" w:type="dxa"/>
          <w:right w:w="0" w:type="dxa"/>
        </w:tblCellMar>
      </w:tblPr>
      <w:tr>
        <w:trPr>
          <w:trHeight w:val="233"/>
        </w:trPr>
        <w:tc>
          <w:tcPr>
            <w:tcW w:w="2240" w:type="dxa"/>
            <w:vAlign w:val="bottom"/>
          </w:tcPr>
          <w:p>
            <w:pPr>
              <w:jc w:val="right"/>
              <w:ind w:right="963"/>
              <w:spacing w:after="0"/>
              <w:rPr>
                <w:sz w:val="20"/>
                <w:szCs w:val="20"/>
                <w:color w:val="auto"/>
              </w:rPr>
            </w:pPr>
            <w:r>
              <w:rPr>
                <w:rFonts w:ascii="Arial" w:cs="Arial" w:eastAsia="Arial" w:hAnsi="Arial"/>
                <w:sz w:val="19"/>
                <w:szCs w:val="19"/>
                <w:color w:val="auto"/>
              </w:rPr>
              <w:t>May 22, 2014</w:t>
            </w:r>
          </w:p>
        </w:tc>
        <w:tc>
          <w:tcPr>
            <w:tcW w:w="3240" w:type="dxa"/>
            <w:vAlign w:val="bottom"/>
          </w:tcPr>
          <w:p>
            <w:pPr>
              <w:jc w:val="center"/>
              <w:ind w:left="43"/>
              <w:spacing w:after="0"/>
              <w:rPr>
                <w:sz w:val="20"/>
                <w:szCs w:val="20"/>
                <w:color w:val="auto"/>
              </w:rPr>
            </w:pPr>
            <w:r>
              <w:rPr>
                <w:rFonts w:ascii="Arial" w:cs="Arial" w:eastAsia="Arial" w:hAnsi="Arial"/>
                <w:sz w:val="19"/>
                <w:szCs w:val="19"/>
                <w:color w:val="auto"/>
              </w:rPr>
              <w:t>June 30, 2014</w:t>
            </w:r>
          </w:p>
        </w:tc>
        <w:tc>
          <w:tcPr>
            <w:tcW w:w="2780" w:type="dxa"/>
            <w:vAlign w:val="bottom"/>
          </w:tcPr>
          <w:p>
            <w:pPr>
              <w:jc w:val="center"/>
              <w:ind w:left="663"/>
              <w:spacing w:after="0"/>
              <w:rPr>
                <w:sz w:val="20"/>
                <w:szCs w:val="20"/>
                <w:color w:val="auto"/>
              </w:rPr>
            </w:pPr>
            <w:r>
              <w:rPr>
                <w:rFonts w:ascii="Arial" w:cs="Arial" w:eastAsia="Arial" w:hAnsi="Arial"/>
                <w:sz w:val="19"/>
                <w:szCs w:val="19"/>
                <w:color w:val="auto"/>
              </w:rPr>
              <w:t>End December 2014</w:t>
            </w:r>
          </w:p>
        </w:tc>
      </w:tr>
      <w:tr>
        <w:trPr>
          <w:trHeight w:val="254"/>
        </w:trPr>
        <w:tc>
          <w:tcPr>
            <w:tcW w:w="2240" w:type="dxa"/>
            <w:vAlign w:val="bottom"/>
          </w:tcPr>
          <w:p>
            <w:pPr>
              <w:jc w:val="right"/>
              <w:ind w:right="823"/>
              <w:spacing w:after="0"/>
              <w:rPr>
                <w:sz w:val="20"/>
                <w:szCs w:val="20"/>
                <w:color w:val="auto"/>
              </w:rPr>
            </w:pPr>
            <w:r>
              <w:rPr>
                <w:rFonts w:ascii="Arial" w:cs="Arial" w:eastAsia="Arial" w:hAnsi="Arial"/>
                <w:sz w:val="19"/>
                <w:szCs w:val="19"/>
                <w:color w:val="auto"/>
              </w:rPr>
              <w:t>Cash dividend</w:t>
            </w:r>
          </w:p>
        </w:tc>
        <w:tc>
          <w:tcPr>
            <w:tcW w:w="3240" w:type="dxa"/>
            <w:vAlign w:val="bottom"/>
          </w:tcPr>
          <w:p>
            <w:pPr>
              <w:jc w:val="center"/>
              <w:ind w:left="83"/>
              <w:spacing w:after="0"/>
              <w:rPr>
                <w:sz w:val="20"/>
                <w:szCs w:val="20"/>
                <w:color w:val="auto"/>
              </w:rPr>
            </w:pPr>
            <w:r>
              <w:rPr>
                <w:rFonts w:ascii="Arial" w:cs="Arial" w:eastAsia="Arial" w:hAnsi="Arial"/>
                <w:sz w:val="19"/>
                <w:szCs w:val="19"/>
                <w:color w:val="auto"/>
              </w:rPr>
              <w:t>Quarterly dividend</w:t>
            </w:r>
          </w:p>
        </w:tc>
        <w:tc>
          <w:tcPr>
            <w:tcW w:w="2780" w:type="dxa"/>
            <w:vAlign w:val="bottom"/>
          </w:tcPr>
          <w:p>
            <w:pPr>
              <w:jc w:val="center"/>
              <w:ind w:left="643"/>
              <w:spacing w:after="0"/>
              <w:rPr>
                <w:sz w:val="20"/>
                <w:szCs w:val="20"/>
                <w:color w:val="auto"/>
              </w:rPr>
            </w:pPr>
            <w:r>
              <w:rPr>
                <w:rFonts w:ascii="Arial" w:cs="Arial" w:eastAsia="Arial" w:hAnsi="Arial"/>
                <w:sz w:val="19"/>
                <w:szCs w:val="19"/>
                <w:color w:val="auto"/>
              </w:rPr>
              <w:t>Quarterly cash dividend</w:t>
            </w:r>
          </w:p>
        </w:tc>
      </w:tr>
      <w:tr>
        <w:trPr>
          <w:trHeight w:val="254"/>
        </w:trPr>
        <w:tc>
          <w:tcPr>
            <w:tcW w:w="2240" w:type="dxa"/>
            <w:vAlign w:val="bottom"/>
          </w:tcPr>
          <w:p>
            <w:pPr>
              <w:jc w:val="right"/>
              <w:ind w:right="963"/>
              <w:spacing w:after="0"/>
              <w:rPr>
                <w:sz w:val="20"/>
                <w:szCs w:val="20"/>
                <w:color w:val="auto"/>
              </w:rPr>
            </w:pPr>
            <w:r>
              <w:rPr>
                <w:rFonts w:ascii="Arial" w:cs="Arial" w:eastAsia="Arial" w:hAnsi="Arial"/>
                <w:sz w:val="19"/>
                <w:szCs w:val="19"/>
                <w:color w:val="auto"/>
              </w:rPr>
              <w:t>announced</w:t>
            </w:r>
          </w:p>
        </w:tc>
        <w:tc>
          <w:tcPr>
            <w:tcW w:w="3240" w:type="dxa"/>
            <w:vAlign w:val="bottom"/>
          </w:tcPr>
          <w:p>
            <w:pPr>
              <w:jc w:val="center"/>
              <w:ind w:left="63"/>
              <w:spacing w:after="0"/>
              <w:rPr>
                <w:sz w:val="20"/>
                <w:szCs w:val="20"/>
                <w:color w:val="auto"/>
              </w:rPr>
            </w:pPr>
            <w:r>
              <w:rPr>
                <w:rFonts w:ascii="Arial" w:cs="Arial" w:eastAsia="Arial" w:hAnsi="Arial"/>
                <w:sz w:val="19"/>
                <w:szCs w:val="19"/>
                <w:color w:val="auto"/>
              </w:rPr>
              <w:t>to be paid ($0.83)</w:t>
            </w:r>
          </w:p>
        </w:tc>
        <w:tc>
          <w:tcPr>
            <w:tcW w:w="2780" w:type="dxa"/>
            <w:vAlign w:val="bottom"/>
          </w:tcPr>
          <w:p>
            <w:pPr>
              <w:jc w:val="center"/>
              <w:ind w:left="643"/>
              <w:spacing w:after="0"/>
              <w:rPr>
                <w:sz w:val="20"/>
                <w:szCs w:val="20"/>
                <w:color w:val="auto"/>
              </w:rPr>
            </w:pPr>
            <w:r>
              <w:rPr>
                <w:rFonts w:ascii="Arial" w:cs="Arial" w:eastAsia="Arial" w:hAnsi="Arial"/>
                <w:sz w:val="19"/>
                <w:szCs w:val="19"/>
                <w:color w:val="auto"/>
              </w:rPr>
              <w:t>expected to be paid</w:t>
            </w:r>
          </w:p>
        </w:tc>
      </w:tr>
    </w:tbl>
    <w:p>
      <w:pPr>
        <w:spacing w:after="0" w:line="200" w:lineRule="exact"/>
        <w:rPr>
          <w:sz w:val="20"/>
          <w:szCs w:val="20"/>
          <w:color w:val="auto"/>
        </w:rPr>
      </w:pPr>
    </w:p>
    <w:p>
      <w:pPr>
        <w:sectPr>
          <w:pgSz w:w="11900" w:h="16838" w:orient="portrait"/>
          <w:cols w:equalWidth="0" w:num="1">
            <w:col w:w="9219"/>
          </w:cols>
          <w:pgMar w:left="1240" w:top="10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00"/>
        <w:spacing w:after="0"/>
        <w:rPr>
          <w:sz w:val="20"/>
          <w:szCs w:val="20"/>
          <w:color w:val="auto"/>
        </w:rPr>
      </w:pPr>
      <w:r>
        <w:rPr>
          <w:rFonts w:ascii="Arial" w:cs="Arial" w:eastAsia="Arial" w:hAnsi="Arial"/>
          <w:sz w:val="19"/>
          <w:szCs w:val="19"/>
          <w:color w:val="auto"/>
        </w:rPr>
        <w:t>June 1, 2014</w:t>
      </w:r>
    </w:p>
    <w:p>
      <w:pPr>
        <w:spacing w:after="0" w:line="48"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Record date for June 30</w:t>
      </w:r>
    </w:p>
    <w:p>
      <w:pPr>
        <w:spacing w:after="0" w:line="36"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quarterly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End September 2014</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Quarterly cash dividend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expected to be paid</w:t>
      </w:r>
    </w:p>
    <w:p>
      <w:pPr>
        <w:spacing w:after="0" w:line="200" w:lineRule="exact"/>
        <w:rPr>
          <w:sz w:val="20"/>
          <w:szCs w:val="20"/>
          <w:color w:val="auto"/>
        </w:rPr>
      </w:pPr>
    </w:p>
    <w:p>
      <w:pPr>
        <w:sectPr>
          <w:pgSz w:w="11900" w:h="16838" w:orient="portrait"/>
          <w:cols w:equalWidth="0" w:num="2">
            <w:col w:w="4160" w:space="720"/>
            <w:col w:w="4339"/>
          </w:cols>
          <w:pgMar w:left="1240" w:top="10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219"/>
          </w:cols>
          <w:pgMar w:left="1240" w:top="106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481"/>
        </w:trPr>
        <w:tc>
          <w:tcPr>
            <w:tcW w:w="8600" w:type="dxa"/>
            <w:vAlign w:val="bottom"/>
          </w:tcPr>
          <w:p>
            <w:pPr>
              <w:ind w:left="20"/>
              <w:spacing w:after="0"/>
              <w:rPr>
                <w:sz w:val="20"/>
                <w:szCs w:val="20"/>
                <w:color w:val="auto"/>
              </w:rPr>
            </w:pPr>
            <w:r>
              <w:rPr>
                <w:rFonts w:ascii="Arial" w:cs="Arial" w:eastAsia="Arial" w:hAnsi="Arial"/>
                <w:sz w:val="40"/>
                <w:szCs w:val="40"/>
                <w:color w:val="auto"/>
              </w:rPr>
              <w:t>Company background</w:t>
            </w:r>
          </w:p>
        </w:tc>
        <w:tc>
          <w:tcPr>
            <w:tcW w:w="760" w:type="dxa"/>
            <w:vAlign w:val="bottom"/>
          </w:tcPr>
          <w:p>
            <w:pPr>
              <w:jc w:val="right"/>
              <w:spacing w:after="0"/>
              <w:rPr>
                <w:sz w:val="20"/>
                <w:szCs w:val="20"/>
                <w:color w:val="auto"/>
              </w:rPr>
            </w:pPr>
            <w:r>
              <w:rPr>
                <w:rFonts w:ascii="Arial" w:cs="Arial" w:eastAsia="Arial" w:hAnsi="Arial"/>
                <w:sz w:val="40"/>
                <w:szCs w:val="40"/>
                <w:color w:val="auto"/>
              </w:rPr>
              <w:t>3</w:t>
            </w:r>
          </w:p>
        </w:tc>
      </w:tr>
      <w:tr>
        <w:trPr>
          <w:trHeight w:val="1089"/>
        </w:trPr>
        <w:tc>
          <w:tcPr>
            <w:tcW w:w="8600" w:type="dxa"/>
            <w:vAlign w:val="bottom"/>
          </w:tcPr>
          <w:p>
            <w:pPr>
              <w:ind w:left="20"/>
              <w:spacing w:after="0"/>
              <w:rPr>
                <w:sz w:val="20"/>
                <w:szCs w:val="20"/>
                <w:color w:val="auto"/>
              </w:rPr>
            </w:pPr>
            <w:r>
              <w:rPr>
                <w:rFonts w:ascii="Arial" w:cs="Arial" w:eastAsia="Arial" w:hAnsi="Arial"/>
                <w:sz w:val="40"/>
                <w:szCs w:val="40"/>
                <w:color w:val="auto"/>
              </w:rPr>
              <w:t>REIT conversion highlights</w:t>
            </w:r>
          </w:p>
        </w:tc>
        <w:tc>
          <w:tcPr>
            <w:tcW w:w="760" w:type="dxa"/>
            <w:vAlign w:val="bottom"/>
          </w:tcPr>
          <w:p>
            <w:pPr>
              <w:jc w:val="right"/>
              <w:spacing w:after="0"/>
              <w:rPr>
                <w:sz w:val="20"/>
                <w:szCs w:val="20"/>
                <w:color w:val="auto"/>
              </w:rPr>
            </w:pPr>
            <w:r>
              <w:rPr>
                <w:rFonts w:ascii="Arial" w:cs="Arial" w:eastAsia="Arial" w:hAnsi="Arial"/>
                <w:sz w:val="40"/>
                <w:szCs w:val="40"/>
                <w:color w:val="auto"/>
              </w:rPr>
              <w:t>22</w:t>
            </w:r>
          </w:p>
        </w:tc>
      </w:tr>
      <w:tr>
        <w:trPr>
          <w:trHeight w:val="1174"/>
        </w:trPr>
        <w:tc>
          <w:tcPr>
            <w:tcW w:w="8600" w:type="dxa"/>
            <w:vAlign w:val="bottom"/>
          </w:tcPr>
          <w:p>
            <w:pPr>
              <w:ind w:left="20"/>
              <w:spacing w:after="0"/>
              <w:rPr>
                <w:sz w:val="20"/>
                <w:szCs w:val="20"/>
                <w:color w:val="auto"/>
              </w:rPr>
            </w:pPr>
            <w:r>
              <w:rPr>
                <w:rFonts w:ascii="Arial" w:cs="Arial" w:eastAsia="Arial" w:hAnsi="Arial"/>
                <w:sz w:val="40"/>
                <w:szCs w:val="40"/>
                <w:b w:val="1"/>
                <w:bCs w:val="1"/>
                <w:color w:val="FFFFFF"/>
              </w:rPr>
              <w:t>Value creation and opportunities for growth</w:t>
            </w:r>
          </w:p>
        </w:tc>
        <w:tc>
          <w:tcPr>
            <w:tcW w:w="760" w:type="dxa"/>
            <w:vAlign w:val="bottom"/>
          </w:tcPr>
          <w:p>
            <w:pPr>
              <w:jc w:val="right"/>
              <w:spacing w:after="0"/>
              <w:rPr>
                <w:sz w:val="20"/>
                <w:szCs w:val="20"/>
                <w:color w:val="auto"/>
              </w:rPr>
            </w:pPr>
            <w:r>
              <w:rPr>
                <w:rFonts w:ascii="Arial" w:cs="Arial" w:eastAsia="Arial" w:hAnsi="Arial"/>
                <w:sz w:val="40"/>
                <w:szCs w:val="40"/>
                <w:b w:val="1"/>
                <w:bCs w:val="1"/>
                <w:color w:val="FFFFFF"/>
              </w:rPr>
              <w:t>26</w:t>
            </w:r>
          </w:p>
        </w:tc>
      </w:tr>
      <w:tr>
        <w:trPr>
          <w:trHeight w:val="1174"/>
        </w:trPr>
        <w:tc>
          <w:tcPr>
            <w:tcW w:w="8600" w:type="dxa"/>
            <w:vAlign w:val="bottom"/>
          </w:tcPr>
          <w:p>
            <w:pPr>
              <w:spacing w:after="0"/>
              <w:rPr>
                <w:sz w:val="20"/>
                <w:szCs w:val="20"/>
                <w:color w:val="auto"/>
              </w:rPr>
            </w:pPr>
            <w:r>
              <w:rPr>
                <w:rFonts w:ascii="Arial" w:cs="Arial" w:eastAsia="Arial" w:hAnsi="Arial"/>
                <w:sz w:val="40"/>
                <w:szCs w:val="40"/>
                <w:color w:val="auto"/>
              </w:rPr>
              <w:t>Appendix</w:t>
            </w:r>
          </w:p>
        </w:tc>
        <w:tc>
          <w:tcPr>
            <w:tcW w:w="760" w:type="dxa"/>
            <w:vAlign w:val="bottom"/>
          </w:tcPr>
          <w:p>
            <w:pPr>
              <w:jc w:val="right"/>
              <w:spacing w:after="0"/>
              <w:rPr>
                <w:sz w:val="20"/>
                <w:szCs w:val="20"/>
                <w:color w:val="auto"/>
              </w:rPr>
            </w:pPr>
            <w:r>
              <w:rPr>
                <w:rFonts w:ascii="Arial" w:cs="Arial" w:eastAsia="Arial" w:hAnsi="Arial"/>
                <w:sz w:val="40"/>
                <w:szCs w:val="40"/>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440"/>
          </w:cols>
          <w:pgMar w:left="1240" w:top="1061" w:right="1219" w:bottom="1440" w:gutter="0" w:footer="0" w:header="0"/>
        </w:sectPr>
      </w:pPr>
    </w:p>
    <w:bookmarkStart w:id="27" w:name="page28"/>
    <w:bookmarkEnd w:id="27"/>
    <w:p>
      <w:pPr>
        <w:ind w:right="1919"/>
        <w:spacing w:after="0" w:line="253" w:lineRule="auto"/>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Significant opportunities for earnings growth and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30"/>
          <w:szCs w:val="30"/>
          <w:color w:val="auto"/>
        </w:rPr>
        <w:t>Organic growth potential without the need to raise new capital</w:t>
      </w:r>
    </w:p>
    <w:p>
      <w:pPr>
        <w:spacing w:after="0" w:line="308" w:lineRule="exact"/>
        <w:rPr>
          <w:sz w:val="20"/>
          <w:szCs w:val="20"/>
          <w:color w:val="auto"/>
        </w:rPr>
      </w:pPr>
    </w:p>
    <w:p>
      <w:pPr>
        <w:ind w:left="760" w:right="459" w:hanging="339"/>
        <w:spacing w:after="0" w:line="299" w:lineRule="auto"/>
        <w:rPr>
          <w:sz w:val="20"/>
          <w:szCs w:val="20"/>
          <w:color w:val="auto"/>
        </w:rPr>
      </w:pPr>
      <w:r>
        <w:rPr>
          <w:rFonts w:ascii="Arial" w:cs="Arial" w:eastAsia="Arial" w:hAnsi="Arial"/>
          <w:sz w:val="30"/>
          <w:szCs w:val="30"/>
          <w:color w:val="auto"/>
        </w:rPr>
        <w:t>– Continued investment in ROI efficient digital displays in new and existing markets to drive revenue growth</w:t>
      </w:r>
    </w:p>
    <w:p>
      <w:pPr>
        <w:spacing w:after="0" w:line="205" w:lineRule="exact"/>
        <w:rPr>
          <w:sz w:val="20"/>
          <w:szCs w:val="20"/>
          <w:color w:val="auto"/>
        </w:rPr>
      </w:pPr>
    </w:p>
    <w:p>
      <w:pPr>
        <w:ind w:left="760" w:right="579" w:hanging="339"/>
        <w:spacing w:after="0" w:line="290" w:lineRule="auto"/>
        <w:rPr>
          <w:sz w:val="20"/>
          <w:szCs w:val="20"/>
          <w:color w:val="auto"/>
        </w:rPr>
      </w:pPr>
      <w:r>
        <w:rPr>
          <w:rFonts w:ascii="Arial" w:cs="Arial" w:eastAsia="Arial" w:hAnsi="Arial"/>
          <w:sz w:val="30"/>
          <w:szCs w:val="30"/>
          <w:color w:val="auto"/>
        </w:rPr>
        <w:t>– Rate and occupancy increases driven by focused local and national sales force and acceleration in GDP growth</w:t>
      </w:r>
    </w:p>
    <w:p>
      <w:pPr>
        <w:spacing w:after="0" w:line="231" w:lineRule="exact"/>
        <w:rPr>
          <w:sz w:val="20"/>
          <w:szCs w:val="20"/>
          <w:color w:val="auto"/>
        </w:rPr>
      </w:pPr>
    </w:p>
    <w:p>
      <w:pPr>
        <w:ind w:left="400" w:right="239"/>
        <w:spacing w:after="0" w:line="467" w:lineRule="auto"/>
        <w:rPr>
          <w:sz w:val="20"/>
          <w:szCs w:val="20"/>
          <w:color w:val="auto"/>
        </w:rPr>
      </w:pPr>
      <w:r>
        <w:rPr>
          <w:rFonts w:ascii="Arial" w:cs="Arial" w:eastAsia="Arial" w:hAnsi="Arial"/>
          <w:sz w:val="30"/>
          <w:szCs w:val="30"/>
          <w:color w:val="auto"/>
        </w:rPr>
        <w:t>Ability to use free cash flow to reduce debt and interest expense Additional growth opportunities through select M&amp;A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219"/>
          </w:cols>
          <w:pgMar w:left="1240" w:top="671"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Lamar’s capital allocation policy</w:t>
      </w: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FFFFFF"/>
        </w:rPr>
        <w:t>Maintain ample liquidity and solid balance sheet</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FFFFFF"/>
        </w:rPr>
        <w:t>Target ~3.5x Leverage</w:t>
      </w:r>
    </w:p>
    <w:p>
      <w:pPr>
        <w:spacing w:after="0" w:line="160" w:lineRule="exact"/>
        <w:rPr>
          <w:sz w:val="20"/>
          <w:szCs w:val="20"/>
          <w:color w:val="auto"/>
        </w:rPr>
      </w:pPr>
    </w:p>
    <w:p>
      <w:pPr>
        <w:jc w:val="right"/>
        <w:ind w:right="80"/>
        <w:spacing w:after="0"/>
        <w:tabs>
          <w:tab w:leader="none" w:pos="3920" w:val="left"/>
        </w:tabs>
        <w:rPr>
          <w:sz w:val="20"/>
          <w:szCs w:val="20"/>
          <w:color w:val="auto"/>
        </w:rPr>
      </w:pPr>
      <w:r>
        <w:rPr>
          <w:rFonts w:ascii="Arial" w:cs="Arial" w:eastAsia="Arial" w:hAnsi="Arial"/>
          <w:sz w:val="25"/>
          <w:szCs w:val="25"/>
          <w:b w:val="1"/>
          <w:bCs w:val="1"/>
          <w:color w:val="auto"/>
        </w:rPr>
        <w:t>AFFO for dividend</w:t>
      </w:r>
      <w:r>
        <w:rPr>
          <w:sz w:val="20"/>
          <w:szCs w:val="20"/>
          <w:color w:val="auto"/>
        </w:rPr>
        <w:tab/>
      </w:r>
      <w:r>
        <w:rPr>
          <w:rFonts w:ascii="Arial" w:cs="Arial" w:eastAsia="Arial" w:hAnsi="Arial"/>
          <w:sz w:val="25"/>
          <w:szCs w:val="25"/>
          <w:b w:val="1"/>
          <w:bCs w:val="1"/>
          <w:color w:val="auto"/>
        </w:rPr>
        <w:t>AFFO available for future growth</w:t>
      </w:r>
    </w:p>
    <w:p>
      <w:pPr>
        <w:sectPr>
          <w:pgSz w:w="11900" w:h="16838" w:orient="portrait"/>
          <w:cols w:equalWidth="0" w:num="1">
            <w:col w:w="9240"/>
          </w:cols>
          <w:pgMar w:left="1220" w:top="1061" w:right="1439" w:bottom="1440" w:gutter="0" w:footer="0" w:header="0"/>
        </w:sect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Expected 2014 dividends of $2.50 per share¹</w:t>
      </w:r>
    </w:p>
    <w:p>
      <w:pPr>
        <w:spacing w:after="0" w:line="119" w:lineRule="exact"/>
        <w:rPr>
          <w:sz w:val="20"/>
          <w:szCs w:val="20"/>
          <w:color w:val="auto"/>
        </w:rPr>
      </w:pPr>
    </w:p>
    <w:p>
      <w:pPr>
        <w:ind w:left="520" w:right="500" w:hanging="230"/>
        <w:spacing w:after="0" w:line="289" w:lineRule="auto"/>
        <w:rPr>
          <w:sz w:val="20"/>
          <w:szCs w:val="20"/>
          <w:color w:val="auto"/>
        </w:rPr>
      </w:pPr>
      <w:r>
        <w:rPr>
          <w:rFonts w:ascii="Arial" w:cs="Arial" w:eastAsia="Arial" w:hAnsi="Arial"/>
          <w:sz w:val="16"/>
          <w:szCs w:val="16"/>
          <w:color w:val="auto"/>
        </w:rPr>
        <w:t>– $0.83 dividend declared, payable June 30, 2014 to shareholders of record on June 1, 2014</w:t>
      </w:r>
    </w:p>
    <w:p>
      <w:pPr>
        <w:spacing w:after="0" w:line="65" w:lineRule="exact"/>
        <w:rPr>
          <w:sz w:val="20"/>
          <w:szCs w:val="20"/>
          <w:color w:val="auto"/>
        </w:rPr>
      </w:pPr>
    </w:p>
    <w:p>
      <w:pPr>
        <w:ind w:left="520" w:hanging="230"/>
        <w:spacing w:after="0" w:line="289" w:lineRule="auto"/>
        <w:rPr>
          <w:sz w:val="20"/>
          <w:szCs w:val="20"/>
          <w:color w:val="auto"/>
        </w:rPr>
      </w:pPr>
      <w:r>
        <w:rPr>
          <w:rFonts w:ascii="Arial" w:cs="Arial" w:eastAsia="Arial" w:hAnsi="Arial"/>
          <w:sz w:val="16"/>
          <w:szCs w:val="16"/>
          <w:color w:val="auto"/>
        </w:rPr>
        <w:t>– Additional distributions expected at end of September and end of December 2014</w:t>
      </w:r>
    </w:p>
    <w:p>
      <w:pPr>
        <w:spacing w:after="0" w:line="77" w:lineRule="exact"/>
        <w:rPr>
          <w:sz w:val="20"/>
          <w:szCs w:val="20"/>
          <w:color w:val="auto"/>
        </w:rPr>
      </w:pPr>
    </w:p>
    <w:p>
      <w:pPr>
        <w:ind w:left="280" w:right="120" w:firstLine="12"/>
        <w:spacing w:after="0" w:line="384" w:lineRule="auto"/>
        <w:rPr>
          <w:sz w:val="20"/>
          <w:szCs w:val="20"/>
          <w:color w:val="auto"/>
        </w:rPr>
      </w:pPr>
      <w:r>
        <w:rPr>
          <w:rFonts w:ascii="Arial" w:cs="Arial" w:eastAsia="Arial" w:hAnsi="Arial"/>
          <w:sz w:val="16"/>
          <w:szCs w:val="16"/>
          <w:color w:val="auto"/>
        </w:rPr>
        <w:t>– Reflects annualized 2014 dividend of $0.625 per quarter Expect to pay dividends at the end of each quarter in 2015</w:t>
      </w:r>
    </w:p>
    <w:p>
      <w:pPr>
        <w:spacing w:after="0" w:line="4" w:lineRule="exact"/>
        <w:rPr>
          <w:sz w:val="20"/>
          <w:szCs w:val="20"/>
          <w:color w:val="auto"/>
        </w:rPr>
      </w:pPr>
    </w:p>
    <w:p>
      <w:pPr>
        <w:ind w:left="280" w:right="520"/>
        <w:spacing w:after="0" w:line="289" w:lineRule="auto"/>
        <w:rPr>
          <w:sz w:val="20"/>
          <w:szCs w:val="20"/>
          <w:color w:val="auto"/>
        </w:rPr>
      </w:pPr>
      <w:r>
        <w:rPr>
          <w:rFonts w:ascii="Arial" w:cs="Arial" w:eastAsia="Arial" w:hAnsi="Arial"/>
          <w:sz w:val="16"/>
          <w:szCs w:val="16"/>
          <w:color w:val="auto"/>
        </w:rPr>
        <w:t>Distribute 100% of net taxable income once NOLs are exhausted</w:t>
      </w:r>
    </w:p>
    <w:p>
      <w:pPr>
        <w:spacing w:after="0" w:line="65" w:lineRule="exact"/>
        <w:rPr>
          <w:sz w:val="20"/>
          <w:szCs w:val="20"/>
          <w:color w:val="auto"/>
        </w:rPr>
      </w:pPr>
    </w:p>
    <w:p>
      <w:pPr>
        <w:ind w:left="280" w:right="120" w:firstLine="12"/>
        <w:spacing w:after="0" w:line="397" w:lineRule="auto"/>
        <w:rPr>
          <w:sz w:val="20"/>
          <w:szCs w:val="20"/>
          <w:color w:val="auto"/>
        </w:rPr>
      </w:pPr>
      <w:r>
        <w:rPr>
          <w:rFonts w:ascii="Arial" w:cs="Arial" w:eastAsia="Arial" w:hAnsi="Arial"/>
          <w:sz w:val="16"/>
          <w:szCs w:val="16"/>
          <w:color w:val="auto"/>
        </w:rPr>
        <w:t>– Paid out of internally generated cash flow Revisit payout ratio annually or sooner if required Increase dividend with future growth and utilization of NOLs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Invest in display acquisitions and development to grow earnings</w:t>
      </w:r>
    </w:p>
    <w:p>
      <w:pPr>
        <w:spacing w:after="0" w:line="7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Opportunistic M&amp;A</w:t>
      </w:r>
    </w:p>
    <w:p>
      <w:pPr>
        <w:spacing w:after="0" w:line="10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Unused amounts available for increased dividends and / or debt reduction</w:t>
      </w:r>
    </w:p>
    <w:p>
      <w:pPr>
        <w:spacing w:after="0" w:line="2291" w:lineRule="exact"/>
        <w:rPr>
          <w:sz w:val="20"/>
          <w:szCs w:val="20"/>
          <w:color w:val="auto"/>
        </w:rPr>
      </w:pPr>
    </w:p>
    <w:p>
      <w:pPr>
        <w:sectPr>
          <w:pgSz w:w="11900" w:h="16838" w:orient="portrait"/>
          <w:cols w:equalWidth="0" w:num="2">
            <w:col w:w="4540" w:space="620"/>
            <w:col w:w="4080"/>
          </w:cols>
          <w:pgMar w:left="1220" w:top="1061" w:right="14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5"/>
          <w:szCs w:val="25"/>
          <w:b w:val="1"/>
          <w:bCs w:val="1"/>
          <w:color w:val="FFFFFF"/>
        </w:rPr>
        <w:t>2014 AFFO Guidance : $4.03 to $4.13 per diluted share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¹ Subject to declaration by Board of Directors</w:t>
      </w: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240"/>
          </w:cols>
          <w:pgMar w:left="1220" w:top="1061" w:right="14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80" w:type="dxa"/>
        <w:tblCellMar>
          <w:top w:w="0" w:type="dxa"/>
          <w:left w:w="0" w:type="dxa"/>
          <w:bottom w:w="0" w:type="dxa"/>
          <w:right w:w="0" w:type="dxa"/>
        </w:tblCellMar>
      </w:tblPr>
      <w:tr>
        <w:trPr>
          <w:trHeight w:val="481"/>
        </w:trPr>
        <w:tc>
          <w:tcPr>
            <w:tcW w:w="8260" w:type="dxa"/>
            <w:vAlign w:val="bottom"/>
          </w:tcPr>
          <w:p>
            <w:pPr>
              <w:ind w:left="20"/>
              <w:spacing w:after="0"/>
              <w:rPr>
                <w:sz w:val="20"/>
                <w:szCs w:val="20"/>
                <w:color w:val="auto"/>
              </w:rPr>
            </w:pPr>
            <w:r>
              <w:rPr>
                <w:rFonts w:ascii="Arial" w:cs="Arial" w:eastAsia="Arial" w:hAnsi="Arial"/>
                <w:sz w:val="40"/>
                <w:szCs w:val="40"/>
                <w:color w:val="auto"/>
              </w:rPr>
              <w:t>Company background</w:t>
            </w:r>
          </w:p>
        </w:tc>
        <w:tc>
          <w:tcPr>
            <w:tcW w:w="1100" w:type="dxa"/>
            <w:vAlign w:val="bottom"/>
          </w:tcPr>
          <w:p>
            <w:pPr>
              <w:jc w:val="right"/>
              <w:spacing w:after="0"/>
              <w:rPr>
                <w:sz w:val="20"/>
                <w:szCs w:val="20"/>
                <w:color w:val="auto"/>
              </w:rPr>
            </w:pPr>
            <w:r>
              <w:rPr>
                <w:rFonts w:ascii="Arial" w:cs="Arial" w:eastAsia="Arial" w:hAnsi="Arial"/>
                <w:sz w:val="40"/>
                <w:szCs w:val="40"/>
                <w:color w:val="auto"/>
              </w:rPr>
              <w:t>3</w:t>
            </w:r>
          </w:p>
        </w:tc>
      </w:tr>
      <w:tr>
        <w:trPr>
          <w:trHeight w:val="1149"/>
        </w:trPr>
        <w:tc>
          <w:tcPr>
            <w:tcW w:w="8260" w:type="dxa"/>
            <w:vAlign w:val="bottom"/>
          </w:tcPr>
          <w:p>
            <w:pPr>
              <w:ind w:left="20"/>
              <w:spacing w:after="0"/>
              <w:rPr>
                <w:sz w:val="20"/>
                <w:szCs w:val="20"/>
                <w:color w:val="auto"/>
              </w:rPr>
            </w:pPr>
            <w:r>
              <w:rPr>
                <w:rFonts w:ascii="Arial" w:cs="Arial" w:eastAsia="Arial" w:hAnsi="Arial"/>
                <w:sz w:val="40"/>
                <w:szCs w:val="40"/>
                <w:color w:val="auto"/>
              </w:rPr>
              <w:t>REIT conversion highlights</w:t>
            </w:r>
          </w:p>
        </w:tc>
        <w:tc>
          <w:tcPr>
            <w:tcW w:w="1100" w:type="dxa"/>
            <w:vAlign w:val="bottom"/>
          </w:tcPr>
          <w:p>
            <w:pPr>
              <w:jc w:val="right"/>
              <w:spacing w:after="0"/>
              <w:rPr>
                <w:sz w:val="20"/>
                <w:szCs w:val="20"/>
                <w:color w:val="auto"/>
              </w:rPr>
            </w:pPr>
            <w:r>
              <w:rPr>
                <w:rFonts w:ascii="Arial" w:cs="Arial" w:eastAsia="Arial" w:hAnsi="Arial"/>
                <w:sz w:val="40"/>
                <w:szCs w:val="40"/>
                <w:color w:val="auto"/>
              </w:rPr>
              <w:t>22</w:t>
            </w:r>
          </w:p>
        </w:tc>
      </w:tr>
      <w:tr>
        <w:trPr>
          <w:trHeight w:val="1137"/>
        </w:trPr>
        <w:tc>
          <w:tcPr>
            <w:tcW w:w="8260" w:type="dxa"/>
            <w:vAlign w:val="bottom"/>
          </w:tcPr>
          <w:p>
            <w:pPr>
              <w:ind w:left="20"/>
              <w:spacing w:after="0"/>
              <w:rPr>
                <w:sz w:val="20"/>
                <w:szCs w:val="20"/>
                <w:color w:val="auto"/>
              </w:rPr>
            </w:pPr>
            <w:r>
              <w:rPr>
                <w:rFonts w:ascii="Arial" w:cs="Arial" w:eastAsia="Arial" w:hAnsi="Arial"/>
                <w:sz w:val="40"/>
                <w:szCs w:val="40"/>
                <w:color w:val="auto"/>
              </w:rPr>
              <w:t>Value creation and opportunities for growth</w:t>
            </w:r>
          </w:p>
        </w:tc>
        <w:tc>
          <w:tcPr>
            <w:tcW w:w="1100" w:type="dxa"/>
            <w:vAlign w:val="bottom"/>
          </w:tcPr>
          <w:p>
            <w:pPr>
              <w:jc w:val="right"/>
              <w:spacing w:after="0"/>
              <w:rPr>
                <w:sz w:val="20"/>
                <w:szCs w:val="20"/>
                <w:color w:val="auto"/>
              </w:rPr>
            </w:pPr>
            <w:r>
              <w:rPr>
                <w:rFonts w:ascii="Arial" w:cs="Arial" w:eastAsia="Arial" w:hAnsi="Arial"/>
                <w:sz w:val="40"/>
                <w:szCs w:val="40"/>
                <w:color w:val="auto"/>
              </w:rPr>
              <w:t>26</w:t>
            </w:r>
          </w:p>
        </w:tc>
      </w:tr>
      <w:tr>
        <w:trPr>
          <w:trHeight w:val="1149"/>
        </w:trPr>
        <w:tc>
          <w:tcPr>
            <w:tcW w:w="8260" w:type="dxa"/>
            <w:vAlign w:val="bottom"/>
          </w:tcPr>
          <w:p>
            <w:pPr>
              <w:spacing w:after="0"/>
              <w:rPr>
                <w:sz w:val="20"/>
                <w:szCs w:val="20"/>
                <w:color w:val="auto"/>
              </w:rPr>
            </w:pPr>
            <w:r>
              <w:rPr>
                <w:rFonts w:ascii="Arial" w:cs="Arial" w:eastAsia="Arial" w:hAnsi="Arial"/>
                <w:sz w:val="40"/>
                <w:szCs w:val="40"/>
                <w:b w:val="1"/>
                <w:bCs w:val="1"/>
                <w:color w:val="FFFFFF"/>
              </w:rPr>
              <w:t>Appendix</w:t>
            </w:r>
          </w:p>
        </w:tc>
        <w:tc>
          <w:tcPr>
            <w:tcW w:w="1100" w:type="dxa"/>
            <w:vAlign w:val="bottom"/>
          </w:tcPr>
          <w:p>
            <w:pPr>
              <w:jc w:val="right"/>
              <w:spacing w:after="0"/>
              <w:rPr>
                <w:sz w:val="20"/>
                <w:szCs w:val="20"/>
                <w:color w:val="auto"/>
              </w:rPr>
            </w:pPr>
            <w:r>
              <w:rPr>
                <w:rFonts w:ascii="Arial" w:cs="Arial" w:eastAsia="Arial" w:hAnsi="Arial"/>
                <w:sz w:val="40"/>
                <w:szCs w:val="40"/>
                <w:b w:val="1"/>
                <w:bCs w:val="1"/>
                <w:color w:val="FFFFFF"/>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440"/>
          </w:cols>
          <w:pgMar w:left="1240" w:top="1061" w:right="1219" w:bottom="1440" w:gutter="0" w:footer="0" w:header="0"/>
        </w:sectPr>
      </w:pPr>
    </w:p>
    <w:bookmarkStart w:id="30" w:name="page31"/>
    <w:bookmarkEnd w:id="30"/>
    <w:p>
      <w:pPr>
        <w:ind w:left="23"/>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1865" cy="35560"/>
                    </a:xfrm>
                    <a:prstGeom prst="rect">
                      <a:avLst/>
                    </a:prstGeom>
                    <a:noFill/>
                  </pic:spPr>
                </pic:pic>
              </a:graphicData>
            </a:graphic>
          </wp:anchor>
        </w:drawing>
        <w:t>Summary historical financials</w:t>
      </w:r>
    </w:p>
    <w:p>
      <w:pPr>
        <w:spacing w:after="0" w:line="392" w:lineRule="exact"/>
        <w:rPr>
          <w:sz w:val="20"/>
          <w:szCs w:val="20"/>
          <w:color w:val="auto"/>
        </w:rPr>
      </w:pPr>
    </w:p>
    <w:p>
      <w:pPr>
        <w:ind w:left="63"/>
        <w:spacing w:after="0"/>
        <w:rPr>
          <w:sz w:val="20"/>
          <w:szCs w:val="20"/>
          <w:color w:val="auto"/>
        </w:rPr>
      </w:pPr>
      <w:r>
        <w:rPr>
          <w:rFonts w:ascii="Arial" w:cs="Arial" w:eastAsia="Arial" w:hAnsi="Arial"/>
          <w:sz w:val="22"/>
          <w:szCs w:val="22"/>
          <w:b w:val="1"/>
          <w:bCs w:val="1"/>
          <w:color w:val="FFFFFF"/>
        </w:rPr>
        <w:t>Adjusted EBITDA reconciliation (Lamar AdvertisingCo.) ($mm)</w:t>
      </w:r>
    </w:p>
    <w:p>
      <w:pPr>
        <w:sectPr>
          <w:pgSz w:w="11900" w:h="16838" w:orient="portrait"/>
          <w:cols w:equalWidth="0" w:num="1">
            <w:col w:w="9523"/>
          </w:cols>
          <w:pgMar w:left="1217" w:top="1061"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3"/>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6"/>
          <w:szCs w:val="26"/>
          <w:color w:val="auto"/>
          <w:vertAlign w:val="superscript"/>
        </w:rPr>
        <w:t>1</w:t>
      </w:r>
    </w:p>
    <w:p>
      <w:pPr>
        <w:spacing w:after="0" w:line="260" w:lineRule="exact"/>
        <w:rPr>
          <w:sz w:val="20"/>
          <w:szCs w:val="20"/>
          <w:color w:val="auto"/>
        </w:rPr>
      </w:pPr>
    </w:p>
    <w:p>
      <w:pPr>
        <w:ind w:left="63"/>
        <w:spacing w:after="0"/>
        <w:rPr>
          <w:sz w:val="20"/>
          <w:szCs w:val="20"/>
          <w:color w:val="auto"/>
        </w:rPr>
      </w:pPr>
      <w:r>
        <w:rPr>
          <w:rFonts w:ascii="Arial" w:cs="Arial" w:eastAsia="Arial" w:hAnsi="Arial"/>
          <w:sz w:val="15"/>
          <w:szCs w:val="15"/>
          <w:color w:val="auto"/>
        </w:rPr>
        <w:t>Non-cash compensation</w:t>
      </w:r>
    </w:p>
    <w:p>
      <w:pPr>
        <w:spacing w:after="0" w:line="191" w:lineRule="exact"/>
        <w:rPr>
          <w:sz w:val="20"/>
          <w:szCs w:val="20"/>
          <w:color w:val="auto"/>
        </w:rPr>
      </w:pPr>
    </w:p>
    <w:p>
      <w:pPr>
        <w:ind w:left="63" w:right="520"/>
        <w:spacing w:after="0" w:line="291" w:lineRule="auto"/>
        <w:rPr>
          <w:sz w:val="20"/>
          <w:szCs w:val="20"/>
          <w:color w:val="auto"/>
        </w:rPr>
      </w:pPr>
      <w:r>
        <w:rPr>
          <w:rFonts w:ascii="Arial" w:cs="Arial" w:eastAsia="Arial" w:hAnsi="Arial"/>
          <w:sz w:val="15"/>
          <w:szCs w:val="15"/>
          <w:color w:val="auto"/>
        </w:rPr>
        <w:t>Depreciation and amortization</w:t>
      </w:r>
    </w:p>
    <w:p>
      <w:pPr>
        <w:spacing w:after="0" w:line="42" w:lineRule="exact"/>
        <w:rPr>
          <w:sz w:val="20"/>
          <w:szCs w:val="20"/>
          <w:color w:val="auto"/>
        </w:rPr>
      </w:pPr>
    </w:p>
    <w:p>
      <w:pPr>
        <w:ind w:left="63" w:right="180"/>
        <w:spacing w:after="0" w:line="291" w:lineRule="auto"/>
        <w:rPr>
          <w:sz w:val="20"/>
          <w:szCs w:val="20"/>
          <w:color w:val="auto"/>
        </w:rPr>
      </w:pPr>
      <w:r>
        <w:rPr>
          <w:rFonts w:ascii="Arial" w:cs="Arial" w:eastAsia="Arial" w:hAnsi="Arial"/>
          <w:sz w:val="15"/>
          <w:szCs w:val="15"/>
          <w:color w:val="auto"/>
        </w:rPr>
        <w:t>Gain on disposition of assets/investments</w:t>
      </w:r>
    </w:p>
    <w:p>
      <w:pPr>
        <w:spacing w:after="0" w:line="138" w:lineRule="exact"/>
        <w:rPr>
          <w:sz w:val="20"/>
          <w:szCs w:val="20"/>
          <w:color w:val="auto"/>
        </w:rPr>
      </w:pPr>
    </w:p>
    <w:p>
      <w:pPr>
        <w:ind w:left="63"/>
        <w:spacing w:after="0"/>
        <w:rPr>
          <w:sz w:val="20"/>
          <w:szCs w:val="20"/>
          <w:color w:val="auto"/>
        </w:rPr>
      </w:pPr>
      <w:r>
        <w:rPr>
          <w:rFonts w:ascii="Arial" w:cs="Arial" w:eastAsia="Arial" w:hAnsi="Arial"/>
          <w:sz w:val="16"/>
          <w:szCs w:val="16"/>
          <w:color w:val="auto"/>
        </w:rPr>
        <w:t>Interest expense, net</w:t>
      </w:r>
    </w:p>
    <w:p>
      <w:pPr>
        <w:spacing w:after="0" w:line="179" w:lineRule="exact"/>
        <w:rPr>
          <w:sz w:val="20"/>
          <w:szCs w:val="20"/>
          <w:color w:val="auto"/>
        </w:rPr>
      </w:pPr>
    </w:p>
    <w:p>
      <w:pPr>
        <w:ind w:left="63" w:right="380"/>
        <w:spacing w:after="0" w:line="291" w:lineRule="auto"/>
        <w:rPr>
          <w:sz w:val="20"/>
          <w:szCs w:val="20"/>
          <w:color w:val="auto"/>
        </w:rPr>
      </w:pPr>
      <w:r>
        <w:rPr>
          <w:rFonts w:ascii="Arial" w:cs="Arial" w:eastAsia="Arial" w:hAnsi="Arial"/>
          <w:sz w:val="15"/>
          <w:szCs w:val="15"/>
          <w:color w:val="auto"/>
        </w:rPr>
        <w:t>(Gain) loss on debt extinguishment</w:t>
      </w:r>
    </w:p>
    <w:p>
      <w:pPr>
        <w:spacing w:after="0" w:line="54" w:lineRule="exact"/>
        <w:rPr>
          <w:sz w:val="20"/>
          <w:szCs w:val="20"/>
          <w:color w:val="auto"/>
        </w:rPr>
      </w:pPr>
    </w:p>
    <w:p>
      <w:pPr>
        <w:ind w:left="63"/>
        <w:spacing w:after="0" w:line="255" w:lineRule="auto"/>
        <w:rPr>
          <w:sz w:val="20"/>
          <w:szCs w:val="20"/>
          <w:color w:val="auto"/>
        </w:rPr>
      </w:pPr>
      <w:r>
        <w:rPr>
          <w:rFonts w:ascii="Arial" w:cs="Arial" w:eastAsia="Arial" w:hAnsi="Arial"/>
          <w:sz w:val="16"/>
          <w:szCs w:val="16"/>
          <w:color w:val="auto"/>
        </w:rPr>
        <w:t>Loss from other-than-temporary impairment of investment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gridSpan w:val="2"/>
          </w:tcPr>
          <w:p>
            <w:pPr>
              <w:jc w:val="center"/>
              <w:ind w:right="61"/>
              <w:spacing w:after="0"/>
              <w:rPr>
                <w:sz w:val="20"/>
                <w:szCs w:val="20"/>
                <w:color w:val="auto"/>
              </w:rPr>
            </w:pPr>
            <w:r>
              <w:rPr>
                <w:rFonts w:ascii="Arial" w:cs="Arial" w:eastAsia="Arial" w:hAnsi="Arial"/>
                <w:sz w:val="16"/>
                <w:szCs w:val="16"/>
                <w:color w:val="auto"/>
                <w:w w:val="98"/>
              </w:rPr>
              <w:t>For the three</w:t>
            </w:r>
          </w:p>
        </w:tc>
        <w:tc>
          <w:tcPr>
            <w:tcW w:w="680" w:type="dxa"/>
            <w:vAlign w:val="bottom"/>
          </w:tcPr>
          <w:p>
            <w:pPr>
              <w:spacing w:after="0"/>
              <w:rPr>
                <w:sz w:val="16"/>
                <w:szCs w:val="16"/>
                <w:color w:val="auto"/>
              </w:rPr>
            </w:pPr>
          </w:p>
        </w:tc>
      </w:tr>
      <w:tr>
        <w:trPr>
          <w:trHeight w:val="194"/>
        </w:trPr>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gridSpan w:val="2"/>
          </w:tcPr>
          <w:p>
            <w:pPr>
              <w:jc w:val="center"/>
              <w:ind w:right="81"/>
              <w:spacing w:after="0"/>
              <w:rPr>
                <w:sz w:val="20"/>
                <w:szCs w:val="20"/>
                <w:color w:val="auto"/>
              </w:rPr>
            </w:pPr>
            <w:r>
              <w:rPr>
                <w:rFonts w:ascii="Arial" w:cs="Arial" w:eastAsia="Arial" w:hAnsi="Arial"/>
                <w:sz w:val="16"/>
                <w:szCs w:val="16"/>
                <w:color w:val="auto"/>
                <w:w w:val="98"/>
              </w:rPr>
              <w:t>months ended</w:t>
            </w:r>
          </w:p>
        </w:tc>
        <w:tc>
          <w:tcPr>
            <w:tcW w:w="680" w:type="dxa"/>
            <w:vAlign w:val="bottom"/>
          </w:tcPr>
          <w:p>
            <w:pPr>
              <w:spacing w:after="0"/>
              <w:rPr>
                <w:sz w:val="16"/>
                <w:szCs w:val="16"/>
                <w:color w:val="auto"/>
              </w:rPr>
            </w:pPr>
          </w:p>
        </w:tc>
      </w:tr>
      <w:tr>
        <w:trPr>
          <w:trHeight w:val="230"/>
        </w:trPr>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gridSpan w:val="2"/>
          </w:tcPr>
          <w:p>
            <w:pPr>
              <w:jc w:val="center"/>
              <w:ind w:right="61"/>
              <w:spacing w:after="0"/>
              <w:rPr>
                <w:sz w:val="20"/>
                <w:szCs w:val="20"/>
                <w:color w:val="auto"/>
              </w:rPr>
            </w:pPr>
            <w:r>
              <w:rPr>
                <w:rFonts w:ascii="Arial" w:cs="Arial" w:eastAsia="Arial" w:hAnsi="Arial"/>
                <w:sz w:val="16"/>
                <w:szCs w:val="16"/>
                <w:color w:val="auto"/>
                <w:w w:val="98"/>
              </w:rPr>
              <w:t>March 31,</w:t>
            </w:r>
          </w:p>
        </w:tc>
        <w:tc>
          <w:tcPr>
            <w:tcW w:w="680" w:type="dxa"/>
            <w:vAlign w:val="bottom"/>
          </w:tcPr>
          <w:p>
            <w:pPr>
              <w:jc w:val="right"/>
              <w:spacing w:after="0"/>
              <w:rPr>
                <w:sz w:val="20"/>
                <w:szCs w:val="20"/>
                <w:color w:val="auto"/>
              </w:rPr>
            </w:pPr>
            <w:r>
              <w:rPr>
                <w:rFonts w:ascii="Arial" w:cs="Arial" w:eastAsia="Arial" w:hAnsi="Arial"/>
                <w:sz w:val="16"/>
                <w:szCs w:val="16"/>
                <w:color w:val="auto"/>
              </w:rPr>
              <w:t>LTM</w:t>
            </w:r>
          </w:p>
        </w:tc>
      </w:tr>
      <w:tr>
        <w:trPr>
          <w:trHeight w:val="230"/>
        </w:trPr>
        <w:tc>
          <w:tcPr>
            <w:tcW w:w="680" w:type="dxa"/>
            <w:vAlign w:val="bottom"/>
          </w:tcPr>
          <w:p>
            <w:pPr>
              <w:jc w:val="right"/>
              <w:ind w:right="1"/>
              <w:spacing w:after="0"/>
              <w:rPr>
                <w:sz w:val="20"/>
                <w:szCs w:val="20"/>
                <w:color w:val="auto"/>
              </w:rPr>
            </w:pPr>
            <w:r>
              <w:rPr>
                <w:rFonts w:ascii="Arial" w:cs="Arial" w:eastAsia="Arial" w:hAnsi="Arial"/>
                <w:sz w:val="16"/>
                <w:szCs w:val="16"/>
                <w:color w:val="auto"/>
                <w:w w:val="95"/>
              </w:rPr>
              <w:t>FY 2007</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FY 2008</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FY 2009</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FY 2010</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FY 2011</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FY 2012</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FY 2013</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2013</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2014</w:t>
            </w:r>
          </w:p>
        </w:tc>
        <w:tc>
          <w:tcPr>
            <w:tcW w:w="680" w:type="dxa"/>
            <w:vAlign w:val="bottom"/>
          </w:tcPr>
          <w:p>
            <w:pPr>
              <w:jc w:val="right"/>
              <w:spacing w:after="0"/>
              <w:rPr>
                <w:sz w:val="20"/>
                <w:szCs w:val="20"/>
                <w:color w:val="auto"/>
              </w:rPr>
            </w:pPr>
            <w:r>
              <w:rPr>
                <w:rFonts w:ascii="Arial" w:cs="Arial" w:eastAsia="Arial" w:hAnsi="Arial"/>
                <w:sz w:val="16"/>
                <w:szCs w:val="16"/>
                <w:color w:val="auto"/>
              </w:rPr>
              <w:t>Q1 2014</w:t>
            </w:r>
          </w:p>
        </w:tc>
      </w:tr>
      <w:tr>
        <w:trPr>
          <w:trHeight w:val="375"/>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$555.9</w:t>
            </w:r>
          </w:p>
        </w:tc>
        <w:tc>
          <w:tcPr>
            <w:tcW w:w="740" w:type="dxa"/>
            <w:vAlign w:val="bottom"/>
          </w:tcPr>
          <w:p>
            <w:pPr>
              <w:jc w:val="right"/>
              <w:spacing w:after="0"/>
              <w:rPr>
                <w:sz w:val="20"/>
                <w:szCs w:val="20"/>
                <w:color w:val="auto"/>
              </w:rPr>
            </w:pPr>
            <w:r>
              <w:rPr>
                <w:rFonts w:ascii="Arial" w:cs="Arial" w:eastAsia="Arial" w:hAnsi="Arial"/>
                <w:sz w:val="16"/>
                <w:szCs w:val="16"/>
                <w:color w:val="auto"/>
              </w:rPr>
              <w:t>$512.1</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$440.5</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$467.0</w:t>
            </w:r>
          </w:p>
        </w:tc>
        <w:tc>
          <w:tcPr>
            <w:tcW w:w="740" w:type="dxa"/>
            <w:vAlign w:val="bottom"/>
          </w:tcPr>
          <w:p>
            <w:pPr>
              <w:jc w:val="right"/>
              <w:spacing w:after="0"/>
              <w:rPr>
                <w:sz w:val="20"/>
                <w:szCs w:val="20"/>
                <w:color w:val="auto"/>
              </w:rPr>
            </w:pPr>
            <w:r>
              <w:rPr>
                <w:rFonts w:ascii="Arial" w:cs="Arial" w:eastAsia="Arial" w:hAnsi="Arial"/>
                <w:sz w:val="16"/>
                <w:szCs w:val="16"/>
                <w:color w:val="auto"/>
              </w:rPr>
              <w:t>$484.3</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$511.3</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$545.1</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$103.1</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$104.4</w:t>
            </w:r>
          </w:p>
        </w:tc>
        <w:tc>
          <w:tcPr>
            <w:tcW w:w="680" w:type="dxa"/>
            <w:vAlign w:val="bottom"/>
          </w:tcPr>
          <w:p>
            <w:pPr>
              <w:jc w:val="right"/>
              <w:spacing w:after="0"/>
              <w:rPr>
                <w:sz w:val="20"/>
                <w:szCs w:val="20"/>
                <w:color w:val="auto"/>
              </w:rPr>
            </w:pPr>
            <w:r>
              <w:rPr>
                <w:rFonts w:ascii="Arial" w:cs="Arial" w:eastAsia="Arial" w:hAnsi="Arial"/>
                <w:sz w:val="16"/>
                <w:szCs w:val="16"/>
                <w:color w:val="auto"/>
              </w:rPr>
              <w:t>$546.4</w:t>
            </w:r>
          </w:p>
        </w:tc>
      </w:tr>
      <w:tr>
        <w:trPr>
          <w:trHeight w:val="472"/>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27.5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12.5</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11.7</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25.0</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10.8</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6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460"/>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306.9</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331.7</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336.7</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312.7</w:t>
            </w:r>
          </w:p>
        </w:tc>
        <w:tc>
          <w:tcPr>
            <w:tcW w:w="740" w:type="dxa"/>
            <w:vAlign w:val="bottom"/>
          </w:tcPr>
          <w:p>
            <w:pPr>
              <w:jc w:val="right"/>
              <w:spacing w:after="0"/>
              <w:rPr>
                <w:sz w:val="20"/>
                <w:szCs w:val="20"/>
                <w:color w:val="auto"/>
              </w:rPr>
            </w:pPr>
            <w:r>
              <w:rPr>
                <w:rFonts w:ascii="Arial" w:cs="Arial" w:eastAsia="Arial" w:hAnsi="Arial"/>
                <w:sz w:val="16"/>
                <w:szCs w:val="16"/>
                <w:color w:val="auto"/>
              </w:rPr>
              <w:t>299.6</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296.1</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300.6</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73.9</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69.5</w:t>
            </w:r>
          </w:p>
        </w:tc>
        <w:tc>
          <w:tcPr>
            <w:tcW w:w="680" w:type="dxa"/>
            <w:vAlign w:val="bottom"/>
          </w:tcPr>
          <w:p>
            <w:pPr>
              <w:jc w:val="right"/>
              <w:spacing w:after="0"/>
              <w:rPr>
                <w:sz w:val="20"/>
                <w:szCs w:val="20"/>
                <w:color w:val="auto"/>
              </w:rPr>
            </w:pPr>
            <w:r>
              <w:rPr>
                <w:rFonts w:ascii="Arial" w:cs="Arial" w:eastAsia="Arial" w:hAnsi="Arial"/>
                <w:sz w:val="16"/>
                <w:szCs w:val="16"/>
                <w:color w:val="auto"/>
              </w:rPr>
              <w:t>296.2</w:t>
            </w:r>
          </w:p>
        </w:tc>
      </w:tr>
      <w:tr>
        <w:trPr>
          <w:trHeight w:val="460"/>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(19.4)</w:t>
            </w: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(13.8)</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(0.6)</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460"/>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166.0</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169.1</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196.5</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185.7</w:t>
            </w:r>
          </w:p>
        </w:tc>
        <w:tc>
          <w:tcPr>
            <w:tcW w:w="740" w:type="dxa"/>
            <w:vAlign w:val="bottom"/>
          </w:tcPr>
          <w:p>
            <w:pPr>
              <w:jc w:val="right"/>
              <w:spacing w:after="0"/>
              <w:rPr>
                <w:sz w:val="20"/>
                <w:szCs w:val="20"/>
                <w:color w:val="auto"/>
              </w:rPr>
            </w:pPr>
            <w:r>
              <w:rPr>
                <w:rFonts w:ascii="Arial" w:cs="Arial" w:eastAsia="Arial" w:hAnsi="Arial"/>
                <w:sz w:val="16"/>
                <w:szCs w:val="16"/>
                <w:color w:val="auto"/>
              </w:rPr>
              <w:t>170.5</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156.8</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146.1</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36.7</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680" w:type="dxa"/>
            <w:vAlign w:val="bottom"/>
          </w:tcPr>
          <w:p>
            <w:pPr>
              <w:jc w:val="right"/>
              <w:spacing w:after="0"/>
              <w:rPr>
                <w:sz w:val="20"/>
                <w:szCs w:val="20"/>
                <w:color w:val="auto"/>
              </w:rPr>
            </w:pPr>
            <w:r>
              <w:rPr>
                <w:rFonts w:ascii="Arial" w:cs="Arial" w:eastAsia="Arial" w:hAnsi="Arial"/>
                <w:sz w:val="16"/>
                <w:szCs w:val="16"/>
                <w:color w:val="auto"/>
              </w:rPr>
              <w:t>139.6</w:t>
            </w:r>
          </w:p>
        </w:tc>
      </w:tr>
      <w:tr>
        <w:trPr>
          <w:trHeight w:val="460"/>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0.7</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41.6</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14.3</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6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569"/>
        </w:trPr>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271" w:lineRule="exact"/>
        <w:rPr>
          <w:sz w:val="20"/>
          <w:szCs w:val="20"/>
          <w:color w:val="auto"/>
        </w:rPr>
      </w:pPr>
    </w:p>
    <w:p>
      <w:pPr>
        <w:sectPr>
          <w:pgSz w:w="11900" w:h="16838" w:orient="portrait"/>
          <w:cols w:equalWidth="0" w:num="2">
            <w:col w:w="1763" w:space="380"/>
            <w:col w:w="7380"/>
          </w:cols>
          <w:pgMar w:left="1217" w:top="1061" w:right="1159" w:bottom="1440" w:gutter="0" w:footer="0" w:header="0"/>
          <w:type w:val="continuous"/>
        </w:sectPr>
      </w:pPr>
    </w:p>
    <w:tbl>
      <w:tblPr>
        <w:tblLayout w:type="fixed"/>
        <w:tblInd w:w="63" w:type="dxa"/>
        <w:tblCellMar>
          <w:top w:w="0" w:type="dxa"/>
          <w:left w:w="0" w:type="dxa"/>
          <w:bottom w:w="0" w:type="dxa"/>
          <w:right w:w="0" w:type="dxa"/>
        </w:tblCellMar>
      </w:tblPr>
      <w:tr>
        <w:trPr>
          <w:trHeight w:val="188"/>
        </w:trPr>
        <w:tc>
          <w:tcPr>
            <w:tcW w:w="1840" w:type="dxa"/>
            <w:vAlign w:val="bottom"/>
          </w:tcPr>
          <w:p>
            <w:pPr>
              <w:spacing w:after="0"/>
              <w:rPr>
                <w:sz w:val="20"/>
                <w:szCs w:val="20"/>
                <w:color w:val="auto"/>
              </w:rPr>
            </w:pPr>
            <w:r>
              <w:rPr>
                <w:rFonts w:ascii="Arial" w:cs="Arial" w:eastAsia="Arial" w:hAnsi="Arial"/>
                <w:sz w:val="16"/>
                <w:szCs w:val="16"/>
                <w:color w:val="auto"/>
              </w:rPr>
              <w:t>Income tax expense</w:t>
            </w:r>
          </w:p>
        </w:tc>
        <w:tc>
          <w:tcPr>
            <w:tcW w:w="1060" w:type="dxa"/>
            <w:vAlign w:val="bottom"/>
            <w:vMerge w:val="restart"/>
          </w:tcPr>
          <w:p>
            <w:pPr>
              <w:jc w:val="right"/>
              <w:ind w:right="141"/>
              <w:spacing w:after="0"/>
              <w:rPr>
                <w:sz w:val="20"/>
                <w:szCs w:val="20"/>
                <w:color w:val="auto"/>
              </w:rPr>
            </w:pPr>
            <w:r>
              <w:rPr>
                <w:rFonts w:ascii="Arial" w:cs="Arial" w:eastAsia="Arial" w:hAnsi="Arial"/>
                <w:sz w:val="16"/>
                <w:szCs w:val="16"/>
                <w:color w:val="auto"/>
              </w:rPr>
              <w:t>33.9</w:t>
            </w:r>
          </w:p>
        </w:tc>
        <w:tc>
          <w:tcPr>
            <w:tcW w:w="660" w:type="dxa"/>
            <w:vAlign w:val="bottom"/>
            <w:vMerge w:val="restart"/>
          </w:tcPr>
          <w:p>
            <w:pPr>
              <w:jc w:val="right"/>
              <w:ind w:right="61"/>
              <w:spacing w:after="0"/>
              <w:rPr>
                <w:sz w:val="20"/>
                <w:szCs w:val="20"/>
                <w:color w:val="auto"/>
              </w:rPr>
            </w:pPr>
            <w:r>
              <w:rPr>
                <w:rFonts w:ascii="Arial" w:cs="Arial" w:eastAsia="Arial" w:hAnsi="Arial"/>
                <w:sz w:val="16"/>
                <w:szCs w:val="16"/>
                <w:color w:val="auto"/>
              </w:rPr>
              <w:t>9.3</w:t>
            </w:r>
          </w:p>
        </w:tc>
        <w:tc>
          <w:tcPr>
            <w:tcW w:w="740" w:type="dxa"/>
            <w:vAlign w:val="bottom"/>
            <w:vMerge w:val="restart"/>
          </w:tcPr>
          <w:p>
            <w:pPr>
              <w:jc w:val="right"/>
              <w:ind w:right="41"/>
              <w:spacing w:after="0"/>
              <w:rPr>
                <w:sz w:val="20"/>
                <w:szCs w:val="20"/>
                <w:color w:val="auto"/>
              </w:rPr>
            </w:pPr>
            <w:r>
              <w:rPr>
                <w:rFonts w:ascii="Arial" w:cs="Arial" w:eastAsia="Arial" w:hAnsi="Arial"/>
                <w:sz w:val="16"/>
                <w:szCs w:val="16"/>
                <w:color w:val="auto"/>
              </w:rPr>
              <w:t>(36.4)</w:t>
            </w:r>
          </w:p>
        </w:tc>
        <w:tc>
          <w:tcPr>
            <w:tcW w:w="860" w:type="dxa"/>
            <w:vAlign w:val="bottom"/>
            <w:vMerge w:val="restart"/>
          </w:tcPr>
          <w:p>
            <w:pPr>
              <w:jc w:val="right"/>
              <w:ind w:right="141"/>
              <w:spacing w:after="0"/>
              <w:rPr>
                <w:sz w:val="20"/>
                <w:szCs w:val="20"/>
                <w:color w:val="auto"/>
              </w:rPr>
            </w:pPr>
            <w:r>
              <w:rPr>
                <w:rFonts w:ascii="Arial" w:cs="Arial" w:eastAsia="Arial" w:hAnsi="Arial"/>
                <w:sz w:val="16"/>
                <w:szCs w:val="16"/>
                <w:color w:val="auto"/>
              </w:rPr>
              <w:t>(22.7)</w:t>
            </w:r>
          </w:p>
        </w:tc>
        <w:tc>
          <w:tcPr>
            <w:tcW w:w="760" w:type="dxa"/>
            <w:vAlign w:val="bottom"/>
            <w:vMerge w:val="restart"/>
          </w:tcPr>
          <w:p>
            <w:pPr>
              <w:jc w:val="right"/>
              <w:ind w:right="161"/>
              <w:spacing w:after="0"/>
              <w:rPr>
                <w:sz w:val="20"/>
                <w:szCs w:val="20"/>
                <w:color w:val="auto"/>
              </w:rPr>
            </w:pPr>
            <w:r>
              <w:rPr>
                <w:rFonts w:ascii="Arial" w:cs="Arial" w:eastAsia="Arial" w:hAnsi="Arial"/>
                <w:sz w:val="16"/>
                <w:szCs w:val="16"/>
                <w:color w:val="auto"/>
              </w:rPr>
              <w:t>5.4</w:t>
            </w:r>
          </w:p>
        </w:tc>
        <w:tc>
          <w:tcPr>
            <w:tcW w:w="700" w:type="dxa"/>
            <w:vAlign w:val="bottom"/>
            <w:vMerge w:val="restart"/>
          </w:tcPr>
          <w:p>
            <w:pPr>
              <w:jc w:val="right"/>
              <w:ind w:right="101"/>
              <w:spacing w:after="0"/>
              <w:rPr>
                <w:sz w:val="20"/>
                <w:szCs w:val="20"/>
                <w:color w:val="auto"/>
              </w:rPr>
            </w:pPr>
            <w:r>
              <w:rPr>
                <w:rFonts w:ascii="Arial" w:cs="Arial" w:eastAsia="Arial" w:hAnsi="Arial"/>
                <w:sz w:val="16"/>
                <w:szCs w:val="16"/>
                <w:color w:val="auto"/>
              </w:rPr>
              <w:t>8.2</w:t>
            </w:r>
          </w:p>
        </w:tc>
        <w:tc>
          <w:tcPr>
            <w:tcW w:w="700" w:type="dxa"/>
            <w:vAlign w:val="bottom"/>
            <w:vMerge w:val="restart"/>
          </w:tcPr>
          <w:p>
            <w:pPr>
              <w:jc w:val="right"/>
              <w:ind w:right="61"/>
              <w:spacing w:after="0"/>
              <w:rPr>
                <w:sz w:val="20"/>
                <w:szCs w:val="20"/>
                <w:color w:val="auto"/>
              </w:rPr>
            </w:pPr>
            <w:r>
              <w:rPr>
                <w:rFonts w:ascii="Arial" w:cs="Arial" w:eastAsia="Arial" w:hAnsi="Arial"/>
                <w:sz w:val="16"/>
                <w:szCs w:val="16"/>
                <w:color w:val="auto"/>
              </w:rPr>
              <w:t>22.8</w:t>
            </w: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color w:val="auto"/>
              </w:rPr>
              <w:t>(7.4)</w:t>
            </w:r>
          </w:p>
        </w:tc>
        <w:tc>
          <w:tcPr>
            <w:tcW w:w="760" w:type="dxa"/>
            <w:vAlign w:val="bottom"/>
            <w:vMerge w:val="restart"/>
          </w:tcPr>
          <w:p>
            <w:pPr>
              <w:jc w:val="right"/>
              <w:ind w:right="101"/>
              <w:spacing w:after="0"/>
              <w:rPr>
                <w:sz w:val="20"/>
                <w:szCs w:val="20"/>
                <w:color w:val="auto"/>
              </w:rPr>
            </w:pPr>
            <w:r>
              <w:rPr>
                <w:rFonts w:ascii="Arial" w:cs="Arial" w:eastAsia="Arial" w:hAnsi="Arial"/>
                <w:sz w:val="16"/>
                <w:szCs w:val="16"/>
                <w:color w:val="auto"/>
              </w:rPr>
              <w:t>(3.5)</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97"/>
        </w:trPr>
        <w:tc>
          <w:tcPr>
            <w:tcW w:w="1840" w:type="dxa"/>
            <w:vAlign w:val="bottom"/>
            <w:vMerge w:val="restart"/>
          </w:tcPr>
          <w:p>
            <w:pPr>
              <w:spacing w:after="0"/>
              <w:rPr>
                <w:sz w:val="20"/>
                <w:szCs w:val="20"/>
                <w:color w:val="auto"/>
              </w:rPr>
            </w:pPr>
            <w:r>
              <w:rPr>
                <w:rFonts w:ascii="Arial" w:cs="Arial" w:eastAsia="Arial" w:hAnsi="Arial"/>
                <w:sz w:val="16"/>
                <w:szCs w:val="16"/>
                <w:color w:val="auto"/>
              </w:rPr>
              <w:t>(benefit)</w:t>
            </w:r>
          </w:p>
        </w:tc>
        <w:tc>
          <w:tcPr>
            <w:tcW w:w="10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8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184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060" w:type="dxa"/>
            <w:vAlign w:val="bottom"/>
          </w:tcPr>
          <w:p>
            <w:pPr>
              <w:jc w:val="right"/>
              <w:ind w:right="141"/>
              <w:spacing w:after="0"/>
              <w:rPr>
                <w:sz w:val="20"/>
                <w:szCs w:val="20"/>
                <w:color w:val="auto"/>
              </w:rPr>
            </w:pPr>
            <w:r>
              <w:rPr>
                <w:rFonts w:ascii="Arial" w:cs="Arial" w:eastAsia="Arial" w:hAnsi="Arial"/>
                <w:sz w:val="16"/>
                <w:szCs w:val="16"/>
                <w:b w:val="1"/>
                <w:bCs w:val="1"/>
                <w:color w:val="auto"/>
              </w:rPr>
              <w:t>$41.0</w:t>
            </w:r>
          </w:p>
        </w:tc>
        <w:tc>
          <w:tcPr>
            <w:tcW w:w="660" w:type="dxa"/>
            <w:vAlign w:val="bottom"/>
          </w:tcPr>
          <w:p>
            <w:pPr>
              <w:jc w:val="right"/>
              <w:ind w:right="61"/>
              <w:spacing w:after="0"/>
              <w:rPr>
                <w:sz w:val="20"/>
                <w:szCs w:val="20"/>
                <w:color w:val="auto"/>
              </w:rPr>
            </w:pPr>
            <w:r>
              <w:rPr>
                <w:rFonts w:ascii="Arial" w:cs="Arial" w:eastAsia="Arial" w:hAnsi="Arial"/>
                <w:sz w:val="16"/>
                <w:szCs w:val="16"/>
                <w:b w:val="1"/>
                <w:bCs w:val="1"/>
                <w:color w:val="auto"/>
              </w:rPr>
              <w:t>$2.2</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$(58.6)</w:t>
            </w:r>
          </w:p>
        </w:tc>
        <w:tc>
          <w:tcPr>
            <w:tcW w:w="860" w:type="dxa"/>
            <w:vAlign w:val="bottom"/>
          </w:tcPr>
          <w:p>
            <w:pPr>
              <w:jc w:val="right"/>
              <w:ind w:right="141"/>
              <w:spacing w:after="0"/>
              <w:rPr>
                <w:sz w:val="20"/>
                <w:szCs w:val="20"/>
                <w:color w:val="auto"/>
              </w:rPr>
            </w:pPr>
            <w:r>
              <w:rPr>
                <w:rFonts w:ascii="Arial" w:cs="Arial" w:eastAsia="Arial" w:hAnsi="Arial"/>
                <w:sz w:val="16"/>
                <w:szCs w:val="16"/>
                <w:b w:val="1"/>
                <w:bCs w:val="1"/>
                <w:color w:val="auto"/>
              </w:rPr>
              <w:t>$(39.0)</w:t>
            </w:r>
          </w:p>
        </w:tc>
        <w:tc>
          <w:tcPr>
            <w:tcW w:w="760" w:type="dxa"/>
            <w:vAlign w:val="bottom"/>
          </w:tcPr>
          <w:p>
            <w:pPr>
              <w:jc w:val="right"/>
              <w:ind w:right="161"/>
              <w:spacing w:after="0"/>
              <w:rPr>
                <w:sz w:val="20"/>
                <w:szCs w:val="20"/>
                <w:color w:val="auto"/>
              </w:rPr>
            </w:pPr>
            <w:r>
              <w:rPr>
                <w:rFonts w:ascii="Arial" w:cs="Arial" w:eastAsia="Arial" w:hAnsi="Arial"/>
                <w:sz w:val="16"/>
                <w:szCs w:val="16"/>
                <w:b w:val="1"/>
                <w:bCs w:val="1"/>
                <w:color w:val="auto"/>
              </w:rPr>
              <w:t>$6.9</w:t>
            </w:r>
          </w:p>
        </w:tc>
        <w:tc>
          <w:tcPr>
            <w:tcW w:w="700" w:type="dxa"/>
            <w:vAlign w:val="bottom"/>
          </w:tcPr>
          <w:p>
            <w:pPr>
              <w:jc w:val="right"/>
              <w:ind w:right="101"/>
              <w:spacing w:after="0"/>
              <w:rPr>
                <w:sz w:val="20"/>
                <w:szCs w:val="20"/>
                <w:color w:val="auto"/>
              </w:rPr>
            </w:pPr>
            <w:r>
              <w:rPr>
                <w:rFonts w:ascii="Arial" w:cs="Arial" w:eastAsia="Arial" w:hAnsi="Arial"/>
                <w:sz w:val="16"/>
                <w:szCs w:val="16"/>
                <w:b w:val="1"/>
                <w:bCs w:val="1"/>
                <w:color w:val="auto"/>
              </w:rPr>
              <w:t>$7.9</w:t>
            </w: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$40.1</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$(10.3)</w:t>
            </w:r>
          </w:p>
        </w:tc>
        <w:tc>
          <w:tcPr>
            <w:tcW w:w="760" w:type="dxa"/>
            <w:vAlign w:val="bottom"/>
          </w:tcPr>
          <w:p>
            <w:pPr>
              <w:jc w:val="right"/>
              <w:ind w:right="101"/>
              <w:spacing w:after="0"/>
              <w:rPr>
                <w:sz w:val="20"/>
                <w:szCs w:val="20"/>
                <w:color w:val="auto"/>
              </w:rPr>
            </w:pPr>
            <w:r>
              <w:rPr>
                <w:rFonts w:ascii="Arial" w:cs="Arial" w:eastAsia="Arial" w:hAnsi="Arial"/>
                <w:sz w:val="16"/>
                <w:szCs w:val="16"/>
                <w:b w:val="1"/>
                <w:bCs w:val="1"/>
                <w:color w:val="auto"/>
              </w:rPr>
              <w:t>$(4.8)</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$45.6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03" w:right="660" w:hanging="103"/>
        <w:spacing w:after="0" w:line="238" w:lineRule="auto"/>
        <w:tabs>
          <w:tab w:leader="none" w:pos="103"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is defined as earnings (loss) before non-cash compensation, interest, taxes, depreciation, amortization, gain or loss on disposition of assets and investments and loss on debt extinguishment</w:t>
      </w:r>
    </w:p>
    <w:p>
      <w:pPr>
        <w:spacing w:after="0" w:line="200" w:lineRule="exact"/>
        <w:rPr>
          <w:sz w:val="20"/>
          <w:szCs w:val="20"/>
          <w:color w:val="auto"/>
        </w:rPr>
      </w:pPr>
    </w:p>
    <w:p>
      <w:pPr>
        <w:spacing w:after="0" w:line="236" w:lineRule="exact"/>
        <w:rPr>
          <w:sz w:val="20"/>
          <w:szCs w:val="20"/>
          <w:color w:val="auto"/>
        </w:rPr>
      </w:pPr>
    </w:p>
    <w:p>
      <w:pPr>
        <w:jc w:val="center"/>
        <w:ind w:right="-82"/>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523"/>
          </w:cols>
          <w:pgMar w:left="1217" w:top="1061" w:right="11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42"/>
          <w:szCs w:val="42"/>
          <w:color w:val="FFFFFF"/>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570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865" cy="5570220"/>
                    </a:xfrm>
                    <a:prstGeom prst="rect">
                      <a:avLst/>
                    </a:prstGeom>
                    <a:noFill/>
                  </pic:spPr>
                </pic:pic>
              </a:graphicData>
            </a:graphic>
          </wp:anchor>
        </w:drawing>
        <w:t>Reconciliation to AFFO per diluted share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FFFFFF"/>
        </w:rPr>
        <w:t>$mm</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3040" w:type="dxa"/>
            <w:vAlign w:val="bottom"/>
            <w:gridSpan w:val="2"/>
          </w:tcPr>
          <w:p>
            <w:pPr>
              <w:jc w:val="right"/>
              <w:ind w:right="493"/>
              <w:spacing w:after="0"/>
              <w:rPr>
                <w:sz w:val="20"/>
                <w:szCs w:val="20"/>
                <w:color w:val="auto"/>
              </w:rPr>
            </w:pPr>
            <w:r>
              <w:rPr>
                <w:rFonts w:ascii="Arial" w:cs="Arial" w:eastAsia="Arial" w:hAnsi="Arial"/>
                <w:sz w:val="13"/>
                <w:szCs w:val="13"/>
                <w:color w:val="auto"/>
              </w:rPr>
              <w:t>For the three months ended March 31,</w:t>
            </w:r>
          </w:p>
        </w:tc>
        <w:tc>
          <w:tcPr>
            <w:tcW w:w="2620" w:type="dxa"/>
            <w:vAlign w:val="bottom"/>
            <w:gridSpan w:val="2"/>
          </w:tcPr>
          <w:p>
            <w:pPr>
              <w:jc w:val="right"/>
              <w:spacing w:after="0"/>
              <w:rPr>
                <w:sz w:val="20"/>
                <w:szCs w:val="20"/>
                <w:color w:val="auto"/>
              </w:rPr>
            </w:pPr>
            <w:r>
              <w:rPr>
                <w:rFonts w:ascii="Arial" w:cs="Arial" w:eastAsia="Arial" w:hAnsi="Arial"/>
                <w:sz w:val="13"/>
                <w:szCs w:val="13"/>
                <w:color w:val="auto"/>
              </w:rPr>
              <w:t>For the year ended December 31, 2014</w:t>
            </w:r>
          </w:p>
        </w:tc>
      </w:tr>
      <w:tr>
        <w:trPr>
          <w:trHeight w:val="215"/>
        </w:trPr>
        <w:tc>
          <w:tcPr>
            <w:tcW w:w="3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right"/>
              <w:ind w:right="253"/>
              <w:spacing w:after="0"/>
              <w:rPr>
                <w:sz w:val="20"/>
                <w:szCs w:val="20"/>
                <w:color w:val="auto"/>
              </w:rPr>
            </w:pPr>
            <w:r>
              <w:rPr>
                <w:rFonts w:ascii="Arial" w:cs="Arial" w:eastAsia="Arial" w:hAnsi="Arial"/>
                <w:sz w:val="13"/>
                <w:szCs w:val="13"/>
                <w:color w:val="auto"/>
              </w:rPr>
              <w:t>Low end of</w:t>
            </w:r>
          </w:p>
        </w:tc>
        <w:tc>
          <w:tcPr>
            <w:tcW w:w="1020" w:type="dxa"/>
            <w:vAlign w:val="bottom"/>
          </w:tcPr>
          <w:p>
            <w:pPr>
              <w:jc w:val="right"/>
              <w:spacing w:after="0"/>
              <w:rPr>
                <w:sz w:val="20"/>
                <w:szCs w:val="20"/>
                <w:color w:val="auto"/>
              </w:rPr>
            </w:pPr>
            <w:r>
              <w:rPr>
                <w:rFonts w:ascii="Arial" w:cs="Arial" w:eastAsia="Arial" w:hAnsi="Arial"/>
                <w:sz w:val="13"/>
                <w:szCs w:val="13"/>
                <w:color w:val="auto"/>
              </w:rPr>
              <w:t>High end of</w:t>
            </w:r>
          </w:p>
        </w:tc>
      </w:tr>
      <w:tr>
        <w:trPr>
          <w:trHeight w:val="160"/>
        </w:trPr>
        <w:tc>
          <w:tcPr>
            <w:tcW w:w="3900" w:type="dxa"/>
            <w:vAlign w:val="bottom"/>
          </w:tcPr>
          <w:p>
            <w:pPr>
              <w:spacing w:after="0"/>
              <w:rPr>
                <w:sz w:val="13"/>
                <w:szCs w:val="13"/>
                <w:color w:val="auto"/>
              </w:rPr>
            </w:pPr>
          </w:p>
        </w:tc>
        <w:tc>
          <w:tcPr>
            <w:tcW w:w="1920" w:type="dxa"/>
            <w:vAlign w:val="bottom"/>
          </w:tcPr>
          <w:p>
            <w:pPr>
              <w:jc w:val="right"/>
              <w:ind w:right="433"/>
              <w:spacing w:after="0"/>
              <w:rPr>
                <w:sz w:val="20"/>
                <w:szCs w:val="20"/>
                <w:color w:val="auto"/>
              </w:rPr>
            </w:pPr>
            <w:r>
              <w:rPr>
                <w:rFonts w:ascii="Arial" w:cs="Arial" w:eastAsia="Arial" w:hAnsi="Arial"/>
                <w:sz w:val="13"/>
                <w:szCs w:val="13"/>
                <w:color w:val="auto"/>
              </w:rPr>
              <w:t>2013¹</w:t>
            </w:r>
          </w:p>
        </w:tc>
        <w:tc>
          <w:tcPr>
            <w:tcW w:w="1120" w:type="dxa"/>
            <w:vAlign w:val="bottom"/>
          </w:tcPr>
          <w:p>
            <w:pPr>
              <w:ind w:left="460"/>
              <w:spacing w:after="0"/>
              <w:rPr>
                <w:sz w:val="20"/>
                <w:szCs w:val="20"/>
                <w:color w:val="auto"/>
              </w:rPr>
            </w:pPr>
            <w:r>
              <w:rPr>
                <w:rFonts w:ascii="Arial" w:cs="Arial" w:eastAsia="Arial" w:hAnsi="Arial"/>
                <w:sz w:val="13"/>
                <w:szCs w:val="13"/>
                <w:color w:val="auto"/>
              </w:rPr>
              <w:t>2014¹</w:t>
            </w:r>
          </w:p>
        </w:tc>
        <w:tc>
          <w:tcPr>
            <w:tcW w:w="1600" w:type="dxa"/>
            <w:vAlign w:val="bottom"/>
          </w:tcPr>
          <w:p>
            <w:pPr>
              <w:jc w:val="right"/>
              <w:ind w:right="273"/>
              <w:spacing w:after="0"/>
              <w:rPr>
                <w:sz w:val="20"/>
                <w:szCs w:val="20"/>
                <w:color w:val="auto"/>
              </w:rPr>
            </w:pPr>
            <w:r>
              <w:rPr>
                <w:rFonts w:ascii="Arial" w:cs="Arial" w:eastAsia="Arial" w:hAnsi="Arial"/>
                <w:sz w:val="13"/>
                <w:szCs w:val="13"/>
                <w:color w:val="auto"/>
              </w:rPr>
              <w:t>guidance</w:t>
            </w:r>
          </w:p>
        </w:tc>
        <w:tc>
          <w:tcPr>
            <w:tcW w:w="1020" w:type="dxa"/>
            <w:vAlign w:val="bottom"/>
          </w:tcPr>
          <w:p>
            <w:pPr>
              <w:jc w:val="right"/>
              <w:spacing w:after="0"/>
              <w:rPr>
                <w:sz w:val="20"/>
                <w:szCs w:val="20"/>
                <w:color w:val="auto"/>
              </w:rPr>
            </w:pPr>
            <w:r>
              <w:rPr>
                <w:rFonts w:ascii="Arial" w:cs="Arial" w:eastAsia="Arial" w:hAnsi="Arial"/>
                <w:sz w:val="13"/>
                <w:szCs w:val="13"/>
                <w:color w:val="auto"/>
              </w:rPr>
              <w:t>guidance</w:t>
            </w:r>
          </w:p>
        </w:tc>
      </w:tr>
      <w:tr>
        <w:trPr>
          <w:trHeight w:val="206"/>
        </w:trPr>
        <w:tc>
          <w:tcPr>
            <w:tcW w:w="3900" w:type="dxa"/>
            <w:vAlign w:val="bottom"/>
          </w:tcPr>
          <w:p>
            <w:pPr>
              <w:spacing w:after="0"/>
              <w:rPr>
                <w:sz w:val="20"/>
                <w:szCs w:val="20"/>
                <w:color w:val="auto"/>
              </w:rPr>
            </w:pPr>
            <w:r>
              <w:rPr>
                <w:rFonts w:ascii="Arial" w:cs="Arial" w:eastAsia="Arial" w:hAnsi="Arial"/>
                <w:sz w:val="13"/>
                <w:szCs w:val="13"/>
                <w:color w:val="auto"/>
              </w:rPr>
              <w:t>Net income (loss)</w:t>
            </w:r>
          </w:p>
        </w:tc>
        <w:tc>
          <w:tcPr>
            <w:tcW w:w="1920" w:type="dxa"/>
            <w:vAlign w:val="bottom"/>
          </w:tcPr>
          <w:p>
            <w:pPr>
              <w:jc w:val="right"/>
              <w:ind w:right="413"/>
              <w:spacing w:after="0"/>
              <w:rPr>
                <w:sz w:val="20"/>
                <w:szCs w:val="20"/>
                <w:color w:val="auto"/>
              </w:rPr>
            </w:pPr>
            <w:r>
              <w:rPr>
                <w:rFonts w:ascii="Arial" w:cs="Arial" w:eastAsia="Arial" w:hAnsi="Arial"/>
                <w:sz w:val="13"/>
                <w:szCs w:val="13"/>
                <w:color w:val="auto"/>
              </w:rPr>
              <w:t>$(10.3)</w:t>
            </w:r>
          </w:p>
        </w:tc>
        <w:tc>
          <w:tcPr>
            <w:tcW w:w="1120" w:type="dxa"/>
            <w:vAlign w:val="bottom"/>
          </w:tcPr>
          <w:p>
            <w:pPr>
              <w:jc w:val="right"/>
              <w:ind w:right="253"/>
              <w:spacing w:after="0"/>
              <w:rPr>
                <w:sz w:val="20"/>
                <w:szCs w:val="20"/>
                <w:color w:val="auto"/>
              </w:rPr>
            </w:pPr>
            <w:r>
              <w:rPr>
                <w:rFonts w:ascii="Arial" w:cs="Arial" w:eastAsia="Arial" w:hAnsi="Arial"/>
                <w:sz w:val="13"/>
                <w:szCs w:val="13"/>
                <w:color w:val="auto"/>
              </w:rPr>
              <w:t>$(4.8)</w:t>
            </w:r>
          </w:p>
        </w:tc>
        <w:tc>
          <w:tcPr>
            <w:tcW w:w="1600" w:type="dxa"/>
            <w:vAlign w:val="bottom"/>
          </w:tcPr>
          <w:p>
            <w:pPr>
              <w:jc w:val="right"/>
              <w:ind w:right="313"/>
              <w:spacing w:after="0"/>
              <w:rPr>
                <w:sz w:val="20"/>
                <w:szCs w:val="20"/>
                <w:color w:val="auto"/>
              </w:rPr>
            </w:pPr>
            <w:r>
              <w:rPr>
                <w:rFonts w:ascii="Arial" w:cs="Arial" w:eastAsia="Arial" w:hAnsi="Arial"/>
                <w:sz w:val="13"/>
                <w:szCs w:val="13"/>
                <w:color w:val="auto"/>
              </w:rPr>
              <w:t>$268.7</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$278.3</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Real estate related depreciation and amortization</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69.9</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65.2</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230.5</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230.5</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(Gain) losses from real estate</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(0.5)</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(4.0)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(4.0)</w:t>
            </w:r>
          </w:p>
        </w:tc>
      </w:tr>
      <w:tr>
        <w:trPr>
          <w:trHeight w:val="194"/>
        </w:trPr>
        <w:tc>
          <w:tcPr>
            <w:tcW w:w="3900" w:type="dxa"/>
            <w:vAlign w:val="bottom"/>
          </w:tcPr>
          <w:p>
            <w:pPr>
              <w:ind w:left="220"/>
              <w:spacing w:after="0"/>
              <w:rPr>
                <w:sz w:val="20"/>
                <w:szCs w:val="20"/>
                <w:color w:val="auto"/>
              </w:rPr>
            </w:pPr>
            <w:r>
              <w:rPr>
                <w:rFonts w:ascii="Arial" w:cs="Arial" w:eastAsia="Arial" w:hAnsi="Arial"/>
                <w:sz w:val="13"/>
                <w:szCs w:val="13"/>
                <w:color w:val="auto"/>
              </w:rPr>
              <w:t>Adjustment for non-controlling interest</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0.2</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53"/>
              <w:spacing w:after="0"/>
              <w:rPr>
                <w:sz w:val="20"/>
                <w:szCs w:val="20"/>
                <w:color w:val="auto"/>
              </w:rPr>
            </w:pPr>
            <w:r>
              <w:rPr>
                <w:rFonts w:ascii="Arial" w:cs="Arial" w:eastAsia="Arial" w:hAnsi="Arial"/>
                <w:sz w:val="13"/>
                <w:szCs w:val="13"/>
                <w:color w:val="auto"/>
              </w:rPr>
              <w:t>1.0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1.0</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Adjustment to eliminate non-cash tax effect of conversion</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293"/>
              <w:spacing w:after="0"/>
              <w:rPr>
                <w:sz w:val="20"/>
                <w:szCs w:val="20"/>
                <w:color w:val="auto"/>
              </w:rPr>
            </w:pPr>
            <w:r>
              <w:rPr>
                <w:rFonts w:ascii="Arial" w:cs="Arial" w:eastAsia="Arial" w:hAnsi="Arial"/>
                <w:sz w:val="13"/>
                <w:szCs w:val="13"/>
                <w:color w:val="auto"/>
              </w:rPr>
              <w:t>(119.0)</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(119.0)</w:t>
            </w:r>
          </w:p>
        </w:tc>
      </w:tr>
      <w:tr>
        <w:trPr>
          <w:trHeight w:val="266"/>
        </w:trPr>
        <w:tc>
          <w:tcPr>
            <w:tcW w:w="3900" w:type="dxa"/>
            <w:vAlign w:val="bottom"/>
          </w:tcPr>
          <w:p>
            <w:pPr>
              <w:spacing w:after="0"/>
              <w:rPr>
                <w:sz w:val="20"/>
                <w:szCs w:val="20"/>
                <w:color w:val="auto"/>
              </w:rPr>
            </w:pPr>
            <w:r>
              <w:rPr>
                <w:rFonts w:ascii="Arial" w:cs="Arial" w:eastAsia="Arial" w:hAnsi="Arial"/>
                <w:sz w:val="13"/>
                <w:szCs w:val="13"/>
                <w:b w:val="1"/>
                <w:bCs w:val="1"/>
                <w:color w:val="auto"/>
              </w:rPr>
              <w:t>Funds From Operations ("FFO")¹</w:t>
            </w:r>
          </w:p>
        </w:tc>
        <w:tc>
          <w:tcPr>
            <w:tcW w:w="1920" w:type="dxa"/>
            <w:vAlign w:val="bottom"/>
          </w:tcPr>
          <w:p>
            <w:pPr>
              <w:jc w:val="right"/>
              <w:ind w:right="433"/>
              <w:spacing w:after="0"/>
              <w:rPr>
                <w:sz w:val="20"/>
                <w:szCs w:val="20"/>
                <w:color w:val="auto"/>
              </w:rPr>
            </w:pPr>
            <w:r>
              <w:rPr>
                <w:rFonts w:ascii="Arial" w:cs="Arial" w:eastAsia="Arial" w:hAnsi="Arial"/>
                <w:sz w:val="13"/>
                <w:szCs w:val="13"/>
                <w:b w:val="1"/>
                <w:bCs w:val="1"/>
                <w:color w:val="auto"/>
              </w:rPr>
              <w:t>$59.3</w:t>
            </w:r>
          </w:p>
        </w:tc>
        <w:tc>
          <w:tcPr>
            <w:tcW w:w="1120" w:type="dxa"/>
            <w:vAlign w:val="bottom"/>
          </w:tcPr>
          <w:p>
            <w:pPr>
              <w:ind w:left="460"/>
              <w:spacing w:after="0"/>
              <w:rPr>
                <w:sz w:val="20"/>
                <w:szCs w:val="20"/>
                <w:color w:val="auto"/>
              </w:rPr>
            </w:pPr>
            <w:r>
              <w:rPr>
                <w:rFonts w:ascii="Arial" w:cs="Arial" w:eastAsia="Arial" w:hAnsi="Arial"/>
                <w:sz w:val="13"/>
                <w:szCs w:val="13"/>
                <w:b w:val="1"/>
                <w:bCs w:val="1"/>
                <w:color w:val="auto"/>
              </w:rPr>
              <w:t>$60.4</w:t>
            </w:r>
          </w:p>
        </w:tc>
        <w:tc>
          <w:tcPr>
            <w:tcW w:w="1600" w:type="dxa"/>
            <w:vAlign w:val="bottom"/>
          </w:tcPr>
          <w:p>
            <w:pPr>
              <w:jc w:val="right"/>
              <w:ind w:right="313"/>
              <w:spacing w:after="0"/>
              <w:rPr>
                <w:sz w:val="20"/>
                <w:szCs w:val="20"/>
                <w:color w:val="auto"/>
              </w:rPr>
            </w:pPr>
            <w:r>
              <w:rPr>
                <w:rFonts w:ascii="Arial" w:cs="Arial" w:eastAsia="Arial" w:hAnsi="Arial"/>
                <w:sz w:val="13"/>
                <w:szCs w:val="13"/>
                <w:b w:val="1"/>
                <w:bCs w:val="1"/>
                <w:color w:val="auto"/>
              </w:rPr>
              <w:t>$377.2</w:t>
            </w: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$386.8</w:t>
            </w:r>
          </w:p>
        </w:tc>
      </w:tr>
      <w:tr>
        <w:trPr>
          <w:trHeight w:val="218"/>
        </w:trPr>
        <w:tc>
          <w:tcPr>
            <w:tcW w:w="3900" w:type="dxa"/>
            <w:vAlign w:val="bottom"/>
          </w:tcPr>
          <w:p>
            <w:pPr>
              <w:ind w:left="220"/>
              <w:spacing w:after="0"/>
              <w:rPr>
                <w:sz w:val="20"/>
                <w:szCs w:val="20"/>
                <w:color w:val="auto"/>
              </w:rPr>
            </w:pPr>
            <w:r>
              <w:rPr>
                <w:rFonts w:ascii="Arial" w:cs="Arial" w:eastAsia="Arial" w:hAnsi="Arial"/>
                <w:sz w:val="13"/>
                <w:szCs w:val="13"/>
                <w:color w:val="auto"/>
              </w:rPr>
              <w:t>Straight line-revenue</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53"/>
              <w:spacing w:after="0"/>
              <w:rPr>
                <w:sz w:val="20"/>
                <w:szCs w:val="20"/>
                <w:color w:val="auto"/>
              </w:rPr>
            </w:pPr>
            <w:r>
              <w:rPr>
                <w:rFonts w:ascii="Arial" w:cs="Arial" w:eastAsia="Arial" w:hAnsi="Arial"/>
                <w:sz w:val="13"/>
                <w:szCs w:val="13"/>
                <w:color w:val="auto"/>
              </w:rPr>
              <w:t>1.3</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1.3</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Straight-line expense</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(0.1)</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53"/>
              <w:spacing w:after="0"/>
              <w:rPr>
                <w:sz w:val="20"/>
                <w:szCs w:val="20"/>
                <w:color w:val="auto"/>
              </w:rPr>
            </w:pPr>
            <w:r>
              <w:rPr>
                <w:rFonts w:ascii="Arial" w:cs="Arial" w:eastAsia="Arial" w:hAnsi="Arial"/>
                <w:sz w:val="13"/>
                <w:szCs w:val="13"/>
                <w:color w:val="auto"/>
              </w:rPr>
              <w:t>1.2</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1.2</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Stock-based compensation expense</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10.8</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3.9</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24.4</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24.4</w:t>
            </w:r>
          </w:p>
        </w:tc>
      </w:tr>
      <w:tr>
        <w:trPr>
          <w:trHeight w:val="206"/>
        </w:trPr>
        <w:tc>
          <w:tcPr>
            <w:tcW w:w="3900" w:type="dxa"/>
            <w:vAlign w:val="bottom"/>
          </w:tcPr>
          <w:p>
            <w:pPr>
              <w:ind w:left="220"/>
              <w:spacing w:after="0"/>
              <w:rPr>
                <w:sz w:val="20"/>
                <w:szCs w:val="20"/>
                <w:color w:val="auto"/>
              </w:rPr>
            </w:pPr>
            <w:r>
              <w:rPr>
                <w:rFonts w:ascii="Arial" w:cs="Arial" w:eastAsia="Arial" w:hAnsi="Arial"/>
                <w:sz w:val="13"/>
                <w:szCs w:val="13"/>
                <w:color w:val="auto"/>
              </w:rPr>
              <w:t>Non-cash tax expense (benefit)</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(7.8)</w:t>
            </w:r>
          </w:p>
        </w:tc>
        <w:tc>
          <w:tcPr>
            <w:tcW w:w="1120" w:type="dxa"/>
            <w:vAlign w:val="bottom"/>
          </w:tcPr>
          <w:p>
            <w:pPr>
              <w:jc w:val="right"/>
              <w:ind w:right="253"/>
              <w:spacing w:after="0"/>
              <w:rPr>
                <w:sz w:val="20"/>
                <w:szCs w:val="20"/>
                <w:color w:val="auto"/>
              </w:rPr>
            </w:pPr>
            <w:r>
              <w:rPr>
                <w:rFonts w:ascii="Arial" w:cs="Arial" w:eastAsia="Arial" w:hAnsi="Arial"/>
                <w:sz w:val="13"/>
                <w:szCs w:val="13"/>
                <w:color w:val="auto"/>
              </w:rPr>
              <w:t>(5.5)</w:t>
            </w:r>
          </w:p>
        </w:tc>
        <w:tc>
          <w:tcPr>
            <w:tcW w:w="16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81"/>
        </w:trPr>
        <w:tc>
          <w:tcPr>
            <w:tcW w:w="3900" w:type="dxa"/>
            <w:vAlign w:val="bottom"/>
          </w:tcPr>
          <w:p>
            <w:pPr>
              <w:ind w:left="220"/>
              <w:spacing w:after="0"/>
              <w:rPr>
                <w:sz w:val="20"/>
                <w:szCs w:val="20"/>
                <w:color w:val="auto"/>
              </w:rPr>
            </w:pPr>
            <w:r>
              <w:rPr>
                <w:rFonts w:ascii="Arial" w:cs="Arial" w:eastAsia="Arial" w:hAnsi="Arial"/>
                <w:sz w:val="13"/>
                <w:szCs w:val="13"/>
                <w:color w:val="auto"/>
              </w:rPr>
              <w:t>Non-real estate related depreciation and amortization</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4.0</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4.3</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12.1</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12.1</w:t>
            </w:r>
          </w:p>
        </w:tc>
      </w:tr>
      <w:tr>
        <w:trPr>
          <w:trHeight w:val="206"/>
        </w:trPr>
        <w:tc>
          <w:tcPr>
            <w:tcW w:w="3900" w:type="dxa"/>
            <w:vAlign w:val="bottom"/>
          </w:tcPr>
          <w:p>
            <w:pPr>
              <w:ind w:left="220"/>
              <w:spacing w:after="0"/>
              <w:rPr>
                <w:sz w:val="20"/>
                <w:szCs w:val="20"/>
                <w:color w:val="auto"/>
              </w:rPr>
            </w:pPr>
            <w:r>
              <w:rPr>
                <w:rFonts w:ascii="Arial" w:cs="Arial" w:eastAsia="Arial" w:hAnsi="Arial"/>
                <w:sz w:val="13"/>
                <w:szCs w:val="13"/>
                <w:color w:val="auto"/>
              </w:rPr>
              <w:t>Amortization of deferred financing and debt issuance costs</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2.9</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1.3</w:t>
            </w:r>
          </w:p>
        </w:tc>
        <w:tc>
          <w:tcPr>
            <w:tcW w:w="1600" w:type="dxa"/>
            <w:vAlign w:val="bottom"/>
          </w:tcPr>
          <w:p>
            <w:pPr>
              <w:jc w:val="right"/>
              <w:ind w:right="353"/>
              <w:spacing w:after="0"/>
              <w:rPr>
                <w:sz w:val="20"/>
                <w:szCs w:val="20"/>
                <w:color w:val="auto"/>
              </w:rPr>
            </w:pPr>
            <w:r>
              <w:rPr>
                <w:rFonts w:ascii="Arial" w:cs="Arial" w:eastAsia="Arial" w:hAnsi="Arial"/>
                <w:sz w:val="13"/>
                <w:szCs w:val="13"/>
                <w:color w:val="auto"/>
              </w:rPr>
              <w:t>4.4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4.4</w:t>
            </w:r>
          </w:p>
        </w:tc>
      </w:tr>
      <w:tr>
        <w:trPr>
          <w:trHeight w:val="242"/>
        </w:trPr>
        <w:tc>
          <w:tcPr>
            <w:tcW w:w="3900" w:type="dxa"/>
            <w:vAlign w:val="bottom"/>
          </w:tcPr>
          <w:p>
            <w:pPr>
              <w:ind w:left="220"/>
              <w:spacing w:after="0"/>
              <w:rPr>
                <w:sz w:val="20"/>
                <w:szCs w:val="20"/>
                <w:color w:val="auto"/>
              </w:rPr>
            </w:pPr>
            <w:r>
              <w:rPr>
                <w:rFonts w:ascii="Arial" w:cs="Arial" w:eastAsia="Arial" w:hAnsi="Arial"/>
                <w:sz w:val="13"/>
                <w:szCs w:val="13"/>
                <w:color w:val="auto"/>
              </w:rPr>
              <w:t>Loss on debt extinguishment</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5.2</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20.8</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20.8</w:t>
            </w:r>
          </w:p>
        </w:tc>
      </w:tr>
      <w:tr>
        <w:trPr>
          <w:trHeight w:val="254"/>
        </w:trPr>
        <w:tc>
          <w:tcPr>
            <w:tcW w:w="3900" w:type="dxa"/>
            <w:vAlign w:val="bottom"/>
          </w:tcPr>
          <w:p>
            <w:pPr>
              <w:ind w:left="220"/>
              <w:spacing w:after="0"/>
              <w:rPr>
                <w:sz w:val="20"/>
                <w:szCs w:val="20"/>
                <w:color w:val="auto"/>
              </w:rPr>
            </w:pPr>
            <w:r>
              <w:rPr>
                <w:rFonts w:ascii="Arial" w:cs="Arial" w:eastAsia="Arial" w:hAnsi="Arial"/>
                <w:sz w:val="13"/>
                <w:szCs w:val="13"/>
                <w:color w:val="auto"/>
              </w:rPr>
              <w:t>Loss from other-than-temporary impairment of investment</w:t>
            </w:r>
          </w:p>
        </w:tc>
        <w:tc>
          <w:tcPr>
            <w:tcW w:w="192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4.1</w:t>
            </w:r>
          </w:p>
        </w:tc>
        <w:tc>
          <w:tcPr>
            <w:tcW w:w="16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66"/>
        </w:trPr>
        <w:tc>
          <w:tcPr>
            <w:tcW w:w="3900" w:type="dxa"/>
            <w:vAlign w:val="bottom"/>
          </w:tcPr>
          <w:p>
            <w:pPr>
              <w:ind w:left="220"/>
              <w:spacing w:after="0"/>
              <w:rPr>
                <w:sz w:val="20"/>
                <w:szCs w:val="20"/>
                <w:color w:val="auto"/>
              </w:rPr>
            </w:pPr>
            <w:r>
              <w:rPr>
                <w:rFonts w:ascii="Arial" w:cs="Arial" w:eastAsia="Arial" w:hAnsi="Arial"/>
                <w:sz w:val="13"/>
                <w:szCs w:val="13"/>
                <w:color w:val="auto"/>
              </w:rPr>
              <w:t>Capitalized expendituresmaintenance–</w:t>
            </w:r>
          </w:p>
        </w:tc>
        <w:tc>
          <w:tcPr>
            <w:tcW w:w="1920" w:type="dxa"/>
            <w:vAlign w:val="bottom"/>
          </w:tcPr>
          <w:p>
            <w:pPr>
              <w:jc w:val="right"/>
              <w:ind w:right="433"/>
              <w:spacing w:after="0"/>
              <w:rPr>
                <w:sz w:val="20"/>
                <w:szCs w:val="20"/>
                <w:color w:val="auto"/>
              </w:rPr>
            </w:pPr>
            <w:r>
              <w:rPr>
                <w:rFonts w:ascii="Arial" w:cs="Arial" w:eastAsia="Arial" w:hAnsi="Arial"/>
                <w:sz w:val="13"/>
                <w:szCs w:val="13"/>
                <w:color w:val="auto"/>
              </w:rPr>
              <w:t>(18.7)</w:t>
            </w:r>
          </w:p>
        </w:tc>
        <w:tc>
          <w:tcPr>
            <w:tcW w:w="1120" w:type="dxa"/>
            <w:vAlign w:val="bottom"/>
          </w:tcPr>
          <w:p>
            <w:pPr>
              <w:jc w:val="right"/>
              <w:ind w:right="253"/>
              <w:spacing w:after="0"/>
              <w:rPr>
                <w:sz w:val="20"/>
                <w:szCs w:val="20"/>
                <w:color w:val="auto"/>
              </w:rPr>
            </w:pPr>
            <w:r>
              <w:rPr>
                <w:rFonts w:ascii="Arial" w:cs="Arial" w:eastAsia="Arial" w:hAnsi="Arial"/>
                <w:sz w:val="13"/>
                <w:szCs w:val="13"/>
                <w:color w:val="auto"/>
              </w:rPr>
              <w:t>(14.9)</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(55.0)</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(55.0)</w:t>
            </w:r>
          </w:p>
        </w:tc>
      </w:tr>
      <w:tr>
        <w:trPr>
          <w:trHeight w:val="218"/>
        </w:trPr>
        <w:tc>
          <w:tcPr>
            <w:tcW w:w="3900" w:type="dxa"/>
            <w:vAlign w:val="bottom"/>
          </w:tcPr>
          <w:p>
            <w:pPr>
              <w:ind w:left="220"/>
              <w:spacing w:after="0"/>
              <w:rPr>
                <w:sz w:val="20"/>
                <w:szCs w:val="20"/>
                <w:color w:val="auto"/>
              </w:rPr>
            </w:pPr>
            <w:r>
              <w:rPr>
                <w:rFonts w:ascii="Arial" w:cs="Arial" w:eastAsia="Arial" w:hAnsi="Arial"/>
                <w:sz w:val="13"/>
                <w:szCs w:val="13"/>
                <w:color w:val="auto"/>
              </w:rPr>
              <w:t>Adjustment for non-controlling interest</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(0.2)</w:t>
            </w:r>
          </w:p>
        </w:tc>
        <w:tc>
          <w:tcPr>
            <w:tcW w:w="11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(1.0)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(1.0)</w:t>
            </w:r>
          </w:p>
        </w:tc>
      </w:tr>
      <w:tr>
        <w:trPr>
          <w:trHeight w:val="230"/>
        </w:trPr>
        <w:tc>
          <w:tcPr>
            <w:tcW w:w="3900" w:type="dxa"/>
            <w:vAlign w:val="bottom"/>
          </w:tcPr>
          <w:p>
            <w:pPr>
              <w:spacing w:after="0"/>
              <w:rPr>
                <w:sz w:val="20"/>
                <w:szCs w:val="20"/>
                <w:color w:val="auto"/>
              </w:rPr>
            </w:pPr>
            <w:r>
              <w:rPr>
                <w:rFonts w:ascii="Arial" w:cs="Arial" w:eastAsia="Arial" w:hAnsi="Arial"/>
                <w:sz w:val="13"/>
                <w:szCs w:val="13"/>
                <w:b w:val="1"/>
                <w:bCs w:val="1"/>
                <w:color w:val="auto"/>
              </w:rPr>
              <w:t>Adjusted Funds From Operations ("AFFO")¹</w:t>
            </w:r>
          </w:p>
        </w:tc>
        <w:tc>
          <w:tcPr>
            <w:tcW w:w="1920" w:type="dxa"/>
            <w:vAlign w:val="bottom"/>
          </w:tcPr>
          <w:p>
            <w:pPr>
              <w:jc w:val="right"/>
              <w:ind w:right="433"/>
              <w:spacing w:after="0"/>
              <w:rPr>
                <w:sz w:val="20"/>
                <w:szCs w:val="20"/>
                <w:color w:val="auto"/>
              </w:rPr>
            </w:pPr>
            <w:r>
              <w:rPr>
                <w:rFonts w:ascii="Arial" w:cs="Arial" w:eastAsia="Arial" w:hAnsi="Arial"/>
                <w:sz w:val="13"/>
                <w:szCs w:val="13"/>
                <w:b w:val="1"/>
                <w:bCs w:val="1"/>
                <w:color w:val="auto"/>
              </w:rPr>
              <w:t>$50.2</w:t>
            </w:r>
          </w:p>
        </w:tc>
        <w:tc>
          <w:tcPr>
            <w:tcW w:w="1120" w:type="dxa"/>
            <w:vAlign w:val="bottom"/>
          </w:tcPr>
          <w:p>
            <w:pPr>
              <w:ind w:left="460"/>
              <w:spacing w:after="0"/>
              <w:rPr>
                <w:sz w:val="20"/>
                <w:szCs w:val="20"/>
                <w:color w:val="auto"/>
              </w:rPr>
            </w:pPr>
            <w:r>
              <w:rPr>
                <w:rFonts w:ascii="Arial" w:cs="Arial" w:eastAsia="Arial" w:hAnsi="Arial"/>
                <w:sz w:val="13"/>
                <w:szCs w:val="13"/>
                <w:b w:val="1"/>
                <w:bCs w:val="1"/>
                <w:color w:val="auto"/>
              </w:rPr>
              <w:t>$58.8</w:t>
            </w:r>
          </w:p>
        </w:tc>
        <w:tc>
          <w:tcPr>
            <w:tcW w:w="1600" w:type="dxa"/>
            <w:vAlign w:val="bottom"/>
          </w:tcPr>
          <w:p>
            <w:pPr>
              <w:jc w:val="right"/>
              <w:ind w:right="313"/>
              <w:spacing w:after="0"/>
              <w:rPr>
                <w:sz w:val="20"/>
                <w:szCs w:val="20"/>
                <w:color w:val="auto"/>
              </w:rPr>
            </w:pPr>
            <w:r>
              <w:rPr>
                <w:rFonts w:ascii="Arial" w:cs="Arial" w:eastAsia="Arial" w:hAnsi="Arial"/>
                <w:sz w:val="13"/>
                <w:szCs w:val="13"/>
                <w:b w:val="1"/>
                <w:bCs w:val="1"/>
                <w:color w:val="auto"/>
              </w:rPr>
              <w:t>$385.4</w:t>
            </w: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$395.0</w:t>
            </w:r>
          </w:p>
        </w:tc>
      </w:tr>
      <w:tr>
        <w:trPr>
          <w:trHeight w:val="230"/>
        </w:trPr>
        <w:tc>
          <w:tcPr>
            <w:tcW w:w="3900" w:type="dxa"/>
            <w:vAlign w:val="bottom"/>
          </w:tcPr>
          <w:p>
            <w:pPr>
              <w:ind w:left="220"/>
              <w:spacing w:after="0"/>
              <w:rPr>
                <w:sz w:val="20"/>
                <w:szCs w:val="20"/>
                <w:color w:val="auto"/>
              </w:rPr>
            </w:pPr>
            <w:r>
              <w:rPr>
                <w:rFonts w:ascii="Arial" w:cs="Arial" w:eastAsia="Arial" w:hAnsi="Arial"/>
                <w:sz w:val="13"/>
                <w:szCs w:val="13"/>
                <w:color w:val="auto"/>
              </w:rPr>
              <w:t>Divided by weighted average diluted shares outstanding</w:t>
            </w:r>
          </w:p>
        </w:tc>
        <w:tc>
          <w:tcPr>
            <w:tcW w:w="1920" w:type="dxa"/>
            <w:vAlign w:val="bottom"/>
          </w:tcPr>
          <w:p>
            <w:pPr>
              <w:jc w:val="right"/>
              <w:ind w:right="453"/>
              <w:spacing w:after="0"/>
              <w:rPr>
                <w:sz w:val="20"/>
                <w:szCs w:val="20"/>
                <w:color w:val="auto"/>
              </w:rPr>
            </w:pPr>
            <w:r>
              <w:rPr>
                <w:rFonts w:ascii="Arial" w:cs="Arial" w:eastAsia="Arial" w:hAnsi="Arial"/>
                <w:sz w:val="13"/>
                <w:szCs w:val="13"/>
                <w:color w:val="auto"/>
              </w:rPr>
              <w:t>94.4</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95.4</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95.7</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95.7</w:t>
            </w:r>
          </w:p>
        </w:tc>
      </w:tr>
      <w:tr>
        <w:trPr>
          <w:trHeight w:val="230"/>
        </w:trPr>
        <w:tc>
          <w:tcPr>
            <w:tcW w:w="3900" w:type="dxa"/>
            <w:vAlign w:val="bottom"/>
          </w:tcPr>
          <w:p>
            <w:pPr>
              <w:spacing w:after="0"/>
              <w:rPr>
                <w:sz w:val="20"/>
                <w:szCs w:val="20"/>
                <w:color w:val="auto"/>
              </w:rPr>
            </w:pPr>
            <w:r>
              <w:rPr>
                <w:rFonts w:ascii="Arial" w:cs="Arial" w:eastAsia="Arial" w:hAnsi="Arial"/>
                <w:sz w:val="13"/>
                <w:szCs w:val="13"/>
                <w:b w:val="1"/>
                <w:bCs w:val="1"/>
                <w:color w:val="auto"/>
              </w:rPr>
              <w:t>AFFO per diluted share</w:t>
            </w:r>
          </w:p>
        </w:tc>
        <w:tc>
          <w:tcPr>
            <w:tcW w:w="1920" w:type="dxa"/>
            <w:vAlign w:val="bottom"/>
          </w:tcPr>
          <w:p>
            <w:pPr>
              <w:jc w:val="right"/>
              <w:ind w:right="433"/>
              <w:spacing w:after="0"/>
              <w:rPr>
                <w:sz w:val="20"/>
                <w:szCs w:val="20"/>
                <w:color w:val="auto"/>
              </w:rPr>
            </w:pPr>
            <w:r>
              <w:rPr>
                <w:rFonts w:ascii="Arial" w:cs="Arial" w:eastAsia="Arial" w:hAnsi="Arial"/>
                <w:sz w:val="13"/>
                <w:szCs w:val="13"/>
                <w:b w:val="1"/>
                <w:bCs w:val="1"/>
                <w:color w:val="auto"/>
              </w:rPr>
              <w:t>$0.53</w:t>
            </w:r>
          </w:p>
        </w:tc>
        <w:tc>
          <w:tcPr>
            <w:tcW w:w="1120" w:type="dxa"/>
            <w:vAlign w:val="bottom"/>
          </w:tcPr>
          <w:p>
            <w:pPr>
              <w:ind w:left="460"/>
              <w:spacing w:after="0"/>
              <w:rPr>
                <w:sz w:val="20"/>
                <w:szCs w:val="20"/>
                <w:color w:val="auto"/>
              </w:rPr>
            </w:pPr>
            <w:r>
              <w:rPr>
                <w:rFonts w:ascii="Arial" w:cs="Arial" w:eastAsia="Arial" w:hAnsi="Arial"/>
                <w:sz w:val="13"/>
                <w:szCs w:val="13"/>
                <w:b w:val="1"/>
                <w:bCs w:val="1"/>
                <w:color w:val="auto"/>
              </w:rPr>
              <w:t>$0.62</w:t>
            </w:r>
          </w:p>
        </w:tc>
        <w:tc>
          <w:tcPr>
            <w:tcW w:w="1600" w:type="dxa"/>
            <w:vAlign w:val="bottom"/>
          </w:tcPr>
          <w:p>
            <w:pPr>
              <w:jc w:val="right"/>
              <w:ind w:right="333"/>
              <w:spacing w:after="0"/>
              <w:rPr>
                <w:sz w:val="20"/>
                <w:szCs w:val="20"/>
                <w:color w:val="auto"/>
              </w:rPr>
            </w:pPr>
            <w:r>
              <w:rPr>
                <w:rFonts w:ascii="Arial" w:cs="Arial" w:eastAsia="Arial" w:hAnsi="Arial"/>
                <w:sz w:val="13"/>
                <w:szCs w:val="13"/>
                <w:b w:val="1"/>
                <w:bCs w:val="1"/>
                <w:color w:val="auto"/>
              </w:rPr>
              <w:t>$4.03</w:t>
            </w: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$4.13</w:t>
            </w:r>
          </w:p>
        </w:tc>
      </w:tr>
    </w:tbl>
    <w:p>
      <w:pPr>
        <w:spacing w:after="0" w:line="142" w:lineRule="exact"/>
        <w:rPr>
          <w:sz w:val="20"/>
          <w:szCs w:val="20"/>
          <w:color w:val="auto"/>
        </w:rPr>
      </w:pPr>
    </w:p>
    <w:p>
      <w:pPr>
        <w:ind w:left="160" w:right="340" w:hanging="147"/>
        <w:spacing w:after="0" w:line="252" w:lineRule="auto"/>
        <w:tabs>
          <w:tab w:leader="none" w:pos="160" w:val="left"/>
        </w:tabs>
        <w:numPr>
          <w:ilvl w:val="0"/>
          <w:numId w:val="22"/>
        </w:numPr>
        <w:rPr>
          <w:rFonts w:ascii="Arial" w:cs="Arial" w:eastAsia="Arial" w:hAnsi="Arial"/>
          <w:sz w:val="15"/>
          <w:szCs w:val="15"/>
          <w:color w:val="auto"/>
        </w:rPr>
      </w:pPr>
      <w:r>
        <w:rPr>
          <w:rFonts w:ascii="Arial" w:cs="Arial" w:eastAsia="Arial" w:hAnsi="Arial"/>
          <w:sz w:val="13"/>
          <w:szCs w:val="13"/>
          <w:color w:val="auto"/>
        </w:rPr>
        <w:t>The calculation of FFO is based on the definition as set forth by the National Association of Real Estate Investment Trusts (NAREIT); a reconciliation of net income (loss) to FFO and the calculation of AFFO are also presented above; FFO and AFFO, which are non-GAAP financial measures, may not be comparable to those reported by REITs that do not compute these measures in accordance with NAREIT definitions, or that interpret those definitions differently than we do; our net loss for the three months ended March 31, 2014 reflects our current status as a regular domestic C Corporation for U.S. Federal Income Tax purposes; if we elect to qualify and elect to be taxed as a REIT, our tax expense would be lower than our historical effective tax rates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600"/>
          </w:cols>
          <w:pgMar w:left="1240" w:top="1049" w:right="10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865" cy="5701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1865" cy="570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32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endash "/>
      <w:numFmt w:val="bullet"/>
      <w:start w:val="1"/>
    </w:lvl>
  </w:abstractNum>
  <w:abstractNum w:abstractNumId="1">
    <w:nsid w:val="66EF438D"/>
    <w:multiLevelType w:val="hybridMultilevel"/>
    <w:lvl w:ilvl="0">
      <w:lvlJc w:val="left"/>
      <w:lvlText w:val="\endash "/>
      <w:numFmt w:val="bullet"/>
      <w:start w:val="1"/>
    </w:lvl>
  </w:abstractNum>
  <w:abstractNum w:abstractNumId="2">
    <w:nsid w:val="140E0F76"/>
    <w:multiLevelType w:val="hybridMultilevel"/>
    <w:lvl w:ilvl="0">
      <w:lvlJc w:val="left"/>
      <w:lvlText w:val="\endash "/>
      <w:numFmt w:val="bullet"/>
      <w:start w:val="1"/>
    </w:lvl>
  </w:abstractNum>
  <w:abstractNum w:abstractNumId="3">
    <w:nsid w:val="3352255A"/>
    <w:multiLevelType w:val="hybridMultilevel"/>
    <w:lvl w:ilvl="0">
      <w:lvlJc w:val="left"/>
      <w:lvlText w:val="\endash "/>
      <w:numFmt w:val="bullet"/>
      <w:start w:val="1"/>
    </w:lvl>
  </w:abstractNum>
  <w:abstractNum w:abstractNumId="4">
    <w:nsid w:val="109CF92E"/>
    <w:multiLevelType w:val="hybridMultilevel"/>
    <w:lvl w:ilvl="0">
      <w:lvlJc w:val="left"/>
      <w:lvlText w:val="¹"/>
      <w:numFmt w:val="bullet"/>
      <w:start w:val="1"/>
    </w:lvl>
  </w:abstractNum>
  <w:abstractNum w:abstractNumId="5">
    <w:nsid w:val="DED7263"/>
    <w:multiLevelType w:val="hybridMultilevel"/>
    <w:lvl w:ilvl="0">
      <w:lvlJc w:val="left"/>
      <w:lvlText w:val="²"/>
      <w:numFmt w:val="bullet"/>
      <w:start w:val="1"/>
    </w:lvl>
  </w:abstractNum>
  <w:abstractNum w:abstractNumId="6">
    <w:nsid w:val="7FDCC233"/>
    <w:multiLevelType w:val="hybridMultilevel"/>
    <w:lvl w:ilvl="0">
      <w:lvlJc w:val="left"/>
      <w:lvlText w:val="¹"/>
      <w:numFmt w:val="bullet"/>
      <w:start w:val="1"/>
    </w:lvl>
  </w:abstractNum>
  <w:abstractNum w:abstractNumId="7">
    <w:nsid w:val="1BEFD79F"/>
    <w:multiLevelType w:val="hybridMultilevel"/>
    <w:lvl w:ilvl="0">
      <w:lvlJc w:val="left"/>
      <w:lvlText w:val="¹"/>
      <w:numFmt w:val="bullet"/>
      <w:start w:val="1"/>
    </w:lvl>
  </w:abstractNum>
  <w:abstractNum w:abstractNumId="8">
    <w:nsid w:val="41A7C4C9"/>
    <w:multiLevelType w:val="hybridMultilevel"/>
    <w:lvl w:ilvl="0">
      <w:lvlJc w:val="left"/>
      <w:lvlText w:val="\endash "/>
      <w:numFmt w:val="bullet"/>
      <w:start w:val="1"/>
    </w:lvl>
  </w:abstractNum>
  <w:abstractNum w:abstractNumId="9">
    <w:nsid w:val="6B68079A"/>
    <w:multiLevelType w:val="hybridMultilevel"/>
    <w:lvl w:ilvl="0">
      <w:lvlJc w:val="left"/>
      <w:lvlText w:val="\endash "/>
      <w:numFmt w:val="bullet"/>
      <w:start w:val="1"/>
    </w:lvl>
  </w:abstractNum>
  <w:abstractNum w:abstractNumId="10">
    <w:nsid w:val="4E6AFB66"/>
    <w:multiLevelType w:val="hybridMultilevel"/>
    <w:lvl w:ilvl="0">
      <w:lvlJc w:val="left"/>
      <w:lvlText w:val="\endash "/>
      <w:numFmt w:val="bullet"/>
      <w:start w:val="1"/>
    </w:lvl>
  </w:abstractNum>
  <w:abstractNum w:abstractNumId="11">
    <w:nsid w:val="25E45D32"/>
    <w:multiLevelType w:val="hybridMultilevel"/>
    <w:lvl w:ilvl="0">
      <w:lvlJc w:val="left"/>
      <w:lvlText w:val="\endash "/>
      <w:numFmt w:val="bullet"/>
      <w:start w:val="1"/>
    </w:lvl>
  </w:abstractNum>
  <w:abstractNum w:abstractNumId="12">
    <w:nsid w:val="519B500D"/>
    <w:multiLevelType w:val="hybridMultilevel"/>
    <w:lvl w:ilvl="0">
      <w:lvlJc w:val="left"/>
      <w:lvlText w:val="\endash "/>
      <w:numFmt w:val="bullet"/>
      <w:start w:val="1"/>
    </w:lvl>
  </w:abstractNum>
  <w:abstractNum w:abstractNumId="13">
    <w:nsid w:val="431BD7B7"/>
    <w:multiLevelType w:val="hybridMultilevel"/>
    <w:lvl w:ilvl="0">
      <w:lvlJc w:val="left"/>
      <w:lvlText w:val="\endash "/>
      <w:numFmt w:val="bullet"/>
      <w:start w:val="1"/>
    </w:lvl>
  </w:abstractNum>
  <w:abstractNum w:abstractNumId="14">
    <w:nsid w:val="3F2DBA31"/>
    <w:multiLevelType w:val="hybridMultilevel"/>
    <w:lvl w:ilvl="0">
      <w:lvlJc w:val="left"/>
      <w:lvlText w:val="\endash "/>
      <w:numFmt w:val="bullet"/>
      <w:start w:val="1"/>
    </w:lvl>
  </w:abstractNum>
  <w:abstractNum w:abstractNumId="15">
    <w:nsid w:val="7C83E458"/>
    <w:multiLevelType w:val="hybridMultilevel"/>
    <w:lvl w:ilvl="0">
      <w:lvlJc w:val="left"/>
      <w:lvlText w:val="\endash "/>
      <w:numFmt w:val="bullet"/>
      <w:start w:val="1"/>
    </w:lvl>
  </w:abstractNum>
  <w:abstractNum w:abstractNumId="16">
    <w:nsid w:val="257130A3"/>
    <w:multiLevelType w:val="hybridMultilevel"/>
    <w:lvl w:ilvl="0">
      <w:lvlJc w:val="left"/>
      <w:lvlText w:val="²"/>
      <w:numFmt w:val="bullet"/>
      <w:start w:val="1"/>
    </w:lvl>
  </w:abstractNum>
  <w:abstractNum w:abstractNumId="17">
    <w:nsid w:val="62BBD95A"/>
    <w:multiLevelType w:val="hybridMultilevel"/>
    <w:lvl w:ilvl="0">
      <w:lvlJc w:val="left"/>
      <w:lvlText w:val="\endash "/>
      <w:numFmt w:val="bullet"/>
      <w:start w:val="1"/>
    </w:lvl>
  </w:abstractNum>
  <w:abstractNum w:abstractNumId="18">
    <w:nsid w:val="436C6125"/>
    <w:multiLevelType w:val="hybridMultilevel"/>
    <w:lvl w:ilvl="0">
      <w:lvlJc w:val="left"/>
      <w:lvlText w:val="\endash "/>
      <w:numFmt w:val="bullet"/>
      <w:start w:val="1"/>
    </w:lvl>
  </w:abstractNum>
  <w:abstractNum w:abstractNumId="19">
    <w:nsid w:val="628C895D"/>
    <w:multiLevelType w:val="hybridMultilevel"/>
    <w:lvl w:ilvl="0">
      <w:lvlJc w:val="left"/>
      <w:lvlText w:val="\endash "/>
      <w:numFmt w:val="bullet"/>
      <w:start w:val="1"/>
    </w:lvl>
  </w:abstractNum>
  <w:abstractNum w:abstractNumId="20">
    <w:nsid w:val="333AB105"/>
    <w:multiLevelType w:val="hybridMultilevel"/>
    <w:lvl w:ilvl="0">
      <w:lvlJc w:val="left"/>
      <w:lvlText w:val="¹"/>
      <w:numFmt w:val="bullet"/>
      <w:start w:val="1"/>
    </w:lvl>
  </w:abstractNum>
  <w:abstractNum w:abstractNumId="21">
    <w:nsid w:val="721DA317"/>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2020-01-27T15:44:13Z</dcterms:created>
  <dcterms:modified xsi:type="dcterms:W3CDTF">2020-01-27T15:44:13Z</dcterms:modified>
</cp:coreProperties>
</file>