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15"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June 30, 2022</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240" w:type="dxa"/>
            <w:vAlign w:val="bottom"/>
          </w:tcPr>
          <w:p>
            <w:pPr>
              <w:spacing w:after="0"/>
              <w:rPr>
                <w:sz w:val="14"/>
                <w:szCs w:val="14"/>
                <w:color w:val="auto"/>
              </w:rPr>
            </w:pPr>
          </w:p>
        </w:tc>
        <w:tc>
          <w:tcPr>
            <w:tcW w:w="5480" w:type="dxa"/>
            <w:vAlign w:val="bottom"/>
          </w:tcPr>
          <w:p>
            <w:pPr>
              <w:ind w:left="5300"/>
              <w:spacing w:after="0"/>
              <w:rPr>
                <w:sz w:val="20"/>
                <w:szCs w:val="20"/>
                <w:color w:val="auto"/>
              </w:rPr>
            </w:pPr>
            <w:r>
              <w:rPr>
                <w:rFonts w:ascii="Times New Roman" w:cs="Times New Roman" w:eastAsia="Times New Roman" w:hAnsi="Times New Roman"/>
                <w:sz w:val="13"/>
                <w:szCs w:val="13"/>
                <w:b w:val="1"/>
                <w:bCs w:val="1"/>
                <w:color w:val="auto"/>
              </w:rPr>
              <w:t>or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97"/>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4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8"/>
        </w:trPr>
        <w:tc>
          <w:tcPr>
            <w:tcW w:w="240" w:type="dxa"/>
            <w:vAlign w:val="bottom"/>
          </w:tcPr>
          <w:p>
            <w:pPr>
              <w:spacing w:after="0"/>
              <w:rPr>
                <w:sz w:val="22"/>
                <w:szCs w:val="22"/>
                <w:color w:val="auto"/>
              </w:rPr>
            </w:pPr>
          </w:p>
        </w:tc>
        <w:tc>
          <w:tcPr>
            <w:tcW w:w="5480" w:type="dxa"/>
            <w:vAlign w:val="bottom"/>
          </w:tcPr>
          <w:p>
            <w:pPr>
              <w:ind w:left="382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620" w:type="dxa"/>
            <w:vAlign w:val="bottom"/>
            <w:tcBorders>
              <w:bottom w:val="single" w:sz="8" w:color="auto"/>
            </w:tcBorders>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4150995</wp:posOffset>
            </wp:positionH>
            <wp:positionV relativeFrom="paragraph">
              <wp:posOffset>-8255</wp:posOffset>
            </wp:positionV>
            <wp:extent cx="400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Commission File Number 1-36756</w:t>
      </w:r>
    </w:p>
    <w:p>
      <w:pPr>
        <w:spacing w:after="0" w:line="1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Advertising Company</w:t>
      </w:r>
    </w:p>
    <w:p>
      <w:pPr>
        <w:spacing w:after="0" w:line="3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Commission File Number 1-12407</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Media Corp.</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registrants as specified in their charters)</w:t>
      </w:r>
    </w:p>
    <w:p>
      <w:pPr>
        <w:spacing w:after="0" w:line="3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175"/>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175"/>
        </w:trPr>
        <w:tc>
          <w:tcPr>
            <w:tcW w:w="7300" w:type="dxa"/>
            <w:vAlign w:val="bottom"/>
            <w:gridSpan w:val="4"/>
          </w:tcPr>
          <w:p>
            <w:pPr>
              <w:jc w:val="center"/>
              <w:ind w:right="2000"/>
              <w:spacing w:after="0"/>
              <w:rPr>
                <w:sz w:val="20"/>
                <w:szCs w:val="20"/>
                <w:color w:val="auto"/>
              </w:rPr>
            </w:pPr>
            <w:r>
              <w:rPr>
                <w:rFonts w:ascii="Times New Roman" w:cs="Times New Roman" w:eastAsia="Times New Roman" w:hAnsi="Times New Roman"/>
                <w:sz w:val="13"/>
                <w:szCs w:val="13"/>
                <w:b w:val="1"/>
                <w:bCs w:val="1"/>
                <w:i w:val="1"/>
                <w:iCs w:val="1"/>
                <w:color w:val="auto"/>
                <w:w w:val="97"/>
              </w:rPr>
              <w:t>(State or other jurisdiction of incorporation or organization)</w:t>
            </w:r>
          </w:p>
        </w:tc>
        <w:tc>
          <w:tcPr>
            <w:tcW w:w="3740" w:type="dxa"/>
            <w:vAlign w:val="bottom"/>
          </w:tcPr>
          <w:p>
            <w:pPr>
              <w:jc w:val="center"/>
              <w:ind w:right="155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351"/>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2"/>
              </w:rPr>
              <w:t>70808</w:t>
            </w:r>
          </w:p>
        </w:tc>
      </w:tr>
      <w:tr>
        <w:trPr>
          <w:trHeight w:val="176"/>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78"/>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(225) 926-1000</w:t>
            </w:r>
          </w:p>
        </w:tc>
        <w:tc>
          <w:tcPr>
            <w:tcW w:w="3740" w:type="dxa"/>
            <w:vAlign w:val="bottom"/>
          </w:tcPr>
          <w:p>
            <w:pPr>
              <w:spacing w:after="0"/>
              <w:rPr>
                <w:sz w:val="24"/>
                <w:szCs w:val="24"/>
                <w:color w:val="auto"/>
              </w:rPr>
            </w:pPr>
          </w:p>
        </w:tc>
      </w:tr>
      <w:tr>
        <w:trPr>
          <w:trHeight w:val="189"/>
        </w:trPr>
        <w:tc>
          <w:tcPr>
            <w:tcW w:w="3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740" w:type="dxa"/>
            <w:vAlign w:val="bottom"/>
          </w:tcPr>
          <w:p>
            <w:pPr>
              <w:spacing w:after="0"/>
              <w:rPr>
                <w:sz w:val="16"/>
                <w:szCs w:val="16"/>
                <w:color w:val="auto"/>
              </w:rPr>
            </w:pPr>
          </w:p>
        </w:tc>
      </w:tr>
      <w:tr>
        <w:trPr>
          <w:trHeight w:val="117"/>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130"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80" w:type="dxa"/>
            <w:vAlign w:val="bottom"/>
          </w:tcPr>
          <w:p>
            <w:pPr>
              <w:ind w:left="600"/>
              <w:spacing w:after="0"/>
              <w:rPr>
                <w:sz w:val="20"/>
                <w:szCs w:val="20"/>
                <w:color w:val="auto"/>
              </w:rPr>
            </w:pPr>
            <w:r>
              <w:rPr>
                <w:rFonts w:ascii="Arial" w:cs="Arial" w:eastAsia="Arial" w:hAnsi="Arial"/>
                <w:sz w:val="13"/>
                <w:szCs w:val="13"/>
                <w:color w:val="auto"/>
              </w:rPr>
              <w:t>x</w:t>
            </w:r>
          </w:p>
        </w:tc>
        <w:tc>
          <w:tcPr>
            <w:tcW w:w="4660" w:type="dxa"/>
            <w:vAlign w:val="bottom"/>
          </w:tcPr>
          <w:p>
            <w:pPr>
              <w:ind w:left="2580"/>
              <w:spacing w:after="0"/>
              <w:rPr>
                <w:sz w:val="20"/>
                <w:szCs w:val="20"/>
                <w:color w:val="auto"/>
              </w:rPr>
            </w:pPr>
            <w:r>
              <w:rPr>
                <w:rFonts w:ascii="Times New Roman" w:cs="Times New Roman" w:eastAsia="Times New Roman" w:hAnsi="Times New Roman"/>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5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132"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40" w:type="dxa"/>
            <w:vAlign w:val="bottom"/>
          </w:tcPr>
          <w:p>
            <w:pPr>
              <w:ind w:left="580"/>
              <w:spacing w:after="0"/>
              <w:rPr>
                <w:sz w:val="20"/>
                <w:szCs w:val="20"/>
                <w:color w:val="auto"/>
              </w:rPr>
            </w:pPr>
            <w:r>
              <w:rPr>
                <w:rFonts w:ascii="Arial" w:cs="Arial" w:eastAsia="Arial" w:hAnsi="Arial"/>
                <w:sz w:val="13"/>
                <w:szCs w:val="13"/>
                <w:color w:val="auto"/>
              </w:rPr>
              <w:t>x</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119"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40"/>
          </w:cols>
          <w:pgMar w:left="320" w:top="1161" w:right="339" w:bottom="1440" w:gutter="0" w:footer="0" w:header="0"/>
        </w:sectPr>
      </w:pP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98"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No </w:t>
      </w:r>
      <w:r>
        <w:rPr>
          <w:rFonts w:ascii="Arial" w:cs="Arial" w:eastAsia="Arial" w:hAnsi="Arial"/>
          <w:sz w:val="13"/>
          <w:szCs w:val="13"/>
          <w:color w:val="auto"/>
        </w:rPr>
        <w:t>x</w:t>
      </w:r>
    </w:p>
    <w:p>
      <w:pPr>
        <w:spacing w:after="0" w:line="32" w:lineRule="exact"/>
        <w:rPr>
          <w:sz w:val="24"/>
          <w:szCs w:val="24"/>
          <w:color w:val="auto"/>
        </w:rPr>
      </w:pPr>
    </w:p>
    <w:p>
      <w:pPr>
        <w:sectPr>
          <w:pgSz w:w="11900" w:h="16838" w:orient="portrait"/>
          <w:cols w:equalWidth="0" w:num="4">
            <w:col w:w="6540" w:space="120"/>
            <w:col w:w="200" w:space="60"/>
            <w:col w:w="100" w:space="120"/>
            <w:col w:w="4100"/>
          </w:cols>
          <w:pgMar w:left="320" w:top="1161" w:right="3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64" w:lineRule="exact"/>
        <w:rPr>
          <w:sz w:val="24"/>
          <w:szCs w:val="24"/>
          <w:color w:val="auto"/>
        </w:rPr>
      </w:pPr>
    </w:p>
    <w:p>
      <w:pPr>
        <w:sectPr>
          <w:pgSz w:w="11900" w:h="16838" w:orient="portrait"/>
          <w:cols w:equalWidth="0" w:num="5">
            <w:col w:w="6060" w:space="120"/>
            <w:col w:w="200" w:space="60"/>
            <w:col w:w="100" w:space="120"/>
            <w:col w:w="160" w:space="60"/>
            <w:col w:w="4360"/>
          </w:cols>
          <w:pgMar w:left="320" w:top="11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The number of shares of Lamar Advertising Company’s Class A common stock outstanding as of July 31, 2022: 87,114,517</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number of shares of the Lamar Advertising Company’s Class B common stock outstanding as of July 31, 2022: 14,420,085</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Lamar Media Corp. common stock outstanding as of July 31, 2022: 100</w:t>
      </w:r>
    </w:p>
    <w:p>
      <w:pPr>
        <w:sectPr>
          <w:pgSz w:w="11900" w:h="16838" w:orient="portrait"/>
          <w:cols w:equalWidth="0" w:num="1">
            <w:col w:w="11240"/>
          </w:cols>
          <w:pgMar w:left="320" w:top="1161" w:right="339" w:bottom="1440" w:gutter="0" w:footer="0" w:header="0"/>
          <w:type w:val="continuous"/>
        </w:sectPr>
      </w:pPr>
    </w:p>
    <w:p>
      <w:pPr>
        <w:spacing w:after="0" w:line="51" w:lineRule="exact"/>
        <w:rPr>
          <w:sz w:val="24"/>
          <w:szCs w:val="24"/>
          <w:color w:val="auto"/>
        </w:rPr>
      </w:pPr>
    </w:p>
    <w:p>
      <w:pPr>
        <w:spacing w:after="0" w:line="295" w:lineRule="auto"/>
        <w:rPr>
          <w:sz w:val="20"/>
          <w:szCs w:val="20"/>
          <w:color w:val="auto"/>
        </w:rPr>
      </w:pPr>
      <w:r>
        <w:rPr>
          <w:rFonts w:ascii="Times New Roman" w:cs="Times New Roman" w:eastAsia="Times New Roman" w:hAnsi="Times New Roman"/>
          <w:sz w:val="13"/>
          <w:szCs w:val="13"/>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Times New Roman" w:cs="Times New Roman" w:eastAsia="Times New Roman" w:hAnsi="Times New Roman"/>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dividend distributions;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2" w:lineRule="exact"/>
        <w:rPr>
          <w:sz w:val="20"/>
          <w:szCs w:val="20"/>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 including inflationary pressures;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2021 of the Company and Lamar Media (the “2021 Combined Form 10-K”), filed on February 25, 2022,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20" w:type="dxa"/>
            <w:vAlign w:val="bottom"/>
            <w:gridSpan w:val="18"/>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420" w:type="dxa"/>
            <w:vAlign w:val="bottom"/>
            <w:gridSpan w:val="18"/>
            <w:vMerge w:val="continue"/>
          </w:tcPr>
          <w:p>
            <w:pPr>
              <w:spacing w:after="0"/>
              <w:rPr>
                <w:sz w:val="14"/>
                <w:szCs w:val="14"/>
                <w:color w:val="auto"/>
              </w:rPr>
            </w:pPr>
          </w:p>
        </w:tc>
        <w:tc>
          <w:tcPr>
            <w:tcW w:w="7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26"/>
        </w:trPr>
        <w:tc>
          <w:tcPr>
            <w:tcW w:w="3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6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48"/>
        </w:trPr>
        <w:tc>
          <w:tcPr>
            <w:tcW w:w="2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June 30, 2022 and December 31, 2021</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and six months ended June 30, 2022 and 2021</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8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June 30, 2022 and 2021</w:t>
            </w:r>
          </w:p>
        </w:tc>
        <w:tc>
          <w:tcPr>
            <w:tcW w:w="1280" w:type="dxa"/>
            <w:vAlign w:val="bottom"/>
            <w:gridSpan w:val="2"/>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2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68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June 30, 2022 and December 31, 2021</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and six months ended June 30, 2022 and 2021</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2022 and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86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132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2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68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318"/>
        </w:trPr>
        <w:tc>
          <w:tcPr>
            <w:tcW w:w="50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358"/>
        </w:trPr>
        <w:tc>
          <w:tcPr>
            <w:tcW w:w="2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98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358"/>
        </w:trPr>
        <w:tc>
          <w:tcPr>
            <w:tcW w:w="2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358"/>
        </w:trPr>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358"/>
        </w:trPr>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358"/>
        </w:trPr>
        <w:tc>
          <w:tcPr>
            <w:tcW w:w="12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00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99,788</w:t>
            </w:r>
          </w:p>
        </w:tc>
      </w:tr>
      <w:tr>
        <w:trPr>
          <w:trHeight w:val="195"/>
        </w:trPr>
        <w:tc>
          <w:tcPr>
            <w:tcW w:w="8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$13,519 and $11,195 in 2022 and 2021, respectively</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269,917</w:t>
            </w: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18,902</w:t>
            </w:r>
          </w:p>
        </w:tc>
      </w:tr>
      <w:tr>
        <w:trPr>
          <w:trHeight w:val="190"/>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440,086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388,607</w:t>
            </w: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3,868,507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3,782,288</w:t>
            </w:r>
          </w:p>
        </w:tc>
      </w:tr>
      <w:tr>
        <w:trPr>
          <w:trHeight w:val="19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(2,491,060)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(2,445,014)</w:t>
            </w:r>
          </w:p>
        </w:tc>
      </w:tr>
      <w:tr>
        <w:trPr>
          <w:trHeight w:val="19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1,377,447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1,337,274</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jc w:val="both"/>
        <w:ind w:left="20"/>
        <w:spacing w:after="0" w:line="297" w:lineRule="auto"/>
        <w:rPr>
          <w:sz w:val="20"/>
          <w:szCs w:val="20"/>
          <w:color w:val="auto"/>
        </w:rPr>
      </w:pPr>
      <w:r>
        <w:rPr>
          <w:rFonts w:ascii="Times New Roman" w:cs="Times New Roman" w:eastAsia="Times New Roman" w:hAnsi="Times New Roman"/>
          <w:sz w:val="14"/>
          <w:szCs w:val="14"/>
          <w:color w:val="auto"/>
        </w:rPr>
        <w:t>Operating lease right of use assets Financing lease right of use assets Goodwill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6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1,244,392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1,224,672</w:t>
            </w:r>
          </w:p>
        </w:tc>
      </w:tr>
      <w:tr>
        <w:trPr>
          <w:trHeight w:val="193"/>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16,890</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2,004,145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1,936,426</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1,109,687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1,045,177</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90,816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98,448</w:t>
            </w:r>
          </w:p>
        </w:tc>
      </w:tr>
      <w:tr>
        <w:trPr>
          <w:trHeight w:val="23"/>
        </w:trPr>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6,282,037</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-641985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-384810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-127635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-85725</wp:posOffset>
            </wp:positionV>
            <wp:extent cx="205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1980" w:space="460"/>
            <w:col w:w="8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Trade accounts payable</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15,920</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$672 and $585 in 2022 and 2021, respectively</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239,696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174,778</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179,691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198,286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135,038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155,554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137,103</w:t>
            </w:r>
          </w:p>
        </w:tc>
        <w:tc>
          <w:tcPr>
            <w:tcW w:w="0" w:type="dxa"/>
            <w:vAlign w:val="bottom"/>
          </w:tcPr>
          <w:p>
            <w:pPr>
              <w:spacing w:after="0"/>
              <w:rPr>
                <w:sz w:val="1"/>
                <w:szCs w:val="1"/>
                <w:color w:val="auto"/>
              </w:rPr>
            </w:pPr>
          </w:p>
        </w:tc>
      </w:tr>
      <w:tr>
        <w:trPr>
          <w:trHeight w:val="189"/>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691,412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662,965</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$33,603 and $36,274 in 2022 and 2021, respectively</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3,001,467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2,838,817</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1,012,429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995,356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17,277</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269,367</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34,926</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40,207</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5,041,971</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4,830,405</w:t>
            </w:r>
          </w:p>
        </w:tc>
        <w:tc>
          <w:tcPr>
            <w:tcW w:w="0" w:type="dxa"/>
            <w:vAlign w:val="bottom"/>
          </w:tcPr>
          <w:p>
            <w:pPr>
              <w:spacing w:after="0"/>
              <w:rPr>
                <w:sz w:val="1"/>
                <w:szCs w:val="1"/>
                <w:color w:val="auto"/>
              </w:rPr>
            </w:pPr>
          </w:p>
        </w:tc>
      </w:tr>
      <w:tr>
        <w:trPr>
          <w:trHeight w:val="17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w:t>
            </w:r>
          </w:p>
        </w:tc>
        <w:tc>
          <w:tcPr>
            <w:tcW w:w="5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outstanding at 2022 and 2021</w:t>
            </w:r>
          </w:p>
        </w:tc>
        <w:tc>
          <w:tcPr>
            <w:tcW w:w="5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0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Class A common stock, par value $0.001, 362,500,000 shares authorized; 87,897,625 and 87,540,838 shares issued at 2022 and 2021,</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8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respectively; 87,114,517 and 86,852,821 outstanding at 2022 and 2021, respectively</w:t>
            </w: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2022 and 2021</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2,042,427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2,001,399</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comprehensive income</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195"/>
        </w:trPr>
        <w:tc>
          <w:tcPr>
            <w:tcW w:w="8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(741,651)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(734,415)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shares held in treasury, 783,108 and 688,017 shares at 2022 and 2021, respectively</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(50,852)</w:t>
            </w:r>
          </w:p>
        </w:tc>
        <w:tc>
          <w:tcPr>
            <w:tcW w:w="0" w:type="dxa"/>
            <w:vAlign w:val="bottom"/>
          </w:tcPr>
          <w:p>
            <w:pPr>
              <w:spacing w:after="0"/>
              <w:rPr>
                <w:sz w:val="1"/>
                <w:szCs w:val="1"/>
                <w:color w:val="auto"/>
              </w:rPr>
            </w:pPr>
          </w:p>
        </w:tc>
      </w:tr>
      <w:tr>
        <w:trPr>
          <w:trHeight w:val="190"/>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1,240,066</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1,217,089</w:t>
            </w:r>
          </w:p>
        </w:tc>
        <w:tc>
          <w:tcPr>
            <w:tcW w:w="0" w:type="dxa"/>
            <w:vAlign w:val="bottom"/>
          </w:tcPr>
          <w:p>
            <w:pPr>
              <w:spacing w:after="0"/>
              <w:rPr>
                <w:sz w:val="1"/>
                <w:szCs w:val="1"/>
                <w:color w:val="auto"/>
              </w:rPr>
            </w:pPr>
          </w:p>
        </w:tc>
      </w:tr>
      <w:tr>
        <w:trPr>
          <w:trHeight w:val="228"/>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6,282,037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6,047,494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5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517,852</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445,052</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969,240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815,933</w:t>
            </w: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271,663</w:t>
            </w:r>
          </w:p>
        </w:tc>
        <w:tc>
          <w:tcPr>
            <w:tcW w:w="0" w:type="dxa"/>
            <w:vAlign w:val="bottom"/>
          </w:tcPr>
          <w:p>
            <w:pPr>
              <w:spacing w:after="0"/>
              <w:rPr>
                <w:sz w:val="1"/>
                <w:szCs w:val="1"/>
                <w:color w:val="auto"/>
              </w:rPr>
            </w:pPr>
          </w:p>
        </w:tc>
      </w:tr>
      <w:tr>
        <w:trPr>
          <w:trHeight w:val="175"/>
        </w:trPr>
        <w:tc>
          <w:tcPr>
            <w:tcW w:w="5620" w:type="dxa"/>
            <w:vAlign w:val="bottom"/>
            <w:shd w:val="clear" w:color="auto" w:fill="CFF0FC"/>
          </w:tcPr>
          <w:p>
            <w:pPr>
              <w:ind w:left="220"/>
              <w:spacing w:after="0" w:line="176" w:lineRule="exact"/>
              <w:rPr>
                <w:sz w:val="20"/>
                <w:szCs w:val="20"/>
                <w:color w:val="auto"/>
              </w:rPr>
            </w:pPr>
            <w:r>
              <w:rPr>
                <w:rFonts w:ascii="Times New Roman" w:cs="Times New Roman" w:eastAsia="Times New Roman" w:hAnsi="Times New Roman"/>
                <w:sz w:val="18"/>
                <w:szCs w:val="18"/>
                <w:color w:val="auto"/>
              </w:rPr>
              <w:t>General and administrative expenses (exclusive of depreciation and</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90,658</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75,834</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173,742</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148,483</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38,403</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136,377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121,371</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351,348</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296,066</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682,280</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578,024</w:t>
            </w:r>
          </w:p>
        </w:tc>
        <w:tc>
          <w:tcPr>
            <w:tcW w:w="0" w:type="dxa"/>
            <w:vAlign w:val="bottom"/>
          </w:tcPr>
          <w:p>
            <w:pPr>
              <w:spacing w:after="0"/>
              <w:rPr>
                <w:sz w:val="1"/>
                <w:szCs w:val="1"/>
                <w:color w:val="auto"/>
              </w:rPr>
            </w:pP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237,909</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54,513</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28,859</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54,684</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157,938</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dividends declared and paid on preferred stock</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used in computing 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101,486,547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101,125,855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101,413,458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101,047,295</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101,660,120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101,328,939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101,602,743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101,239,848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157,938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740" w:type="dxa"/>
            <w:vAlign w:val="bottom"/>
          </w:tcPr>
          <w:p>
            <w:pPr>
              <w:jc w:val="center"/>
              <w:ind w:left="177"/>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Add’l</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57"/>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 in</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740" w:type="dxa"/>
            <w:vAlign w:val="bottom"/>
          </w:tcPr>
          <w:p>
            <w:pPr>
              <w:jc w:val="center"/>
              <w:ind w:left="177"/>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740" w:type="dxa"/>
            <w:vAlign w:val="bottom"/>
            <w:tcBorders>
              <w:top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(50,852)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2,001,399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(734,415)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1,217,089</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241,750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30,145</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26,190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36,347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Purchase of 95,091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(10,446)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92,151</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shareholders ($1.10 per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(111,602)</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74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(61,298)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2,037,845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(753,957)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1,223,861</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7,197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13,131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95"/>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32,172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134,205</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shareholders ($1.20 per common</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(121,808)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(121,808)</w:t>
            </w:r>
          </w:p>
        </w:tc>
        <w:tc>
          <w:tcPr>
            <w:tcW w:w="0" w:type="dxa"/>
            <w:vAlign w:val="bottom"/>
          </w:tcPr>
          <w:p>
            <w:pPr>
              <w:spacing w:after="0"/>
              <w:rPr>
                <w:sz w:val="1"/>
                <w:szCs w:val="1"/>
                <w:color w:val="auto"/>
              </w:rPr>
            </w:pPr>
          </w:p>
        </w:tc>
      </w:tr>
      <w:tr>
        <w:trPr>
          <w:trHeight w:val="188"/>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(61,298)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2,042,427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(741,651)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1,240,066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740" w:type="dxa"/>
            <w:vAlign w:val="bottom"/>
          </w:tcPr>
          <w:p>
            <w:pPr>
              <w:jc w:val="center"/>
              <w:ind w:left="177"/>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Add’l</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57"/>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 in</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740" w:type="dxa"/>
            <w:vAlign w:val="bottom"/>
          </w:tcPr>
          <w:p>
            <w:pPr>
              <w:jc w:val="center"/>
              <w:ind w:left="177"/>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740" w:type="dxa"/>
            <w:vAlign w:val="bottom"/>
            <w:tcBorders>
              <w:top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1,963,850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(717,331)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1,202,768</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149,000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13,376</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82,101 shares of stock</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0" w:type="dxa"/>
            <w:vAlign w:val="bottom"/>
          </w:tcPr>
          <w:p>
            <w:pPr>
              <w:spacing w:after="0"/>
              <w:rPr>
                <w:sz w:val="1"/>
                <w:szCs w:val="1"/>
                <w:color w:val="auto"/>
              </w:rPr>
            </w:pPr>
          </w:p>
        </w:tc>
      </w:tr>
      <w:tr>
        <w:trPr>
          <w:trHeight w:val="193"/>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31,824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Purchase of 65,290 shares of treasury</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0" w:type="dxa"/>
            <w:vAlign w:val="bottom"/>
          </w:tcPr>
          <w:p>
            <w:pPr>
              <w:spacing w:after="0"/>
              <w:rPr>
                <w:sz w:val="1"/>
                <w:szCs w:val="1"/>
                <w:color w:val="auto"/>
              </w:rPr>
            </w:pPr>
          </w:p>
        </w:tc>
      </w:tr>
      <w:tr>
        <w:trPr>
          <w:trHeight w:val="193"/>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38,329</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shareholders ($0.75 per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(75,818)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(75,818)</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74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1,985,682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(754,911)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1,181,507</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compensation</w:t>
            </w:r>
          </w:p>
        </w:tc>
        <w:tc>
          <w:tcPr>
            <w:tcW w:w="74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4,685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stock awards</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38,265 shares of stock</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0" w:type="dxa"/>
            <w:vAlign w:val="bottom"/>
          </w:tcPr>
          <w:p>
            <w:pPr>
              <w:spacing w:after="0"/>
              <w:rPr>
                <w:sz w:val="1"/>
                <w:szCs w:val="1"/>
                <w:color w:val="auto"/>
              </w:rPr>
            </w:pPr>
          </w:p>
        </w:tc>
      </w:tr>
      <w:tr>
        <w:trPr>
          <w:trHeight w:val="193"/>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30,302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through employee purchase plan</w:t>
            </w: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119,609</w:t>
            </w: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Dividends/distributions to common</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shareholders ($0.75 per common</w:t>
            </w:r>
          </w:p>
        </w:tc>
        <w:tc>
          <w:tcPr>
            <w:tcW w:w="74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(75,874)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(75,874)</w:t>
            </w:r>
          </w:p>
        </w:tc>
        <w:tc>
          <w:tcPr>
            <w:tcW w:w="0" w:type="dxa"/>
            <w:vAlign w:val="bottom"/>
          </w:tcPr>
          <w:p>
            <w:pPr>
              <w:spacing w:after="0"/>
              <w:rPr>
                <w:sz w:val="1"/>
                <w:szCs w:val="1"/>
                <w:color w:val="auto"/>
              </w:rPr>
            </w:pPr>
          </w:p>
        </w:tc>
      </w:tr>
      <w:tr>
        <w:trPr>
          <w:trHeight w:val="193"/>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($15.95 per preferred share)</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(50,503)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1,991,836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(711,267)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1,231,605</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3"/>
          <w:szCs w:val="13"/>
          <w:b w:val="1"/>
          <w:bCs w:val="1"/>
          <w:color w:val="auto"/>
        </w:rPr>
        <w:t>Six Months Ended</w:t>
      </w:r>
    </w:p>
    <w:p>
      <w:pPr>
        <w:jc w:val="center"/>
        <w:ind w:left="8420"/>
        <w:spacing w:after="0"/>
        <w:rPr>
          <w:sz w:val="20"/>
          <w:szCs w:val="20"/>
          <w:color w:val="auto"/>
        </w:rPr>
      </w:pPr>
      <w:r>
        <w:rPr>
          <w:rFonts w:ascii="Times New Roman" w:cs="Times New Roman" w:eastAsia="Times New Roman" w:hAnsi="Times New Roman"/>
          <w:sz w:val="13"/>
          <w:szCs w:val="13"/>
          <w:b w:val="1"/>
          <w:bCs w:val="1"/>
          <w:color w:val="auto"/>
        </w:rPr>
        <w:t>June 30,</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7"/>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226,356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157,938</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136,377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121,371</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9,464</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21,604</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tax expense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Receivables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(17,626)</w:t>
            </w:r>
          </w:p>
        </w:tc>
      </w:tr>
      <w:tr>
        <w:trPr>
          <w:trHeight w:val="210"/>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w:t>
            </w:r>
          </w:p>
        </w:tc>
      </w:tr>
      <w:tr>
        <w:trPr>
          <w:trHeight w:val="195"/>
        </w:trPr>
        <w:tc>
          <w:tcPr>
            <w:tcW w:w="84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(Decrease) increase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4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Trade accounts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r>
      <w:tr>
        <w:trPr>
          <w:trHeight w:val="210"/>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w:t>
            </w:r>
          </w:p>
        </w:tc>
      </w:tr>
      <w:tr>
        <w:trPr>
          <w:trHeight w:val="195"/>
        </w:trPr>
        <w:tc>
          <w:tcPr>
            <w:tcW w:w="84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(29,039)</w:t>
            </w:r>
          </w:p>
        </w:tc>
      </w:tr>
      <w:tr>
        <w:trPr>
          <w:trHeight w:val="210"/>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31,675</w:t>
            </w:r>
          </w:p>
        </w:tc>
      </w:tr>
      <w:tr>
        <w:trPr>
          <w:trHeight w:val="189"/>
        </w:trPr>
        <w:tc>
          <w:tcPr>
            <w:tcW w:w="844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312,630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285,257</w:t>
            </w:r>
          </w:p>
        </w:tc>
      </w:tr>
      <w:tr>
        <w:trPr>
          <w:trHeight w:val="18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(27,236)</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(41,416)</w:t>
            </w:r>
          </w:p>
        </w:tc>
      </w:tr>
      <w:tr>
        <w:trPr>
          <w:trHeight w:val="196"/>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3,982</w:t>
            </w:r>
          </w:p>
        </w:tc>
      </w:tr>
      <w:tr>
        <w:trPr>
          <w:trHeight w:val="203"/>
        </w:trPr>
        <w:tc>
          <w:tcPr>
            <w:tcW w:w="8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(308,378)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(64,670)</w:t>
            </w:r>
          </w:p>
        </w:tc>
      </w:tr>
      <w:tr>
        <w:trPr>
          <w:trHeight w:val="175"/>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used for purchase of treasury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12,039</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Redemption of senior notes and senior subordinated notes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(668,688)</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note offering</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w:t>
            </w: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Dividends/distributions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(233,592)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(151,874)</w:t>
            </w:r>
          </w:p>
        </w:tc>
      </w:tr>
      <w:tr>
        <w:trPr>
          <w:trHeight w:val="189"/>
        </w:trPr>
        <w:tc>
          <w:tcPr>
            <w:tcW w:w="844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(273,643)</w:t>
            </w:r>
          </w:p>
        </w:tc>
      </w:tr>
      <w:tr>
        <w:trPr>
          <w:trHeight w:val="203"/>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89"/>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(52,843)</w:t>
            </w:r>
          </w:p>
        </w:tc>
      </w:tr>
      <w:tr>
        <w:trPr>
          <w:trHeight w:val="203"/>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99,788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121,569</w:t>
            </w:r>
          </w:p>
        </w:tc>
      </w:tr>
      <w:tr>
        <w:trPr>
          <w:trHeight w:val="203"/>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91,686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68,726</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3"/>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53,149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62,966</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2021 Combined Form 10-K. Subsequent events, if any, are evaluated through the date on which the financial statements are issued.</w:t>
      </w:r>
    </w:p>
    <w:p>
      <w:pPr>
        <w:spacing w:after="0" w:line="29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Advertising revenues</w:t>
      </w:r>
      <w:r>
        <w:rPr>
          <w:rFonts w:ascii="Times New Roman" w:cs="Times New Roman" w:eastAsia="Times New Roman" w:hAnsi="Times New Roman"/>
          <w:sz w:val="18"/>
          <w:szCs w:val="18"/>
          <w:color w:val="auto"/>
        </w:rPr>
        <w:t>: The majority of our revenues are derived from contracts for advertising space on billboard, logo and transit displays. Contracts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 copy.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production contracts is recognized under ASC 606. Contract revenues for production services are recognized upon satisfaction of the contract which is typically less than one week.</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allocate revenue to each performance obligation based on the relative standalone selling price. We determine standalone selling prices based on the prices charged to customers using expected cost plus margin.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and six months ended June 30, 2022 and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2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463,826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405,284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865,565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739,323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39,100</w:t>
            </w:r>
          </w:p>
        </w:tc>
      </w:tr>
      <w:tr>
        <w:trPr>
          <w:trHeight w:val="230"/>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63,170</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37,510</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517,852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969,240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815,933</w:t>
            </w:r>
          </w:p>
        </w:tc>
      </w:tr>
      <w:tr>
        <w:trPr>
          <w:trHeight w:val="21"/>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2022 and 2021, we had operating lease costs of $76,382 and $72,880, respectively, and variable lease costs of $15,671 and $18,749, respectively. During the six months ended June 30, 2022 and 2021, we had operating lease costs of $152,201 and $145,350, respectively, and variable lease costs of $27,875 and $33,993, respectively. These operating lease costs are recorded in direct advertising expenses (exclusive of depreciation and amortization). For the three months ended June 30, 2022 and 2021, we recorded a gain of $429 and $48, respectively, in gain on disposition of assets related to the amendment and termination of lease agreements. For the six months ended June 30, 2022 and 2021, we recorded a gain of $469 and $54, respectively, in gain on disposition of assets related to the amendment and termination of lease agreements. Cash payments of $180,151 and $170,619 were made reducing our operating lease liabilities for the six months ended June 30, 2022 and 2021, respectively, and are included in cash flows provided by operating activities in the Condensed Consolidated Statements of Cash Flows.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$1,814 and $1,511 in direct advertising expenses (exclusive of depreciation and amortization) for these agreements during the three months ended June 30, 2022 and 2021, respectively. We recorded $3,551 and $2,891 in direct advertising expenses (exclusive of depreciation and amortization) for these agreements during the six months ended June 30, 2022 and 2021,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12.3 years. The weighted-average discount rate of our operating leases is 4.4%. Also, during the periods ended June 30, 2022 and 2021, we obtained $32,492 and $9,871, respectively, of leased assets in exchange for new operating lease liabilities, which includes liabilities obtained through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June 30, 2022:</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95,653</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202,515</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174,615</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148,283</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124,156</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822,238</w:t>
            </w: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1,567,460</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(375,340)</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1,192,120</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2022 and 2021, $713 of amortization expense for each period and $137 and $148 of interest expense relating to our financing lease liabilities were recorded in depreciation and amortization and interest expense, respectively, in the Condensed Consolidated Statements of Income and Comprehensive Income. During the six months ended June 30, 2022 and 2021, $1,427 of amortization expense for each period and $277 and $298 of interest expense relating to our financing lease liabilities were recorded in depreciation and amortization and interest expense, respectively, in the Condensed Consolidated Statements of Income and Comprehensive Income. Cash payments of $666 were made reducing our financing lease liabilities for each of the six months ended June 30, 2022 and 2021 and are included in cash flows used in financing activities in the Condensed Consolidated Statements of Cash Flows. Our financing leases have a weighted-average remaining lease term of 5.4 years and a weighted-average discount rate of 3.1%.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June 30, 2022 and 2021, non-lease variable transit payments were $24,241 and $6,212, respectively. For the six months ended June 30, 2022 and 2021, non-lease variable transit payments were $41,519 and $10,588, respectively. These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transit expenses are recorded in direct advertising expenses (exclusive of depreciation and amortization) on the Condensed Consolidated Statements of Income and Comprehensive Income.</w:t>
      </w:r>
    </w:p>
    <w:p>
      <w:pPr>
        <w:spacing w:after="0" w:line="162"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completed over 40 acquisitions of outdoor advertising assets for a total purchase price of $234,292.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these acquisitions was accounted for under the acquisition method of accounting, and, accordingly, the accompanying condensed consolidated financial statements include the results of operations of each acquired entity from the date of acquisition. The acquisition purchase price has been allocated to assets acquired and liabilities assumed based on preliminary fair market value estimates at the dates of acquisition.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 which includes the preliminary values for the acquisition of Burkhart Advertising Inc., which was completed on May 4, 2022 for an aggregate purchase price of $130,000.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37,342</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67,757</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110,798</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(23,997)</w:t>
            </w:r>
          </w:p>
        </w:tc>
      </w:tr>
      <w:tr>
        <w:trPr>
          <w:trHeight w:val="248"/>
        </w:trPr>
        <w:tc>
          <w:tcPr>
            <w:tcW w:w="9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acquired intangible assets for the six months ended June 30, 2022 were $196,368, of which $67,757 was assigned to goodwill. Goodwill is not amortized for financial statement purposes and $456 of goodwill related to 2022 acquisitions is expected to be deductible for tax purposes. The acquired intangible assets have a weighted average useful life of approximately 14 years. The intangible assets include customer lists and contracts of $15,615 (7 year weighted average useful life) and site locations of $110,798 (15 year weighted average useful life). The aggregate amortization expense related to the 2022 acquisitions for the six months ended June 30, 2022 was $2,677.</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Company gives effect to the 2022 and 2021 acquisitions as if they had occurred on January 1, 2021. These pro forma results do not purport to be indicative of the results of operations which actually would have resulted had the acquisitions occurred on such date or to project the Company's results of operations for any future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523,030</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459,492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975,807</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847,569</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135,464</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224,792</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159,485</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1.33</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2.22</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1.33</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2.21</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bl>
    <w:p>
      <w:pPr>
        <w:spacing w:after="0" w:line="39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Stock-Based Compensation</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 Advertising’s 1996 Equity Incentive Plan, as amended, (the “Incentive Plan”) has reserved 17.5 million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50,000 shares of its Class A common stock during the six months ended June 30, 2022. At June 30, 2022 a total of 2,064,325 shares were available for future grant.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Class A common stock available under the 2019 ESPP was automatically increased by 86,853 shares on January 1, 2022 pursuant to the automatic increase provisions of the 2019 ESPP.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six months ended June 30,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3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88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342,226</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86,853</w:t>
            </w:r>
          </w:p>
        </w:tc>
      </w:tr>
      <w:tr>
        <w:trPr>
          <w:trHeight w:val="229"/>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(68,519)</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June 30, 2022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360,560</w:t>
            </w:r>
          </w:p>
        </w:tc>
      </w:tr>
      <w:tr>
        <w:trPr>
          <w:trHeight w:val="21"/>
        </w:trPr>
        <w:tc>
          <w:tcPr>
            <w:tcW w:w="9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Incentive Plan. The number of shares to be issued, if any, will be dependent on the level of achievement of performance measures for key officers and employees, as determined by the Company’s Compensation Committee based on our 2022 results. Any shares issued based on the achievement of performance goals will be issued in the first quarter of 2023. The shares subject to these awards can range from a minimum of 0% to a maximum of 100% of the target number of shares depending on the level at which the goals are attained. For the three months ended June 30, 2022 and 2021, the Company recorded $5,959 and $4,406, respectively, as stock-based compensation expense related to performance-based awards. For the six months ended June 30, 2022 and 2021, the Company recorded $5,959 and $6,858, respectively, as stock-based compensation expense related to performance-based awards.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or re-election. The awards vest 50% on grant date and 50% on the last day of the directors' one year term. For the three months ended June 30, 2022 and 2021, the Company recorded $369 and $408, respectively, in stock-based compensation expense related to these awards. For the six months ended June 30, 2022 and 2021, the Company recorded $429 and $474, respectively, in stock-based compensation expense related to these awards.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Depreciation and Amortization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127,150</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112,748</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w:t>
            </w:r>
          </w:p>
        </w:tc>
      </w:tr>
      <w:tr>
        <w:trPr>
          <w:trHeight w:val="223"/>
        </w:trPr>
        <w:tc>
          <w:tcPr>
            <w:tcW w:w="5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67,750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136,377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121,371</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at June 30, 2022 and December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6"/>
                <w:szCs w:val="16"/>
                <w:color w:val="auto"/>
              </w:rPr>
            </w:pPr>
          </w:p>
        </w:tc>
        <w:tc>
          <w:tcPr>
            <w:tcW w:w="27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560" w:type="dxa"/>
            <w:vAlign w:val="bottom"/>
            <w:gridSpan w:val="3"/>
          </w:tcPr>
          <w:p>
            <w:pPr>
              <w:jc w:val="center"/>
              <w:ind w:right="150"/>
              <w:spacing w:after="0" w:line="15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3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5"/>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692,429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676,846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587,056</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65,283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64,941</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Site locations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2,619,531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1,680,333</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51,730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39,407</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3,545,263</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2,435,576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3,416,914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2,371,737</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2,257,681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2,189,962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Retirement Obligations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ectPr>
          <w:pgSz w:w="11900" w:h="16838" w:orient="portrait"/>
          <w:cols w:equalWidth="0" w:num="1">
            <w:col w:w="11240"/>
          </w:cols>
          <w:pgMar w:left="320" w:top="445"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Additions to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Revision in estimates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 settled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2022</w:t>
      </w:r>
    </w:p>
    <w:p>
      <w:pPr>
        <w:spacing w:after="0" w:line="200" w:lineRule="exact"/>
        <w:rPr>
          <w:sz w:val="20"/>
          <w:szCs w:val="20"/>
          <w:color w:val="auto"/>
        </w:rPr>
      </w:pPr>
    </w:p>
    <w:p>
      <w:pPr>
        <w:spacing w:after="0" w:line="290"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Restrictions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269,367</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4,172</w:t>
      </w:r>
    </w:p>
    <w:p>
      <w:pPr>
        <w:spacing w:after="0" w:line="22"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3,524</w:t>
      </w:r>
    </w:p>
    <w:p>
      <w:pPr>
        <w:spacing w:after="0" w:line="22"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401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8401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8401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805" w:lineRule="exact"/>
        <w:rPr>
          <w:sz w:val="20"/>
          <w:szCs w:val="20"/>
          <w:color w:val="auto"/>
        </w:rPr>
      </w:pPr>
    </w:p>
    <w:p>
      <w:pPr>
        <w:sectPr>
          <w:pgSz w:w="11900" w:h="16838" w:orient="portrait"/>
          <w:cols w:equalWidth="0" w:num="2">
            <w:col w:w="9180" w:space="720"/>
            <w:col w:w="1340"/>
          </w:cols>
          <w:pgMar w:left="320" w:top="445"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June 30, 2022 and December 31, 2021, Lamar Media was permitted under the terms of its outstanding notes to make transfers to Lamar Advertising in the form of cash dividends, loans or advances in amounts up to $4,042,234 and $3,921,979, respectively.</w:t>
      </w:r>
    </w:p>
    <w:p>
      <w:pPr>
        <w:sectPr>
          <w:pgSz w:w="11900" w:h="16838" w:orient="portrait"/>
          <w:cols w:equalWidth="0" w:num="1">
            <w:col w:w="11240"/>
          </w:cols>
          <w:pgMar w:left="320" w:top="445"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2022, Lamar Media’s senior credit facility allows it to make transfers to Lamar Advertising in any taxable year up to the amount of Lamar Advertising’s taxable income (without any deduction for dividends paid). In addition, as of June 30, 2022,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June 30, 2022, the total debt ratio was less than 7.0 to 1 and Lamar Media’s secured debt ratio was less than 4.5 to 1, and the available cumulative credit was $2,792,714.</w:t>
      </w:r>
    </w:p>
    <w:p>
      <w:pPr>
        <w:spacing w:after="0" w:line="295" w:lineRule="exact"/>
        <w:rPr>
          <w:sz w:val="20"/>
          <w:szCs w:val="20"/>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and six months ended June 30, 2022 or 2021.</w:t>
      </w:r>
    </w:p>
    <w:p>
      <w:pPr>
        <w:spacing w:after="0" w:line="284"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at June 30, 2022 and December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925,667</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239,328</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593,477</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542,650</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542,560</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395,285</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3,275,438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3,241,163</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(239,696)</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3,035,070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3,001,467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1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8"/>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764,411</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174,415</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592,964</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542,289</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542,151</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394,987</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3,050,454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3,013,595</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(the “senior credit facility”), consists of (i) a $750,000 senior secured revolving credit facility which will mature on February 6, 2025 (the “revolving credit facility”), (ii) a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there were $335,000 in borrowings outstanding under the revolving credit facility. Availability under the revolving credit facility is reduced by the amount of any letters of credit outstanding. Lamar Media had $11,441 in letters of credit outstanding as of June 30, 2022 resulting in $403,559 of availability under its revolving credit facility. Revolving credit loans may be requested under the revolving credit facility at any time prior to its maturity on February 6,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and Lamar Media to:</w:t>
      </w:r>
    </w:p>
    <w:p>
      <w:pPr>
        <w:spacing w:after="0" w:line="99"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 revolving loan or letter of credit remains outstanding, and in addition, must satisfy a total debt ratio in order to incur debt, make distributions or make certain investments.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Secured Overnight Financing Rate ("SOFR") based interest rate mechanics for the Accounts Receivable Securitization Program.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there was $240,000 outstanding aggregate borrowings under the Accounts Receivable Securitization Program. Based on the availability of eligible accounts, Lamar Media had an additional $1,000 available for borrowing under the Accounts Receivable Securitization Program as of June 30, 2022. The commitment fees based on the amount of unused commitments under the Accounts Receivable Securitization Program were immaterial during the six months ended June 30,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Accounts Receivable Securitization Program will mature on July 21, 2025.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3/4% Senior Notes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2016, Lamar Media completed an institutional private placement of $400,000 aggregate principal amount of 5 3/4% Senior Notes due 2026 (the “Original 5 3/4% Notes”). The institutional private placement on January 28, 2016 resulted in net proceeds to Lamar Media of approximately $394,500.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2019, Lamar Media completed an institutional private placement of an additional $250,000 aggregate principal amount of its 5 3/4% Notes (the “Additional 5 3/4% Notes", and together with the Original 5 3/4% Notes, the "5 3/4% Notes”). Other than with respect to the date of issuance, issue price and CUSIP number, the Additional 5 3/4% Notes have the same terms as the Original 5 3/4% Notes. The net proceeds after underwriting fees and expenses, was approximately $251,500.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2021, Lamar Media redeemed in full all $650,000 aggregate principal amount 5 3/4% Notes. The 5 3/4% Notes redemption was completed using the proceeds received from the 3 5/8% Notes offering completed on January 22, 2021 (as described below), together with cash on hand and borrowings under the revolving credit facility and Accounts Receivable Securitization Program. The 5 3/4% Notes were redeemed at a redemption price equal to 102.875% of the aggregate principal amount of the outstanding notes, plus accrued and unpaid interest to (but not including) the redemption date. During the six months ended June 30, 2021, the Company recorded a loss on debt extinguishment of approximately $21,604 related to the note redemption, of which $18,700 was in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Lamar Media to repurchase up to $250,000 in outstanding senior or senior subordinated notes and other indebtedness outstanding from time to time under its Fourth Amended and Restated Credit Agreement. On September 20, 2021, the Board of Directors authorized the extension of the repurchase program through March 31, 2023. There were no repurchases under the program as of June 30, 2022.</w:t>
      </w:r>
    </w:p>
    <w:p>
      <w:pPr>
        <w:spacing w:after="0" w:line="288"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2022 and December 31, 2021,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$2,931,182 which does not exceed the carrying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$3,275,438 as of June 30, 2022. The majority of the fair value is determined using observed prices of publicly traded debt (level 1 in the fair value hierarchy) and the remaining is valued based on quoted prices for similar debt (level 2 in the fair value hierarchy).</w:t>
      </w:r>
    </w:p>
    <w:p>
      <w:pPr>
        <w:spacing w:after="0" w:line="297" w:lineRule="exact"/>
        <w:rPr>
          <w:sz w:val="20"/>
          <w:szCs w:val="20"/>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a leading global provider of programmatic technology for the digital out-of-home sector. This investment is accounted for as an equity method investment and is included in other assets on the Condensed Consolidated Balance Sheet. For the three and six months ended June 30, 2022, the Company recorded $318 and $1,039, respectively, in equity in earnings of investee on the Condensed Consolidated Statement of Income and Comprehensive Income.</w:t>
      </w:r>
    </w:p>
    <w:p>
      <w:pPr>
        <w:spacing w:after="0" w:line="288"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Pronouncements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which provides optional expedients and exceptions to account for contracts, hedging relationships and other transactions that reference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London Interbank Offered Rate (“LIBOR”) or another reference rate if certain criteria are met. In January 2021, the FASB clarified the scope of this guidance with the issuance of ASU 2021-01, </w:t>
      </w:r>
      <w:r>
        <w:rPr>
          <w:rFonts w:ascii="Times New Roman" w:cs="Times New Roman" w:eastAsia="Times New Roman" w:hAnsi="Times New Roman"/>
          <w:sz w:val="18"/>
          <w:szCs w:val="18"/>
          <w:i w:val="1"/>
          <w:iCs w:val="1"/>
          <w:color w:val="auto"/>
        </w:rPr>
        <w:t>Reference Rate Reform: Scope</w:t>
      </w:r>
      <w:r>
        <w:rPr>
          <w:rFonts w:ascii="Times New Roman" w:cs="Times New Roman" w:eastAsia="Times New Roman" w:hAnsi="Times New Roman"/>
          <w:sz w:val="18"/>
          <w:szCs w:val="18"/>
          <w:color w:val="auto"/>
        </w:rPr>
        <w:t>. ASU 2020-04 may be applied prospectively to contract modifications made and hedging relationships entered into or evaluated on or before December 31, 2022. As of June 30 2022, the Company has modified the Accounts Receivable Securitization Program to provide for the replacement of LIBOR-based interest rates with Term SOFR based interest rates. This modification is not expected to have a material impact on the Company's consolidated financial statements.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which provides guidance on the recognition and measurement of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At the acquisition date, the acquirer should account for the related revenue contracts as if the acquirer had originated the contracts. The guidance also provides certain practical expedients for acquirers when recognizing and measuring acquired contract assets and contract liabilities from revenue contracts in a business combination. This guidance is effective for public entities as of December 15, 2022. We do not anticipate the adoption of this guidance will have a material impact on the Company's consolidated financial statements.</w:t>
      </w:r>
    </w:p>
    <w:p>
      <w:pPr>
        <w:spacing w:after="0" w:line="292"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Dividends/Distributions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2022 and 2021, the Company declared and paid cash distributions in an aggregate amount of $121,808 or $1.20 per share and $75,874 or $0.75 per share, respectively. During the six months ended June 30, 2022 and 2021, the Company declared and paid cash distributions in an aggregate amount of $233,410 or $2.30 per share and $151,692 or $1.50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and six months ended June 30, 2022 and 2021, the Company paid cash dividend distributions to holders of its Series AA Preferred Stock in an aggregate amount of $91 or $15.95 per share and $182 or $31.90 per share for each period, respectively.</w:t>
      </w:r>
    </w:p>
    <w:p>
      <w:pPr>
        <w:spacing w:after="0" w:line="302" w:lineRule="exact"/>
        <w:rPr>
          <w:sz w:val="20"/>
          <w:szCs w:val="20"/>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about Geographic Areas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$21,949 and $10,617 for the six months ended June 30, 2022 and 2021, respectively. Net carrying value of long-lived assets located in foreign countries totaled $11,693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$11,318 as of June 30, 2022 and December 31, 2021, respectively. All other revenues from external customers and long-lived assets relate to domestic operations.</w:t>
      </w:r>
    </w:p>
    <w:p>
      <w:pPr>
        <w:spacing w:after="0" w:line="270" w:lineRule="exact"/>
        <w:rPr>
          <w:sz w:val="20"/>
          <w:szCs w:val="20"/>
          <w:color w:val="auto"/>
        </w:rPr>
      </w:pPr>
    </w:p>
    <w:p>
      <w:pPr>
        <w:ind w:left="280" w:hanging="272"/>
        <w:spacing w:after="0"/>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 Equity</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May 1, 2018, the Company entered into an equity distribution agreement (the “Sales Agreement”) with J.P. Morgan Securities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Wells Fargo Securities LLC, and SunTrust Robinson Humphrey, Inc. as its sales agents. Under the terms of the Sales Agreement, the Company could have, from time to time, issued and sold shares of its Class A common stock, having an aggregate offering price of up to $400,000, through the sales agents party thereto as either agents or principals. The Sales Agreement expired by its terms on May 1, 2021 and as of that date, 842,412 shares of our Class A common stock were sold under the Sales Agreement.</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2021 Sales Agreement.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no shares of our Class A common stock have been sold under the 2021 Sales Agreement and accordingly $400,000 remained available to be sold under the 2021 Sales Agreement as of June 30, 2022.</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June 21, 2021, the Company filed an automatically effective shelf registration statement that allows Lamar Advertising to offer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an indeterminate amount of additional shares of its Class A common stock. During the six months ended June 30, 2022 and the year ended December 31, 2021, the Company did not issue any shares under this shelf registration.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On March 16, 2020, the Company’s Board of Directors authorized the repurchase of up to $250,000 of the Company’s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On September 20, 2021, the Board of Directors authorized the extension of the repurchase program through March 31, 2023. There were no repurchases under the program as of June 30, 2022.</w:t>
      </w:r>
    </w:p>
    <w:p>
      <w:pPr>
        <w:spacing w:after="0" w:line="200" w:lineRule="exact"/>
        <w:rPr>
          <w:sz w:val="20"/>
          <w:szCs w:val="20"/>
          <w:color w:val="auto"/>
        </w:rPr>
      </w:pPr>
    </w:p>
    <w:p>
      <w:pPr>
        <w:spacing w:after="0" w:line="218" w:lineRule="exact"/>
        <w:rPr>
          <w:sz w:val="20"/>
          <w:szCs w:val="20"/>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Event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2022, the Company completed a tax reorganization as a specific type of REIT known as an Umbrella Partnership Real Estate Investment Trust (“UPREIT”). The UPREIT structure allows property owners of appreciated properties to contribute property to the operating partnership of the REIT, on a tax-deferred basis, in exchange for a partnership interest in the form of operating partnership units. This reorganization is not expected to have any material impact on the Company's combined financial statements or business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29, 2022, Lamar Media entered into a new $350.0 million Senior Secured Term Loan A loan (the “Term A loans”) agreement. The Term A loans are an incremental tranche under the Fourth Amended and Restated Credit Agreement and will mature February 6, 2025. The Term A loans bear interest at Term SOFR plus 1.25% and a credit spread adjustment of 0.10%. The covenants, events of default and other terms of the senior credit facility apply to the Term A loans. Proceeds from the Term A loans were used to repay outstanding balances on the revolving credit facility and a portion of the outstanding balance on the Accounts Receivable Securitization Program.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99,288</w:t>
            </w:r>
          </w:p>
        </w:tc>
        <w:tc>
          <w:tcPr>
            <w:tcW w:w="0" w:type="dxa"/>
            <w:vAlign w:val="bottom"/>
          </w:tcPr>
          <w:p>
            <w:pPr>
              <w:spacing w:after="0"/>
              <w:rPr>
                <w:sz w:val="1"/>
                <w:szCs w:val="1"/>
                <w:color w:val="auto"/>
              </w:rPr>
            </w:pPr>
          </w:p>
        </w:tc>
      </w:tr>
      <w:tr>
        <w:trPr>
          <w:trHeight w:val="213"/>
        </w:trPr>
        <w:tc>
          <w:tcPr>
            <w:tcW w:w="8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$13,519 and $11,195 in 2022 and 2021, respectively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18,902</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439,586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388,107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3,868,507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3,782,288</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(2,491,060)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(2,445,014)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1,377,447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1,337,274</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1,244,392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1,224,672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16,890</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1,993,993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1,926,274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1,109,219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1,044,709</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85,193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93,105</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6,265,294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6,031,031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$672 and $585 in 2022 and 2021, respectively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174,778</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198,286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137,103</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682,983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655,245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$33,603 and $36,274 in 2022 and 2021, respectively</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3,001,467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2,838,817</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1,012,429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995,356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17,277</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269,367</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40,207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5,033,542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4,822,685</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2022 and 2021</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3,112,934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3,071,905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comprehensive income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(1,881,668)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(1,864,414)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1,231,752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1,208,346</w:t>
            </w:r>
          </w:p>
        </w:tc>
        <w:tc>
          <w:tcPr>
            <w:tcW w:w="0" w:type="dxa"/>
            <w:vAlign w:val="bottom"/>
          </w:tcPr>
          <w:p>
            <w:pPr>
              <w:spacing w:after="0"/>
              <w:rPr>
                <w:sz w:val="1"/>
                <w:szCs w:val="1"/>
                <w:color w:val="auto"/>
              </w:rPr>
            </w:pPr>
          </w:p>
        </w:tc>
      </w:tr>
      <w:tr>
        <w:trPr>
          <w:trHeight w:val="207"/>
        </w:trPr>
        <w:tc>
          <w:tcPr>
            <w:tcW w:w="8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6,265,294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6,031,031</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517,852</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445,052</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969,240</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815,933</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324,495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271,663</w:t>
            </w:r>
          </w:p>
        </w:tc>
        <w:tc>
          <w:tcPr>
            <w:tcW w:w="0" w:type="dxa"/>
            <w:vAlign w:val="bottom"/>
          </w:tcPr>
          <w:p>
            <w:pPr>
              <w:spacing w:after="0"/>
              <w:rPr>
                <w:sz w:val="1"/>
                <w:szCs w:val="1"/>
                <w:color w:val="auto"/>
              </w:rPr>
            </w:pPr>
          </w:p>
        </w:tc>
      </w:tr>
      <w:tr>
        <w:trPr>
          <w:trHeight w:val="175"/>
        </w:trPr>
        <w:tc>
          <w:tcPr>
            <w:tcW w:w="5640" w:type="dxa"/>
            <w:vAlign w:val="bottom"/>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auto"/>
              </w:rPr>
              <w:t>General and administrative expenses (exclusive of depreciation and</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90,658</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75,519</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173,742</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148,168</w:t>
            </w:r>
          </w:p>
        </w:tc>
        <w:tc>
          <w:tcPr>
            <w:tcW w:w="0" w:type="dxa"/>
            <w:vAlign w:val="bottom"/>
          </w:tcPr>
          <w:p>
            <w:pPr>
              <w:spacing w:after="0"/>
              <w:rPr>
                <w:sz w:val="1"/>
                <w:szCs w:val="1"/>
                <w:color w:val="auto"/>
              </w:rPr>
            </w:pP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136,377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121,371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351,238</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295,642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682,034</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577,463</w:t>
            </w:r>
          </w:p>
        </w:tc>
        <w:tc>
          <w:tcPr>
            <w:tcW w:w="0" w:type="dxa"/>
            <w:vAlign w:val="bottom"/>
          </w:tcPr>
          <w:p>
            <w:pPr>
              <w:spacing w:after="0"/>
              <w:rPr>
                <w:sz w:val="1"/>
                <w:szCs w:val="1"/>
                <w:color w:val="auto"/>
              </w:rPr>
            </w:pPr>
          </w:p>
        </w:tc>
      </w:tr>
      <w:tr>
        <w:trPr>
          <w:trHeight w:val="22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287,206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238,470</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54,513</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28,859</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54,684</w:t>
            </w:r>
          </w:p>
        </w:tc>
        <w:tc>
          <w:tcPr>
            <w:tcW w:w="1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75,761</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232,522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162,709</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158,499</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133,632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226,233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159,003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00" w:type="dxa"/>
            <w:vAlign w:val="bottom"/>
            <w:vMerge w:val="restart"/>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00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000" w:type="dxa"/>
            <w:vAlign w:val="bottom"/>
            <w:tcBorders>
              <w:top w:val="single" w:sz="8" w:color="auto"/>
            </w:tcBorders>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3,071,905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(1,864,414)</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3,108,352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(1,894,174)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1,215,347</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(121,809)</w:t>
            </w:r>
          </w:p>
        </w:tc>
        <w:tc>
          <w:tcPr>
            <w:tcW w:w="0" w:type="dxa"/>
            <w:vAlign w:val="bottom"/>
          </w:tcPr>
          <w:p>
            <w:pPr>
              <w:spacing w:after="0"/>
              <w:rPr>
                <w:sz w:val="1"/>
                <w:szCs w:val="1"/>
                <w:color w:val="auto"/>
              </w:rPr>
            </w:pPr>
          </w:p>
        </w:tc>
      </w:tr>
      <w:tr>
        <w:trPr>
          <w:trHeight w:val="248"/>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000" w:type="dxa"/>
            <w:vAlign w:val="bottom"/>
            <w:tcBorders>
              <w:top w:val="single" w:sz="8" w:color="auto"/>
              <w:bottom w:val="single" w:sz="8" w:color="auto"/>
            </w:tcBorders>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3,112,934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(1,881,668)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1,231,752</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4160" w:type="dxa"/>
            <w:vAlign w:val="bottom"/>
          </w:tcPr>
          <w:p>
            <w:pPr>
              <w:spacing w:after="0"/>
              <w:rPr>
                <w:sz w:val="24"/>
                <w:szCs w:val="24"/>
                <w:color w:val="auto"/>
              </w:rPr>
            </w:pPr>
          </w:p>
        </w:tc>
        <w:tc>
          <w:tcPr>
            <w:tcW w:w="1000" w:type="dxa"/>
            <w:vAlign w:val="bottom"/>
            <w:vMerge w:val="restart"/>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00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000" w:type="dxa"/>
            <w:vAlign w:val="bottom"/>
            <w:tcBorders>
              <w:top w:val="single" w:sz="8" w:color="auto"/>
            </w:tcBorders>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3,034,357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(1,842,447)</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1,192,844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3,056,188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(1,885,516)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1,171,810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(75,874)</w:t>
            </w:r>
          </w:p>
        </w:tc>
        <w:tc>
          <w:tcPr>
            <w:tcW w:w="0" w:type="dxa"/>
            <w:vAlign w:val="bottom"/>
          </w:tcPr>
          <w:p>
            <w:pPr>
              <w:spacing w:after="0"/>
              <w:rPr>
                <w:sz w:val="1"/>
                <w:szCs w:val="1"/>
                <w:color w:val="auto"/>
              </w:rPr>
            </w:pPr>
          </w:p>
        </w:tc>
      </w:tr>
      <w:tr>
        <w:trPr>
          <w:trHeight w:val="248"/>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1000" w:type="dxa"/>
            <w:vAlign w:val="bottom"/>
            <w:tcBorders>
              <w:top w:val="single" w:sz="8" w:color="auto"/>
              <w:bottom w:val="single" w:sz="8" w:color="auto"/>
            </w:tcBorders>
            <w:shd w:val="clear" w:color="auto" w:fill="CFF0FC"/>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3,062,342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(1,841,357)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1,222,423</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84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226,602</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158,499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136,377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121,371</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compensation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9,464</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21,604</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tax expense</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Increase in: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Receivables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(17,626)</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(Decrease) increase in: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Trade accounts payable</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w:t>
            </w:r>
          </w:p>
        </w:tc>
        <w:tc>
          <w:tcPr>
            <w:tcW w:w="0" w:type="dxa"/>
            <w:vAlign w:val="bottom"/>
          </w:tcPr>
          <w:p>
            <w:pPr>
              <w:spacing w:after="0"/>
              <w:rPr>
                <w:sz w:val="1"/>
                <w:szCs w:val="1"/>
                <w:color w:val="auto"/>
              </w:rPr>
            </w:pPr>
          </w:p>
        </w:tc>
      </w:tr>
      <w:tr>
        <w:trPr>
          <w:trHeight w:val="195"/>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279,320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269,129</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(27,236)</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(41,416)</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(308,378)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(64,670)</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Redemption of senior notes and senior subordinated notes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(668,688)</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note offering</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w:t>
            </w:r>
          </w:p>
        </w:tc>
        <w:tc>
          <w:tcPr>
            <w:tcW w:w="0" w:type="dxa"/>
            <w:vAlign w:val="bottom"/>
          </w:tcPr>
          <w:p>
            <w:pPr>
              <w:spacing w:after="0"/>
              <w:rPr>
                <w:sz w:val="1"/>
                <w:szCs w:val="1"/>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27,985</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Dividend to parent</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(157,409)</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(257,515)</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(52,843)</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99,288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121,069</w:t>
            </w:r>
          </w:p>
        </w:tc>
        <w:tc>
          <w:tcPr>
            <w:tcW w:w="0" w:type="dxa"/>
            <w:vAlign w:val="bottom"/>
          </w:tcPr>
          <w:p>
            <w:pPr>
              <w:spacing w:after="0"/>
              <w:rPr>
                <w:sz w:val="1"/>
                <w:szCs w:val="1"/>
                <w:color w:val="auto"/>
              </w:rPr>
            </w:pPr>
          </w:p>
        </w:tc>
      </w:tr>
      <w:tr>
        <w:trPr>
          <w:trHeight w:val="221"/>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91,186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68,226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53,149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6,201</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31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2021 Combined Form 10-K.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9, 11, 12, 13, 14, 16, 17 and 18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88"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June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71,880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1,221,285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3,086,061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4,453,353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341,254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251,459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(4,945,409)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4,525,233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6,068,709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(4,945,409)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6,265,294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224,804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397,234</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263,559</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2,999,639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3,001,467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271,652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300,693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335,051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(570,733)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3,293,481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1,697,644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613,150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(570,733)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5,033,542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1,231,752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4,371,065</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(4,374,676)</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4,525,233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6,068,709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(4,945,409)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6,265,294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267,609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388,107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1,337,274</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1,198,934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1,224,672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2,970,983</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4,188,436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311,046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187,044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109,995</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4,279,555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6,031,031</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282,181</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437,141</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196,095</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655,245</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2,836,801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995,356</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212,399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292,194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292,281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(463,607)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333,267</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3,071,209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1,708,814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506,269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(463,607)</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4,822,685</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4,105,671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(4,112,924)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4,279,555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6,031,031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517,852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166,723</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27,481</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339,514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351,238</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 (benefit)</w:t>
            </w:r>
            <w:r>
              <w:rPr>
                <w:rFonts w:ascii="Times New Roman" w:cs="Times New Roman" w:eastAsia="Times New Roman" w:hAnsi="Times New Roman"/>
                <w:sz w:val="26"/>
                <w:szCs w:val="26"/>
                <w:color w:val="auto"/>
                <w:vertAlign w:val="superscript"/>
              </w:rPr>
              <w:t>(2)</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(benefit) reflected in each column does not include any tax effect of the equity in earnings from subsidiaries.</w:t>
      </w:r>
    </w:p>
    <w:p>
      <w:pPr>
        <w:sectPr>
          <w:pgSz w:w="11900" w:h="16838" w:orient="portrait"/>
          <w:cols w:equalWidth="0" w:num="1">
            <w:col w:w="11240"/>
          </w:cols>
          <w:pgMar w:left="320" w:top="121" w:right="33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14"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1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140,448</w:t>
            </w:r>
          </w:p>
        </w:tc>
        <w:tc>
          <w:tcPr>
            <w:tcW w:w="0" w:type="dxa"/>
            <w:vAlign w:val="bottom"/>
          </w:tcPr>
          <w:p>
            <w:pPr>
              <w:spacing w:after="0"/>
              <w:rPr>
                <w:sz w:val="1"/>
                <w:szCs w:val="1"/>
                <w:color w:val="auto"/>
              </w:rPr>
            </w:pPr>
          </w:p>
        </w:tc>
      </w:tr>
      <w:tr>
        <w:trPr>
          <w:trHeight w:val="229"/>
        </w:trPr>
        <w:tc>
          <w:tcPr>
            <w:tcW w:w="412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0" w:type="dxa"/>
            <w:vAlign w:val="bottom"/>
          </w:tcPr>
          <w:p>
            <w:pPr>
              <w:spacing w:after="0"/>
              <w:rPr>
                <w:sz w:val="1"/>
                <w:szCs w:val="1"/>
                <w:color w:val="auto"/>
              </w:rPr>
            </w:pPr>
          </w:p>
        </w:tc>
      </w:tr>
      <w:tr>
        <w:trPr>
          <w:trHeight w:val="229"/>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286,975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295,642</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(146,005)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123,233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 (benefit)</w:t>
            </w:r>
            <w:r>
              <w:rPr>
                <w:rFonts w:ascii="Times New Roman" w:cs="Times New Roman" w:eastAsia="Times New Roman" w:hAnsi="Times New Roman"/>
                <w:sz w:val="26"/>
                <w:szCs w:val="26"/>
                <w:color w:val="auto"/>
                <w:vertAlign w:val="superscript"/>
              </w:rPr>
              <w:t>(2)</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146,766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(146,005)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shd w:val="clear" w:color="auto" w:fill="CCEEFF"/>
          </w:tcPr>
          <w:p>
            <w:pPr>
              <w:ind w:left="640"/>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146,766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(146,005)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120,333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950,116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969,240</w:t>
            </w: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310,004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324,495</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173,742</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49,357</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660,505</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682,034</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289,611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287,206</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(281,394)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232,522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 (benefit)</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815,933</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271,663</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148,168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563,358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577,463</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54,157</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Six Months Ended June 30, 2022</w:t>
      </w:r>
    </w:p>
    <w:p>
      <w:pPr>
        <w:spacing w:after="0" w:line="3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201,763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364,272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(253,565)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279,320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(75,802)</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Decrease (increase) in intercompany notes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4020" w:type="dxa"/>
            <w:vAlign w:val="bottom"/>
            <w:tcBorders>
              <w:top w:val="single" w:sz="8" w:color="CCEEFF"/>
            </w:tcBorders>
            <w:shd w:val="clear" w:color="auto" w:fill="CCEEFF"/>
          </w:tcPr>
          <w:p>
            <w:pPr>
              <w:ind w:left="440"/>
              <w:spacing w:after="0" w:line="156" w:lineRule="exact"/>
              <w:rPr>
                <w:sz w:val="20"/>
                <w:szCs w:val="20"/>
                <w:color w:val="auto"/>
              </w:rPr>
            </w:pPr>
            <w:r>
              <w:rPr>
                <w:rFonts w:ascii="Times New Roman" w:cs="Times New Roman" w:eastAsia="Times New Roman" w:hAnsi="Times New Roman"/>
                <w:sz w:val="18"/>
                <w:szCs w:val="18"/>
                <w:color w:val="auto"/>
              </w:rPr>
              <w:t>Net cash (used in) provided by investing</w:t>
            </w: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(306,138)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(308,378)</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securitization program</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(243,856)</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0" w:type="dxa"/>
            <w:vAlign w:val="bottom"/>
          </w:tcPr>
          <w:p>
            <w:pPr>
              <w:spacing w:after="0"/>
              <w:rPr>
                <w:sz w:val="1"/>
                <w:szCs w:val="1"/>
                <w:color w:val="auto"/>
              </w:rPr>
            </w:pPr>
          </w:p>
        </w:tc>
      </w:tr>
      <w:tr>
        <w:trPr>
          <w:trHeight w:val="155"/>
        </w:trPr>
        <w:tc>
          <w:tcPr>
            <w:tcW w:w="4020" w:type="dxa"/>
            <w:vAlign w:val="bottom"/>
            <w:tcBorders>
              <w:top w:val="single" w:sz="8" w:color="CCEEFF"/>
            </w:tcBorders>
            <w:shd w:val="clear" w:color="auto" w:fill="CCEEFF"/>
          </w:tcPr>
          <w:p>
            <w:pPr>
              <w:ind w:left="540"/>
              <w:spacing w:after="0" w:line="156" w:lineRule="exact"/>
              <w:rPr>
                <w:sz w:val="20"/>
                <w:szCs w:val="20"/>
                <w:color w:val="auto"/>
              </w:rPr>
            </w:pPr>
            <w:r>
              <w:rPr>
                <w:rFonts w:ascii="Times New Roman" w:cs="Times New Roman" w:eastAsia="Times New Roman" w:hAnsi="Times New Roman"/>
                <w:sz w:val="18"/>
                <w:szCs w:val="18"/>
                <w:color w:val="auto"/>
              </w:rPr>
              <w:t>Net cash (used in) provided by financing</w:t>
            </w: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0" w:type="dxa"/>
            <w:vAlign w:val="bottom"/>
          </w:tcPr>
          <w:p>
            <w:pPr>
              <w:spacing w:after="0"/>
              <w:rPr>
                <w:sz w:val="1"/>
                <w:szCs w:val="1"/>
                <w:color w:val="auto"/>
              </w:rPr>
            </w:pPr>
          </w:p>
        </w:tc>
      </w:tr>
      <w:tr>
        <w:trPr>
          <w:trHeight w:val="155"/>
        </w:trPr>
        <w:tc>
          <w:tcPr>
            <w:tcW w:w="402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in cash and cash</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Six Months Ended June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(increase) in intercompany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note offering</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Payment on accounts receivable securitization</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securitization program</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of senior notes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(256,175)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(283,388)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268,268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in cash and cash</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2021 Combined Form 10-K filed on February 25, 2022, and as such risk factors may be further updated or supplemented, from time to time, in our future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and six months ended June 30, 2022 and 2021. This discussion should be read in conjunction with the consolidated financial statements of the Company and the related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 </w:t>
      </w:r>
      <w:r>
        <w:rPr>
          <w:rFonts w:ascii="Times New Roman" w:cs="Times New Roman" w:eastAsia="Times New Roman" w:hAnsi="Times New Roman"/>
          <w:sz w:val="18"/>
          <w:szCs w:val="18"/>
          <w:i w:val="1"/>
          <w:iCs w:val="1"/>
          <w:color w:val="auto"/>
        </w:rPr>
        <w:t>Sources of Cash</w:t>
      </w:r>
      <w:r>
        <w:rPr>
          <w:rFonts w:ascii="Times New Roman" w:cs="Times New Roman" w:eastAsia="Times New Roman" w:hAnsi="Times New Roman"/>
          <w:sz w:val="18"/>
          <w:szCs w:val="18"/>
          <w:color w:val="auto"/>
        </w:rPr>
        <w:t>” for more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six months ended June 30, 2022, the Company completed over 40 acquisitions for a total cash purchase price of approximately $234.3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six months ended June 30, 2022 and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1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Billboard — traditional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w:t>
            </w:r>
          </w:p>
        </w:tc>
      </w:tr>
      <w:tr>
        <w:trPr>
          <w:trHeight w:val="23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 digital</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41,954</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22,701</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3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30"/>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equipment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2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41,416</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Umbrella Partnership Real Estate Investment Trust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announced, on July 1, 2022, the Company completed a tax reorganization to a specific type of REIT known as an Umbrella Partnership Real Estate Investment Trust ("UPREIT"). The UPREIT structure allows property owners of appreciated properties to contribute property to the operating partnership of the REIT, on a tax-deferred basis, in exchange for a partnership interest in the form of operating partnership units. This reorganization is not expected to have any material impact on the Company's combined financial statements or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investees, loss (gain) on extinguishment of debt and investments, stock-based compensation, depreciation and amortization, loss (gain) on disposition of assets and investments, transaction expenses and capitalized contract fulfillment costs, net.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w:t>
      </w:r>
    </w:p>
    <w:p>
      <w:pPr>
        <w:spacing w:after="0" w:line="27"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portion of tax expense (benefit); (v) non-real estate related depreciation and amortization; (vi) amortization of deferred financing costs;</w:t>
      </w:r>
    </w:p>
    <w:p>
      <w:pPr>
        <w:spacing w:after="0" w:line="9" w:lineRule="exact"/>
        <w:rPr>
          <w:rFonts w:ascii="Times New Roman" w:cs="Times New Roman" w:eastAsia="Times New Roman" w:hAnsi="Times New Roman"/>
          <w:sz w:val="18"/>
          <w:szCs w:val="18"/>
          <w:color w:val="auto"/>
        </w:rPr>
      </w:pPr>
    </w:p>
    <w:p>
      <w:pPr>
        <w:ind w:right="20" w:firstLine="8"/>
        <w:spacing w:after="0" w:line="260" w:lineRule="auto"/>
        <w:tabs>
          <w:tab w:leader="none" w:pos="3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(viii) transactions expenses; (ix) non-recurring infrequent or unusual losses (gains); (x) less maintenance capital expenditures; and (xi) an adjustment for unconsolidated affiliates and non-controlling interest.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w:t>
      </w:r>
    </w:p>
    <w:p>
      <w:pPr>
        <w:spacing w:after="0" w:line="5" w:lineRule="exact"/>
        <w:rPr>
          <w:sz w:val="20"/>
          <w:szCs w:val="20"/>
          <w:color w:val="auto"/>
        </w:rPr>
      </w:pPr>
    </w:p>
    <w:p>
      <w:pPr>
        <w:jc w:val="both"/>
        <w:ind w:firstLine="8"/>
        <w:spacing w:after="0" w:line="252" w:lineRule="auto"/>
        <w:tabs>
          <w:tab w:leader="none" w:pos="2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$153.3 million or 18.8% to $969.2 million for the six months ended June 30, 2022 from $815.9 million for the same period in 2021. This increase was primarily attributable to an increase in billboard net revenues of $126.2 million, an increase in transit net revenues of $25.7 million, and an increase in logo net revenues of $1.4 million over the same period in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there was a $127.0 million increase in net revenues as compared to acquisition-adjusted net revenue for the six months ended June 30, 2021, which represents an increase of 15.1%. See “Reconciliations” below. The $127.0 million increase in revenue is primarily due to an increase of $102.6 million in billboard net revenues as well as an increase in transit net revenues of $23.2 million over the same period in 2021.</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$89.3 million, or 19.5%, to $547.8 million for the six months ended June 30, 2022 from $458.5 million for the same period in 2021. The $89.3 million increase over the prior year is comprised of a $85.9 million increase in total direct, general and administrative and corporate expenses (excluding stock-based compensation and transaction expenses) primarily related to the operations of our outdoor advertising assets, as well as a $3.7 million increase in transaction expenses related to acquisitions and the write-off of deferred offering costs, offset by a $0.2 million decrease in stock-based compensation.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$15.0 million to $136.4 million for the six months ended June 30, 2022 as compared to $121.4 million for the same period in 2021. The increase is primarily due to acquisitions and capital expenditures that occurred during 2021 and the first half of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Company recognized a gain on disposition of assets of $1.9 million primarily resulting from transactions related to the sale of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$49.1 million to $287.0 million for the six months ended June 30, 2022 as compared to $237.9 million for the same period in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2021, the Company recognized a loss on debt extinguishment of $21.6 million related to the early repayment of our 5 3/4% Senior Notes during the period. There was no loss on debt extinguishment during the six months ended June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$1.8 million for the six months ended June 30, 2022 to $56.3 million as compared to $54.5 million for the six months ended June 30,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$1.1 million for the six months ended June 30, 2022 as a result of investments that occurred in July of 2021. There was no equity in earnings of investee for the six months ended June 30,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and the decrease in loss on extinguishment of debt, offset by the increase in interest expense, resulted in a $70.1 million increase in net income before income taxes. The effective tax rate for the six months ended June 30, 2022 was 2.5%,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six months ended June 30, 2022 of $226.4 million, as compared to net income of $157.9 million for the same period in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six months ended June 30, 2021 by adding to or subtracting from it the net revenue generated by the acquired or divested assets prior to our acquisition or divestiture of these assets for the same time frame that those assets were owned in the six months ended June 30,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six months ended June 30, as well as a comparison of 2021 acquisition-adjusted net revenue to 2022 reported net revenue for the six months ended June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13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969,240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815,933</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26,262</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969,240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842,195</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3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28"/>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226,356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365,948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six months ended June 30, 2022 increased 18.8% to $434.6 million. The increase in adjusted EBITDA was primarily attributable to an increase in our gross margin (net revenue less direct advertising expense, exclusive of depreciation and amortization and capitalized contract fulfillment costs, net) of $99.3 million, offset by an increase in total general and administrative and corporate expenses of $33.0 million, excluding the impact of stock-based compensation expense and transaction expenses.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10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58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13"/>
              <w:spacing w:after="0" w:line="12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1"/>
                <w:szCs w:val="11"/>
                <w:color w:val="auto"/>
              </w:rPr>
            </w:pPr>
          </w:p>
        </w:tc>
        <w:tc>
          <w:tcPr>
            <w:tcW w:w="14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AFFO</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for the six months ended June 30, 2022 increased from $272.2 million in 2021 to $353.9 million for the same period in 2022, an increase of 30.0%. AFFO for the six months ended June 30, 2022 increased 18.4% to $348.8 million as compared to $294.5 million for the same period in 2021.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 effect of stock-based compensation expense and transaction expenses) and capital expenditures related to the maintenance of our advertising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$72.8 million or 16.4% to $517.9 million for the three months ended June 30, 2022 from $445.1 million for the same period in 2021. This increase was primarily attributable to an increase in billboard net revenues of $58.5 million, an increase in transit net revenues of $13.2 million, and an increase in logo net revenues of $1.1 million over the same period in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there was a $56.3 million increase in net revenues as compared to acquisition-adjusted net revenue for the three months ended June 30, 2021, which represents an increase of 12.2%. See "Reconciliations" below. The $56.3 million increase in revenue is primarily due to an increase of $43.5 million in billboard net revenues as well as an increase in transit net revenues of $11.9 million over the same period in 2021.</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$48.0 million, or 20.3%, to $285.0 million for the three months ended June 30, 2022 from $236.9 million for the same period in 2021. The $48.0 million increase over the prior year is comprised of a $42.7 million increase in total direct, general and administrative and corporate expenses (excluding stock-based compensation and transaction expenses) primarily related to the operations of our outdoor advertising assets, as well as a $1.7 million increase in stock-based compensation and a $3.7 million increase in transaction expenses related to acquisitions and the write-off of deferred offering costs.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$7.1 million to $67.8 million for the three months ended June 30, 2022 as compared to $60.6 million for the same period in 2021. The increase is primarily due to acquisitions and capital expenditures that occurred during 2021 and the first half of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the Company recognized a gain on disposition of assets of $1.4 million primarily resulting from transactions related to the sale of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$17.5 million to $166.5 million for the three months ended June 30, 2022 as compared to $149.0 million for the same period in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$3.1 million for the three months ended June 30, 2022 to $29.5 million as compared to $26.4 million for the three months ended June 30,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$0.4 million for the three months ended June 30, 2022 as a result of investments that occurred in July of 2021. There was no equity in earnings of investee for the three months ended June 30,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$14.8 million increase in net income before income taxes. The effective tax rate for the three months ended June 30, 2022 was 2.5%, which differs from the federal statutory rate primarily due to our qualification for taxation as a REIT and adjustments for foreign items.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June 30, 2022 of $134.2 million, as compared to net income of $119.6 million for the same period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three months ended June 30, 2021 by adding to or subtracting from it the net revenue generated by the acquired or divested assets prior to our acquisition or divestiture of these assets for the same time frame that those assets were owned in the three months ended June 30,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three months ended June 30, as well as a comparison of 2021 acquisition-adjusted net revenue to 2022 reported net revenue for the three months ended June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5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517,852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48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461,513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June 30, 2022 increased 14.0% to $243.4 million. The increase in adjusted EBITDA was primarily attributable to an increase in our gross margin (net revenue less direct advertising expense, exclusive of depreciation and amortization and capitalized contract fulfillment costs, net) of $46.8 million, offset by an increase in total general and administrative and corporate expenses of $16.4 million, excluding the impact of stock-based compensation expense and transaction expenses.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for the three months ended June 30, 2022 increased from $176.2 million in 2021 to $197.6 million for the same period in 2022, an increase of 12.1%. AFFO for the three months ended June 30, 2022 increased 10.7% to $196.9 million as compared to $177.8 million for the same period in 2021.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 effect of stock-based compensation expense and transaction expenses) and capital expenditures related to the maintenance of our advertising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June 30, 2022 we had $496.3 million of total liquidity, which is comprised of $91.7 million in cash and cash equivalents, $403.6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availability under the revolving portion of Lamar Media’s senior credit facility and $1.0 million of availability under the Accounts Receivable Securitization Program.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Company had a working capital deficit of $251.3 million and $274.4 million, respectively. The decrease in working capital deficit of $23.0 million is primarily due to increases in cash and cash equivalents and receivables, net, offset by an increase in current maturities of long-term debt as of June 30, 2022.</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Cash Generated by Operations</w:t>
      </w:r>
      <w:r>
        <w:rPr>
          <w:rFonts w:ascii="Times New Roman" w:cs="Times New Roman" w:eastAsia="Times New Roman" w:hAnsi="Times New Roman"/>
          <w:sz w:val="18"/>
          <w:szCs w:val="18"/>
          <w:color w:val="auto"/>
        </w:rPr>
        <w:t>. For the six months ended June 30, 2022 and 2021, our cash provided by operating activities was $312.6 million and $285.3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in cash provided by operating activities for the six months ended June 30, 2022 over the same period in 2021 primarily relates to an increase in revenues of $153.3 million offset by an increase in operating expenses (excluding stock-based compensation, gain on disposition of assets, and depreciation and amortization) of $89.5 million. We expect to generate cash flows from operations during 2022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Secured Overnight Financing Rate ("SOFR") based interest rate mechanics for the Accounts Receivable Securitization Program.</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June 30, 2022, there was $240.0 million in outstanding aggregate borrowings under the Accounts Receivable Securitization Program. Based on the availability of eligible accounts, Lamar Media had $1.0 million of unused availability under the Accounts Receivable Securitization Program as of June 30, 2022. The Accounts Receivable Securitization Program will mature on July 21, 2025.</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May 1, 2018, the Company entered into an equity distribution agreement (the “Sales Agreement”) with J.P.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Morgan Securities LLC, Wells Fargo Securities LLC and SunTrust Robinson Humphrey, Inc. as our sales agents. Under the terms of the Sales Agreement, the Company could have, from time to time, issued and sold shares of its Class A common stock, having an aggregate offering price of up to $400.0 million through the sales agents as either agents or principals. The Sales Agreement expired by its terms on May 1, 2021. The Company did not issue any shares under this program in 2021.</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June 30, 2022.</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Shelf Registration Statement</w:t>
      </w:r>
      <w:r>
        <w:rPr>
          <w:rFonts w:ascii="Times New Roman" w:cs="Times New Roman" w:eastAsia="Times New Roman" w:hAnsi="Times New Roman"/>
          <w:sz w:val="18"/>
          <w:szCs w:val="18"/>
          <w:b w:val="1"/>
          <w:bCs w:val="1"/>
          <w:color w:val="222222"/>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21, 2021, the Company filed a new automatically effective shelf registration statement that allows Lamar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offer and sell an indeterminate amount of additional shares of its Class A common stock. During the six months ended June 30, 2022 and the year ended December 31, 2021, the Company did not issue any shares under either shelf registration.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On February 6, 2020, Lamar Media entered into a Fourth Amended and Restated Credit Agreement (the “Fourth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(the “senior credit facility”), consists of (i) a $750.0 million senior secured revolving credit facility which will mature on February 6, 2025 (the “revolving credit facility”), (ii) a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aggregate balance outstanding under the senior credit facility was $935.0 million, consisting of $600.0 million in Term B loans aggregate principal balance and $335.0 million in outstanding borrowings under our revolving credit facility. Lamar Media had approximately $403.6 million of unused capacity under the revolving credit facility.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2022, Lamar Media entered into a new $350.0 million Senior Secured Term Loan A loan (the “Term A loans”) agreement. The Term A loans are an incremental tranche under the Fourth Amended and Restated Credit Agreement and will mature February 6, 2025. The Term A loans bear interest at Term SOFR plus 1.25% and a credit spread adjustment of 0.10%. The covenants, events of default and other terms of the senior credit facility apply to the Term A loans. Proceeds from the Term A loans were used to repay outstanding balances on the revolving credit facility and a portion of the outstanding balance on our Accounts Receivable Securitization Program. Subsequent to the repayments, and currently, we have no balances outstanding under our revolving credit facility and $170.0 million outstanding on our Accounts Receivable Securitization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 conditions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where the Company conducts its business and overall spending on advertising by advertisers. We expect to generate cash flows from operations during 2022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 its outstanding debt securities and its Accounts Receivable Securitization Program.</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to incur indebtedness pursuant to the following baskets:</w:t>
      </w:r>
    </w:p>
    <w:p>
      <w:pPr>
        <w:spacing w:after="0" w:line="99"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 facility.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June 30, 2022 we were, and currently, we are, in compliance with all such tests under the senior credit facility.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Times New Roman" w:cs="Times New Roman" w:eastAsia="Times New Roman" w:hAnsi="Times New Roman"/>
          <w:sz w:val="18"/>
          <w:szCs w:val="18"/>
          <w:i w:val="1"/>
          <w:iCs w:val="1"/>
          <w:color w:val="auto"/>
        </w:rPr>
        <w:t>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Cash – Accounts Receivable Securitization Program</w:t>
      </w:r>
      <w:r>
        <w:rPr>
          <w:rFonts w:ascii="Times New Roman" w:cs="Times New Roman" w:eastAsia="Times New Roman" w:hAnsi="Times New Roman"/>
          <w:sz w:val="18"/>
          <w:szCs w:val="18"/>
          <w:color w:val="auto"/>
        </w:rPr>
        <w:t>)) 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w:t>
      </w:r>
    </w:p>
    <w:p>
      <w:pPr>
        <w:jc w:val="both"/>
        <w:ind w:firstLine="8"/>
        <w:spacing w:after="0" w:line="251" w:lineRule="auto"/>
        <w:tabs>
          <w:tab w:leader="none" w:pos="2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will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us, and our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us or any of our restricted subsidiaries, and (b) the income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$75.8 million for the six months ended June 30, 2022.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our 2022 total capital expenditures to be approximately $170.0 million.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six months ended June 30, 2022, the Company completed acquisitions for an aggregate purchase price of approximately $234.3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which were financed using available cash on hand and borrowings on the Accounts Receivable Securitization Program and revolving credit facility.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4, 2022, the Company acquired Burkhart Advertising Inc. which includes more than 1,500 billboard structures and 3,200 billboard faces, including 23 digital displays. The acquisition was funded with a combination of cash on hand and borrowings under our revolving credit facility.</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24, 2022, the Company's Board of Directors declared a quarterly cash dividend of $1.10 per share, paid on March 31, 2022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record of its Class A common stock and Class B common stock on March 21, 2022. On May 19, 2022, the Company's Board of Directors declared a quarterly cash dividend of $1.20 per share, paid on June 30, 2022 to its stockholders of record of its Class A common stock and Class B common stock on June 20, 2022. Subject to approval of the Company's Board of Directors, the Company expects aggregate quarterly distributions to stockholders in 2022 will be $4.70 per common share, including the dividend paid on June 30, 2022.</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Special Purpose Acquisition Company. </w:t>
      </w:r>
      <w:r>
        <w:rPr>
          <w:rFonts w:ascii="Times New Roman" w:cs="Times New Roman" w:eastAsia="Times New Roman" w:hAnsi="Times New Roman"/>
          <w:sz w:val="17"/>
          <w:szCs w:val="17"/>
          <w:color w:val="auto"/>
        </w:rPr>
        <w:t>On April 6, 2021, Lamar Partnering Corporation (“LPC”), a newly formed special purpose acquisition company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 wholly-owned subsidiary of the Company, filed a Registration Statement on Form S-1, with the Securities and Exchange Commission (the "SEC"). On June 21, 2022, LPC filed its request to withdraw its registration statement with the SEC. In conjunction with the withdrawn offering, the Company incurred a transaction expense of $1.1 million for the write-off of deferred offering costs incurred on behalf of LPC's registration statement. The $1.1 million in expenses are included in Corporate expenses in our Condensed Consolidated Statement of Income and Comprehensive Income at June 30, 2022.</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On March 16, 2020, the Company’s Board of Directors authorized the repurchase of up to $250.0 million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On September 20, 2021, the Board of Directors authorized the extension of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repurchase program through March 31, 2023. There were no repurchases under the program as of June 30, 2022. The Company’s management may opt not to make any repurchases under the program, or may make aggregate purchases less than the total amount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three months ended June 30, 2022 and thereafter are comprised of contractual obligations, required annual distributions and other opportunistic expenditures.</w:t>
      </w:r>
    </w:p>
    <w:p>
      <w:pPr>
        <w:spacing w:after="0" w:line="5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required payments under operating and financing leases as of June 30, 2022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Debt maturities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r>
      <w:tr>
        <w:trPr>
          <w:trHeight w:val="229"/>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Interest obligations on long-term debt</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5,094.2</w:t>
            </w:r>
          </w:p>
        </w:tc>
      </w:tr>
      <w:tr>
        <w:trPr>
          <w:trHeight w:val="21"/>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w:t>
      </w:r>
    </w:p>
    <w:p>
      <w:pPr>
        <w:spacing w:after="0" w:line="2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June 2022 levels.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Required Annual Distributions</w:t>
      </w:r>
      <w:r>
        <w:rPr>
          <w:rFonts w:ascii="Times New Roman" w:cs="Times New Roman" w:eastAsia="Times New Roman" w:hAnsi="Times New Roman"/>
          <w:sz w:val="18"/>
          <w:szCs w:val="18"/>
          <w:color w:val="auto"/>
        </w:rPr>
        <w:t>. As a REIT, the Company must annually distribute to its stockholders an amount equal to at least 90% of its REIT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(determined before the deduction for distributed earnings and excluding any net capital gain). On February 24, 2022, the Company's Board of Directors approved a dividend of $1.10 per common share, paid on March 31, 2022. On May 19, 2022, the Company's Board of Directors approved a dividend of $1.20 per common share, paid on June 30, 2022. Our Board of Directors will continue to evaluate future dividends in order to continue to satisfy the requirements needed to maintain our REIT status.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Opportunistic Expenditures</w:t>
      </w:r>
      <w:r>
        <w:rPr>
          <w:rFonts w:ascii="Times New Roman" w:cs="Times New Roman" w:eastAsia="Times New Roman" w:hAnsi="Times New Roman"/>
          <w:sz w:val="18"/>
          <w:szCs w:val="18"/>
          <w:color w:val="auto"/>
        </w:rPr>
        <w:t>. As part of our capital allocation strategy, we plan to continue to allocate our available capital among investment alternatives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$27.4 million from $285.3 million for the six months ended June 30, 2021 to $312.6 million for the three months ended June 30, 2022, primarily resulting from an increase in revenues of $153.3 million offset by an increase in operating expenses (excluding stock-based compensation, gain on disposition of assets, and depreciation and amortization) of $89.5 million, as compared to the comparable period in 2021.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increased $243.7 million from $64.7 million for the six months ended June 30, 2021 to $308.4 million for the six months ended June 30, 2022 primarily due to a net increase in the amount of assets acquired through acquisitions, investments and capital expenditures of $241.4 million, as compared to the same period in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flows used in financing activities were $12.3 million for the six months ended June 30, 2022 as compared to $273.6 million for the six months ended June 30, 2021. This decrease in cash used in financing activities of $261.4 million for the six months ended June 30, 2022 is primarily due to financing transactions that occurred during 2021, offset by an increase in cash paid for dividends and distributions in 2022 over the comparable period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2021 Combined Form 10-K.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and Regulatory Update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14, "New Accounting Pronouncements" to our condensed consolidated financial statements included in Part 1, Item 1 of this report for a discussion of our Accounting Standards and Regulatory Update.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and six months ended June 30, 2022 and 2021. This discussion should be read in conjunction with the consolidated financial statements of Lamar Media and the related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$153.3 million or 18.8% to $969.2 million for the six months ended June 30, 2022 from $815.9 million for the same period in 2021. This increase was primarily attributable to an increase in billboard net revenues of $126.2 million, an increase in transit net revenues of $25.7 million, and an increase in logo net revenues of $1.4 million over the same period in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there was a $127.0 million increase in net revenues as compared to acquisition-adjusted net revenue for the six months ended June 30, 2021, which represents an increase of 15.1%. See “Reconciliations” below. The $127.0 million increase in revenue is primarily due to an increase of $102.6 million in billboard net revenues as well as an increase in transit net revenues of $23.2 million over the same period in 2021.</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$89.6 million, or 19.6%, to $547.6 million for the six months ended June 30, 2022 from $458.0 million for the same period in 2021. The $89.6 million increase over the prior year is comprised of a $86.2 million increase in total direct, general and administrative and corporate expenses (excluding stock-based compensation and transaction expenses) primarily related to the operations of our outdoor advertising assets, as well as a $3.7 million increase in transaction expenses related to acquisitions and the write-off of deferred offering costs, offset by a $0.2 million decrease in stock-based compensation.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$15.0 million to $136.4 million for the six months ended June 30, 2022 as compared to $121.4 million for the same period in 2021. The increase is primarily due to acquisitions and capital expenditures that occurred during 2021 and the first half of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Lamar Media recognized a gain on disposition of assets of $1.9 million, primarily resulting from transactions related to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$48.7 million to $287.2 million for the six months ended June 30, 2022 as compared to $238.5 million for the same period in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2021, Lamar Media recognized a loss on debt extinguishment of $21.6 million related to the early repayment of our 5 3/4% Senior Notes during the period. There was no loss on debt extinguishment during the six months ended June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$1.8 million for the six months ended June 30, 2022 to $56.3 million as compared to $54.5 million for the six months ended June 30,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$1.1 million for the six months ended June 30, 2022 as a result of investments that occurred in July of 2021. There was no equity in earnings of investee for the six months ended June 30,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and the decrease in loss on extinguishment of debt, offset by the increase in interest expense, resulted in a $69.8 million increase in net income before income taxes. The effective tax rate for the six months ended June 30, 2022 was 2.5%, which differs from the federal statutory rate primarily due to our qualification for taxation as a REIT and adjustments for foreign items.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six months ended June 30, 2022 of $226.6 million, as compared to net income of $158.5 million for the same period in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six months ended June 30, 2021 by adding to or subtracting from it the net revenue generated by the acquired or divested assets prior to our acquisition or divestiture of these assets for the same time frame that those assets were owned in the six months ended June 30,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six months ended June 30, as well as a comparison of 2021 acquisition-adjusted net revenue to 2022 reported net revenue for the six months ended June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13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969,240</w:t>
            </w:r>
          </w:p>
        </w:tc>
        <w:tc>
          <w:tcPr>
            <w:tcW w:w="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815,933</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26,262</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969,240</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842,195</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4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44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28"/>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six months ended June 30, 2022 increased 18.6% to $434.9 million. The increase in adjusted EBITDA was primarily attributable to an increase in our gross margin (net revenue less direct advertising expense, exclusive of depreciation and amortization and capitalized contract fulfillment costs, net) of $99.3 million, offset by an increase in total general and administrative and corporate expenses of $33.3 million, excluding the impact of stock-based compensation expense and transaction expenses.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10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55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vMerge w:val="continue"/>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3"/>
              <w:spacing w:after="0" w:line="12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1"/>
                <w:szCs w:val="11"/>
                <w:color w:val="auto"/>
              </w:rPr>
            </w:pPr>
          </w:p>
        </w:tc>
        <w:tc>
          <w:tcPr>
            <w:tcW w:w="14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190"/>
        </w:trPr>
        <w:tc>
          <w:tcPr>
            <w:tcW w:w="5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for unconsolidated affiliates and</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for the six months ended June 30, 2022 increased from $272.8 million in 2021 to $354.1 million for the same period in 2022, an increase of 29.8%. AFFO for the six months ended June 30, 2022 increased 18.3% to $349.0 million as compared to $295.1 million for the same period in 2021. The increase in AFFO was primarily attributable to an increase in our gross margin (net revenue less direct advertising expense, exclusive of depreciation and amortization and capitalized contract fulfillment costs, net) offset by an increase in total general and administrative and corporate expenses (excluding the effect of stock-based compensation expense and transaction expenses) and capital expenditures related to the maintenance of our advertising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increased $72.8 million or 16.4% to $517.9 million for the three months ended June 30, 2022 from $445.1 million for the same period in 2021. This increase was primarily attributable to an increase in billboard net revenues of $58.5 million, an increase in transit net revenues of $13.2 million, and an increase in logo net revenues of $1.1 million over the same period in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there was a $56.3 million increase in net revenues as compared to acquisition-adjusted net revenue for the three months ended June 30, 2021, which represents an increase of 12.2%. See "Reconciliations" below. The $56.3 million increase in revenue is primarily due to an increase of $43.5 million in billboard net revenues as well as an increase in transit net revenues of $11.9 million over the same period in 2021.</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$48.4 million, or 20.4%, to $284.9 million for the three months ended June 30, 2022 from $236.5 million for the same period in 2021. The $48.4 million increase over the prior year is comprised of a $43.0 million increase in total direct, general and administrative and corporate expenses (excluding stock-based compensation and transaction expenses) primarily related to the operations of our outdoor advertising assets, as well as a $1.7 million increase in stock-based compensation and a $3.7 million increase in transaction expenses related to acquisitions and the write-off of deferred offering costs.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$7.1 million to $67.8 million for the three months ended June 30, 2022 as compared to $60.6 million for the same period in 2021. The increase is primarily due to acquisitions and capital expenditures that occurred during 2021 and the first half of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Lamar Media recognized a gain on disposition of assets of $1.4 million, primarily resulting from transactions related to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$17.2 million to $166.6 million for the three months ended June 30, 2022 as compared to $149.4 million for the same period in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$3.1 million for the three months ended June 30, 2022 to $29.5 million as compared to $26.4 million for the three months ended June 30,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$0.4 million for the three months ended June 30, 2022 as a result of investments that occurred in July of 2021. There was no equity in earnings of investee for the three months ended June 30,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$14.5 million increase in net income before income taxes. The effective tax rate for the three months ended June 30, 2022 was 2.5%,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June 30, 2022 of $134.3 million, as compared to net income of $120.0 million for the same period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three months ended June 30, 2021 by adding to or subtracting from it the net revenue generated by the acquired or divested assets prior to our acquisition or divestiture of these assets for the same time frame that those assets were owned in the three months ended June 30,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three months ended June 30, as well as a comparison of 2021 acquisition -adjusted net revenue to 2022 reported net revenue for the three months ended June 30,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5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517,852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48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461,513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June 30, 2022 increased 13.8% to $243.5 million. The increase in adjusted EBITDA was primarily attributable to an increase in our gross margin (net revenue less direct advertising expense, exclusive of depreciation and amortization and capitalized contract fulfillment costs, net) of $46.8 million, offset by an increase in total general and administrative and corporate expenses of $16.8 million, excluding the impact of stock-based compensation expense and transaction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7"/>
                <w:szCs w:val="17"/>
                <w:color w:val="auto"/>
              </w:rPr>
            </w:pP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for the three months ended June 30, 2022 increased from $176.6 million in 2021 to $197.7 million for the same period in 2022, an increase of 11.9%. AFFO for the three months ended June 30, 2022 increased 10.5% to $197.0 million as compared to $178.2 million for the same period in 2021. The increase in AFFO was primarily attributable to an increase in our gross margin (net revenue less direct advertising expense, exclusive of depreciation and amortization and capitalized contract fulfillment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net) offset by an increase in total general and administrative and corporate expenses (excluding the effect of stock-based compensation expense and transaction expenses) and capital expenditures related to the maintenance of our advertising assets.</w:t>
      </w:r>
    </w:p>
    <w:p>
      <w:pPr>
        <w:spacing w:after="0" w:line="266"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Lamar Advertising Company and Lamar Media Corp.</w:t>
      </w:r>
    </w:p>
    <w:p>
      <w:pPr>
        <w:jc w:val="both"/>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June 30, 2022, and should be read in conjunction with Note 11 of the Notes to the Company’s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2022 there was approximately $1.17 billion of indebtedness outstanding under the senior credit facility and the Accounts Receivable Securitization Program, or approximately 35.8% of the Company’s outstanding long-term debt on that date, bearing interest at variable rates. The aggregate interest expense for 2022 with respect to borrowings under the senior credit facility and the Accounts Receivable Securitization Program was $10.1 million, and the weighted average interest rate applicable to these borrowings during 2022 was 2.0%. Assuming that the weighted average interest rate was 200 basis points higher (that is 4.0% rather than 2.0%), then the Company’s 2022 interest expense would have increased by approximately $9.9 million for the six months ended June 30, 2022.</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93" w:lineRule="exact"/>
        <w:rPr>
          <w:sz w:val="20"/>
          <w:szCs w:val="20"/>
          <w:color w:val="auto"/>
        </w:rPr>
      </w:pPr>
    </w:p>
    <w:p>
      <w:pPr>
        <w:ind w:left="200" w:hanging="192"/>
        <w:spacing w:after="0"/>
        <w:tabs>
          <w:tab w:leader="none" w:pos="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2021, which could adversely affect our business, financial condition, results of operations, cash flows, and the trading price of our Class A common stock. Except as stated below, there have been no material changes to our risk factors since our combined Annual Report on Form 10-K for the year ended December 31,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UPREIT structure may result in potential conflicts of interest.</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structured as an “UPREIT,” which stands for “umbrella partnership real estate investment trust.” While limited partners of Lamar Advertising Limited Partnership (the “Operating Partnership”) do not generally have any right to participate in or exercise management power over the business and affairs of the Operating Partnership, they do have the right to vote on certain amendments to the partnership agreement of the Operating Partnership, as well as on certain other matters. Persons holding such voting rights may exercise them in a manner that conflicts with the interests of our stockholders.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partnership agreement of the Operating Partnership provides that, for so long as we own a controlling interest in the Operating Partnership, any conflict that cannot be resolved in a manner not adverse to either our stockholders or the limited partners shall be resolved by the general partner in favor of our stockholders. Circumstances may arise in the future when the interests of limited partners in the Operating Partnership may conflict with the interests of our stockholders.</w:t>
      </w:r>
    </w:p>
    <w:p>
      <w:pPr>
        <w:spacing w:after="0" w:line="298" w:lineRule="exact"/>
        <w:rPr>
          <w:sz w:val="20"/>
          <w:szCs w:val="20"/>
          <w:color w:val="auto"/>
        </w:rPr>
      </w:pPr>
    </w:p>
    <w:p>
      <w:pPr>
        <w:ind w:right="4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780" w:type="dxa"/>
            <w:vAlign w:val="bottom"/>
            <w:gridSpan w:val="29"/>
            <w:vMerge w:val="restart"/>
          </w:tcPr>
          <w:p>
            <w:pPr>
              <w:ind w:left="2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80" w:type="dxa"/>
            <w:vAlign w:val="bottom"/>
            <w:gridSpan w:val="2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180" w:type="dxa"/>
            <w:vAlign w:val="bottom"/>
            <w:tcBorders>
              <w:top w:val="single" w:sz="8" w:color="auto"/>
            </w:tcBorders>
            <w:gridSpan w:val="32"/>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State of Delaware effective as of November 18, 2014. Previously filed as Exhibit 3.1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(File No. 1-36756) filed on November 19, 2014 and incorporated herein by reference.</w:t>
              </w:r>
            </w:hyperlink>
          </w:p>
        </w:tc>
        <w:tc>
          <w:tcPr>
            <w:tcW w:w="3980" w:type="dxa"/>
            <w:vAlign w:val="bottom"/>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180" w:type="dxa"/>
            <w:vAlign w:val="bottom"/>
            <w:gridSpan w:val="32"/>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K (File No. 1-36756) filed on November 19, 2014 and incorporated herein by reference.</w:t>
              </w:r>
            </w:hyperlink>
          </w:p>
        </w:tc>
        <w:tc>
          <w:tcPr>
            <w:tcW w:w="34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10180" w:type="dxa"/>
            <w:vAlign w:val="bottom"/>
            <w:gridSpan w:val="32"/>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Company’s Quarterly Report on Form 10-Q for the period ended March 31, 2007 (File No. 0-30242) filed on May 10, 2007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incorporated herein by reference.</w:t>
              </w:r>
            </w:hyperlink>
          </w:p>
        </w:tc>
        <w:tc>
          <w:tcPr>
            <w:tcW w:w="760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10180" w:type="dxa"/>
            <w:vAlign w:val="bottom"/>
            <w:gridSpan w:val="32"/>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Current Report on Form 8-K (File No. 1-36756) filed on November 19, 2014 and incorporated herein by reference.</w:t>
              </w:r>
            </w:hyperlink>
          </w:p>
        </w:tc>
        <w:tc>
          <w:tcPr>
            <w:tcW w:w="15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10180" w:type="dxa"/>
            <w:vAlign w:val="bottom"/>
            <w:gridSpan w:val="32"/>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the period ended September 30, 1999 (File No. 1-12407) filed on November 12, 1999 and incorporated herein by reference.</w:t>
              </w:r>
            </w:hyperlink>
          </w:p>
        </w:tc>
        <w:tc>
          <w:tcPr>
            <w:tcW w:w="11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June 3, 2022, among Lamar Media, the Guarantors named therein and U.S. Bank</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National Association, as Trustee, dated as of January 22, 2021, relating to Lamar Media’s 3.625%% Senior Notes due 2031. Filed</w:t>
            </w: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June 3, 2022, among Lamar Media, the Guarantors named therein and U.S. Bank</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National Association, as Trustee, dated as of February 6, 2020, relating to Lamar Media’s 3.750% Senior Notes due 2028. Filed</w:t>
            </w: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80" w:type="dxa"/>
            <w:vAlign w:val="bottom"/>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June 3, 2022, among Lamar Media, the Guarantors named therein and U.S. Bank</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National Association, as Trustee, dated as of February 6, 2020, relating to Lamar Media’s 4.000% Senior Notes due 2030. Filed</w:t>
            </w: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80" w:type="dxa"/>
            <w:vAlign w:val="bottom"/>
            <w:tcBorders>
              <w:top w:val="single" w:sz="8" w:color="0000FF"/>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Supplemental Indenture to the Indenture dated as of June 3, 2022, among Lamar Media, the Guarantors named therein and U.S. Bank</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National Association, as Trustee, dated as of May 13, 2020, relating to Lamar Media’s 4.875% Senior Notes due 2029. Filed herewith.</w:t>
            </w:r>
          </w:p>
        </w:tc>
        <w:tc>
          <w:tcPr>
            <w:tcW w:w="2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Joinder Agreement, dated as of June 7, 2022, to the Fourth Amended and Restated Credit Agreement dated as of dated as of February</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6, 2020 (as amended by that certain Amendment No. 1, dated as of July 2, 2021, and as further amended), among Lamar Media, the</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subsidiary borrower party thereto, the subsidiary guarantors party thereto, the lenders party thereto and JPMorgan Chase Bank, N.A., as</w:t>
            </w: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tcBorders>
              <w:bottom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administrative agent, by Lamar Advertising Limited Partnership, Lamar Advertising General Partner, and Sky High Murals-Colossal</w:t>
            </w:r>
          </w:p>
        </w:tc>
        <w:tc>
          <w:tcPr>
            <w:tcW w:w="60" w:type="dxa"/>
            <w:vAlign w:val="bottom"/>
            <w:tcBorders>
              <w:bottom w:val="single" w:sz="8" w:color="0000FF"/>
            </w:tcBorders>
            <w:gridSpan w:val="3"/>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Media, LLC. Filed herewith.</w:t>
            </w:r>
          </w:p>
        </w:tc>
        <w:tc>
          <w:tcPr>
            <w:tcW w:w="8060" w:type="dxa"/>
            <w:vAlign w:val="bottom"/>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80" w:type="dxa"/>
            <w:vAlign w:val="bottom"/>
            <w:gridSpan w:val="32"/>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Sixth Amendment to the Receivables Financing Agreement, dated as of June 24, 2022, among Lamar Media, as Initial Servicer,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SPEs, as Borrowers, and PNC Bank, National Association, as Administrative Agent and a Lender. Previously filed as Exhibit 10.1 to</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the Company’s Current Report on Form 8-K (File No. 1-36756) filed on June 30, 2022 and incorporated herein by reference.</w:t>
              </w:r>
            </w:hyperlink>
          </w:p>
        </w:tc>
        <w:tc>
          <w:tcPr>
            <w:tcW w:w="10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and Lamar Media pursuant to Securities Exchange Act Rules 13a-14(a)</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and 15d-14(a) as adopted pursuant to Section 302 of the Sarbanes-Oxley Act of 2002. Filed herewith.</w:t>
            </w:r>
          </w:p>
        </w:tc>
        <w:tc>
          <w:tcPr>
            <w:tcW w:w="2740" w:type="dxa"/>
            <w:vAlign w:val="bottom"/>
            <w:tcBorders>
              <w:top w:val="single" w:sz="8" w:color="0000FF"/>
            </w:tcBorders>
            <w:gridSpan w:val="19"/>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and Lamar Media pursuant to Securities Exchange Act Rules 13a-14(a) and</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15d-14(a) as adopted pursuant to Section 302 of the Sarbanes-Oxley Act of 2002. Filed herewith.</w:t>
            </w:r>
          </w:p>
        </w:tc>
        <w:tc>
          <w:tcPr>
            <w:tcW w:w="2940" w:type="dxa"/>
            <w:vAlign w:val="bottom"/>
            <w:tcBorders>
              <w:top w:val="single" w:sz="8" w:color="0000FF"/>
            </w:tcBorders>
            <w:gridSpan w:val="15"/>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Filed</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3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380" w:hanging="879"/>
        <w:spacing w:after="0" w:line="216"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June 30, 2022, formatted in Inline XBRL: (i) Condensed Consolidated Balance Sheets, (ii) Condensed Consolidated Statements of Income and Comprehensive Income, (iii) Condensed Consolidated Statements of Stockholders' Equity, (iv) Condensed Consolidated Statements of Cash Flows, and</w:t>
      </w:r>
    </w:p>
    <w:p>
      <w:pPr>
        <w:spacing w:after="0" w:line="1"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Notes to the Condensed Consolidated Financial Statements, tagged as blocks of text and including detailed tags.</w:t>
      </w:r>
    </w:p>
    <w:p>
      <w:pPr>
        <w:spacing w:after="0" w:line="111" w:lineRule="exact"/>
        <w:rPr>
          <w:sz w:val="20"/>
          <w:szCs w:val="20"/>
          <w:color w:val="auto"/>
        </w:rPr>
      </w:pPr>
    </w:p>
    <w:p>
      <w:pPr>
        <w:ind w:left="1380" w:hanging="879"/>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August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August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21"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JANUARY 22, 2021</w:t>
      </w:r>
    </w:p>
    <w:p>
      <w:pPr>
        <w:spacing w:after="0" w:line="200" w:lineRule="exact"/>
        <w:rPr>
          <w:sz w:val="20"/>
          <w:szCs w:val="20"/>
          <w:color w:val="auto"/>
        </w:rPr>
      </w:pPr>
    </w:p>
    <w:p>
      <w:pPr>
        <w:spacing w:after="0" w:line="253" w:lineRule="exact"/>
        <w:rPr>
          <w:sz w:val="20"/>
          <w:szCs w:val="20"/>
          <w:color w:val="auto"/>
        </w:rPr>
      </w:pPr>
    </w:p>
    <w:p>
      <w:pPr>
        <w:jc w:val="both"/>
        <w:ind w:firstLine="277"/>
        <w:spacing w:after="0" w:line="213" w:lineRule="auto"/>
        <w:rPr>
          <w:sz w:val="20"/>
          <w:szCs w:val="20"/>
          <w:color w:val="auto"/>
        </w:rPr>
      </w:pPr>
      <w:r>
        <w:rPr>
          <w:rFonts w:ascii="Times New Roman" w:cs="Times New Roman" w:eastAsia="Times New Roman" w:hAnsi="Times New Roman"/>
          <w:sz w:val="22"/>
          <w:szCs w:val="22"/>
          <w:color w:val="auto"/>
        </w:rPr>
        <w:t>THIS SUPPLEMENTAL INDENTURE dated as of June 3, 2022,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LAMAR ADVERTISING LIMITED PARTNERSHIP, a Delaware limited partnership (“</w:t>
      </w:r>
      <w:r>
        <w:rPr>
          <w:rFonts w:ascii="Times New Roman" w:cs="Times New Roman" w:eastAsia="Times New Roman" w:hAnsi="Times New Roman"/>
          <w:sz w:val="22"/>
          <w:szCs w:val="22"/>
          <w:u w:val="single" w:color="auto"/>
          <w:color w:val="auto"/>
        </w:rPr>
        <w:t>Lamar LP</w:t>
      </w:r>
      <w:r>
        <w:rPr>
          <w:rFonts w:ascii="Times New Roman" w:cs="Times New Roman" w:eastAsia="Times New Roman" w:hAnsi="Times New Roman"/>
          <w:sz w:val="22"/>
          <w:szCs w:val="22"/>
          <w:color w:val="auto"/>
        </w:rPr>
        <w:t>”), LAMAR ADVERTISING GENERAL PARTNER, LLC, a Delaware limited liability company (“</w:t>
      </w:r>
      <w:r>
        <w:rPr>
          <w:rFonts w:ascii="Times New Roman" w:cs="Times New Roman" w:eastAsia="Times New Roman" w:hAnsi="Times New Roman"/>
          <w:sz w:val="22"/>
          <w:szCs w:val="22"/>
          <w:u w:val="single" w:color="auto"/>
          <w:color w:val="auto"/>
        </w:rPr>
        <w:t>Lamar GP</w:t>
      </w:r>
      <w:r>
        <w:rPr>
          <w:rFonts w:ascii="Times New Roman" w:cs="Times New Roman" w:eastAsia="Times New Roman" w:hAnsi="Times New Roman"/>
          <w:sz w:val="22"/>
          <w:szCs w:val="22"/>
          <w:color w:val="auto"/>
        </w:rPr>
        <w:t>”), SKYHIGH MURALS – COLOSSAL MEDIA, LLC, a New York limited liability company (“</w:t>
      </w:r>
      <w:r>
        <w:rPr>
          <w:rFonts w:ascii="Times New Roman" w:cs="Times New Roman" w:eastAsia="Times New Roman" w:hAnsi="Times New Roman"/>
          <w:sz w:val="22"/>
          <w:szCs w:val="22"/>
          <w:u w:val="single" w:color="auto"/>
          <w:color w:val="auto"/>
        </w:rPr>
        <w:t>Colossal</w:t>
      </w:r>
      <w:r>
        <w:rPr>
          <w:rFonts w:ascii="Times New Roman" w:cs="Times New Roman" w:eastAsia="Times New Roman" w:hAnsi="Times New Roman"/>
          <w:sz w:val="22"/>
          <w:szCs w:val="22"/>
          <w:color w:val="auto"/>
        </w:rPr>
        <w:t>” and together with Lamar LP and Lamar GP, collectively, the “</w:t>
      </w:r>
      <w:r>
        <w:rPr>
          <w:rFonts w:ascii="Times New Roman" w:cs="Times New Roman" w:eastAsia="Times New Roman" w:hAnsi="Times New Roman"/>
          <w:sz w:val="22"/>
          <w:szCs w:val="22"/>
          <w:u w:val="single" w:color="auto"/>
          <w:color w:val="auto"/>
        </w:rPr>
        <w:t>New Guarantors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January 22, 2021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3.625%% Senior Notes due 2031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the New Guarantors desire to provide guarantees (the “</w:t>
      </w: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Guarantors are authorized to execute and deliver this Supplemental Indenture; and</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79"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06" w:lineRule="exact"/>
        <w:rPr>
          <w:rFonts w:ascii="Times New Roman" w:cs="Times New Roman" w:eastAsia="Times New Roman" w:hAnsi="Times New Roman"/>
          <w:sz w:val="22"/>
          <w:szCs w:val="22"/>
          <w:color w:val="auto"/>
        </w:rPr>
      </w:pPr>
    </w:p>
    <w:p>
      <w:pPr>
        <w:jc w:val="both"/>
        <w:ind w:firstLine="656"/>
        <w:spacing w:after="0" w:line="220" w:lineRule="auto"/>
        <w:tabs>
          <w:tab w:leader="none" w:pos="114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Each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such New Guarantor had been named as a Guarantor in the Indenture.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Guarantors and the Trustee.</w:t>
      </w:r>
    </w:p>
    <w:p>
      <w:pPr>
        <w:spacing w:after="0" w:line="177"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ectPr>
          <w:pgSz w:w="11900" w:h="16838" w:orient="portrait"/>
          <w:cols w:equalWidth="0" w:num="1">
            <w:col w:w="11240"/>
          </w:cols>
          <w:pgMar w:left="320" w:top="100" w:right="339" w:bottom="1440" w:gutter="0" w:footer="0" w:header="0"/>
        </w:sectPr>
      </w:pPr>
    </w:p>
    <w:bookmarkStart w:id="58" w:name="page59"/>
    <w:bookmarkEnd w:id="58"/>
    <w:p>
      <w:pPr>
        <w:ind w:firstLine="656"/>
        <w:spacing w:after="0" w:line="236" w:lineRule="auto"/>
        <w:tabs>
          <w:tab w:leader="none" w:pos="106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17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7" w:lineRule="exact"/>
        <w:rPr>
          <w:rFonts w:ascii="Times New Roman" w:cs="Times New Roman" w:eastAsia="Times New Roman" w:hAnsi="Times New Roman"/>
          <w:sz w:val="22"/>
          <w:szCs w:val="22"/>
          <w:color w:val="auto"/>
        </w:rPr>
      </w:pPr>
    </w:p>
    <w:p>
      <w:pPr>
        <w:ind w:right="20" w:firstLine="656"/>
        <w:spacing w:after="0" w:line="236" w:lineRule="auto"/>
        <w:tabs>
          <w:tab w:leader="none" w:pos="106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5" w:right="339" w:bottom="1440" w:gutter="0" w:footer="0" w:header="0"/>
        </w:sectPr>
      </w:pPr>
    </w:p>
    <w:bookmarkStart w:id="59" w:name="page60"/>
    <w:bookmarkEnd w:id="59"/>
    <w:p>
      <w:pPr>
        <w:spacing w:after="0" w:line="279" w:lineRule="exact"/>
        <w:rPr>
          <w:sz w:val="20"/>
          <w:szCs w:val="20"/>
          <w:color w:val="auto"/>
        </w:rPr>
      </w:pPr>
    </w:p>
    <w:p>
      <w:pPr>
        <w:ind w:firstLine="285"/>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GUARANTORS:</w:t>
      </w:r>
    </w:p>
    <w:p>
      <w:pPr>
        <w:spacing w:after="0" w:line="1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ind w:left="3240"/>
        <w:spacing w:after="0"/>
        <w:rPr>
          <w:sz w:val="20"/>
          <w:szCs w:val="20"/>
          <w:color w:val="auto"/>
        </w:rPr>
      </w:pPr>
      <w:r>
        <w:rPr>
          <w:rFonts w:ascii="Times New Roman" w:cs="Times New Roman" w:eastAsia="Times New Roman" w:hAnsi="Times New Roman"/>
          <w:sz w:val="22"/>
          <w:szCs w:val="22"/>
          <w:color w:val="auto"/>
        </w:rPr>
        <w:t>SKYHIGH MURALS – COLOSSAL MEDIA, LLC</w:t>
      </w:r>
    </w:p>
    <w:p>
      <w:pPr>
        <w:spacing w:after="0" w:line="182"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sole member</w:t>
      </w:r>
    </w:p>
    <w:p>
      <w:pPr>
        <w:spacing w:after="0" w:line="19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0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0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sole member</w:t>
      </w:r>
    </w:p>
    <w:p>
      <w:pPr>
        <w:spacing w:after="0" w:line="19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7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61" w:name="page62"/>
    <w:bookmarkEnd w:id="61"/>
    <w:p>
      <w:pPr>
        <w:spacing w:after="0" w:line="200" w:lineRule="exact"/>
        <w:rPr>
          <w:sz w:val="20"/>
          <w:szCs w:val="20"/>
          <w:color w:val="auto"/>
        </w:rPr>
      </w:pPr>
    </w:p>
    <w:p>
      <w:pPr>
        <w:spacing w:after="0" w:line="3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COLORADO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KANSAS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MICHIGAN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MINNESOTA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NEBRASKA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NEVADA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MEXICO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OHIO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SOUTH CAROLINA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TENNESSEE LOGOS, LLC</w:t>
      </w:r>
    </w:p>
    <w:p>
      <w:pPr>
        <w:ind w:left="2120"/>
        <w:spacing w:after="0"/>
        <w:rPr>
          <w:sz w:val="20"/>
          <w:szCs w:val="20"/>
          <w:color w:val="auto"/>
        </w:rPr>
      </w:pPr>
      <w:r>
        <w:rPr>
          <w:rFonts w:ascii="Times New Roman" w:cs="Times New Roman" w:eastAsia="Times New Roman" w:hAnsi="Times New Roman"/>
          <w:sz w:val="22"/>
          <w:szCs w:val="22"/>
          <w:color w:val="auto"/>
        </w:rPr>
        <w:t>UTAH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sole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ELECTRICAL,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ADVERTISING OF MICHIGAN,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ADVERTISING OF YOUNGSTOWN,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TLC PROPERTIES,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SOUTH,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SOUTHWEST, LLC</w:t>
      </w:r>
    </w:p>
    <w:p>
      <w:pPr>
        <w:sectPr>
          <w:pgSz w:w="11900" w:h="16838" w:orient="portrait"/>
          <w:cols w:equalWidth="0" w:num="1">
            <w:col w:w="9019"/>
          </w:cols>
          <w:pgMar w:left="1440" w:top="1440" w:right="1440" w:bottom="1440" w:gutter="0" w:footer="0" w:header="0"/>
        </w:sectPr>
      </w:pPr>
    </w:p>
    <w:bookmarkStart w:id="62" w:name="page63"/>
    <w:bookmarkEnd w:id="62"/>
    <w:p>
      <w:pPr>
        <w:spacing w:after="0" w:line="27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LAMAR AIRPORT ADVERTISING COMPANY</w:t>
      </w:r>
    </w:p>
    <w:p>
      <w:pPr>
        <w:ind w:left="2120"/>
        <w:spacing w:after="0"/>
        <w:rPr>
          <w:sz w:val="20"/>
          <w:szCs w:val="20"/>
          <w:color w:val="auto"/>
        </w:rPr>
      </w:pPr>
      <w:r>
        <w:rPr>
          <w:rFonts w:ascii="Times New Roman" w:cs="Times New Roman" w:eastAsia="Times New Roman" w:hAnsi="Times New Roman"/>
          <w:sz w:val="22"/>
          <w:szCs w:val="22"/>
          <w:color w:val="auto"/>
        </w:rPr>
        <w:t>LAMAR PENSACOLA TRANSIT, INC.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63" w:name="page64"/>
    <w:bookmarkEnd w:id="63"/>
    <w:p>
      <w:pPr>
        <w:spacing w:after="0" w:line="200" w:lineRule="exact"/>
        <w:rPr>
          <w:sz w:val="20"/>
          <w:szCs w:val="20"/>
          <w:color w:val="auto"/>
        </w:rPr>
      </w:pPr>
    </w:p>
    <w:p>
      <w:pPr>
        <w:spacing w:after="0" w:line="30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ARIZONA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DELAWARE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GEORGIA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KENTUCKY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LOUISIANA INTERSTATE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MAINE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MISSISSIPPI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MISSOURI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MONTANA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HAMPSHIRE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JERSEY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OKLAHOMA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VIRGINIA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WASHINGTON LOGOS,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64" w:name="page65"/>
    <w:bookmarkEnd w:id="64"/>
    <w:p>
      <w:pPr>
        <w:spacing w:after="0" w:line="200" w:lineRule="exact"/>
        <w:rPr>
          <w:sz w:val="20"/>
          <w:szCs w:val="20"/>
          <w:color w:val="auto"/>
        </w:rPr>
      </w:pPr>
    </w:p>
    <w:p>
      <w:pPr>
        <w:spacing w:after="0" w:line="30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CENTRAL OUTDOOR,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THE LAMAR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right="2039"/>
        <w:spacing w:after="0" w:line="216" w:lineRule="auto"/>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1" w:lineRule="exact"/>
        <w:rPr>
          <w:sz w:val="20"/>
          <w:szCs w:val="20"/>
          <w:color w:val="auto"/>
        </w:rPr>
      </w:pPr>
    </w:p>
    <w:p>
      <w:pPr>
        <w:ind w:left="2120" w:right="2379"/>
        <w:spacing w:after="0" w:line="204" w:lineRule="auto"/>
        <w:rPr>
          <w:sz w:val="20"/>
          <w:szCs w:val="20"/>
          <w:color w:val="auto"/>
        </w:rPr>
      </w:pPr>
      <w:r>
        <w:rPr>
          <w:rFonts w:ascii="Times New Roman" w:cs="Times New Roman" w:eastAsia="Times New Roman" w:hAnsi="Times New Roman"/>
          <w:sz w:val="22"/>
          <w:szCs w:val="22"/>
          <w:color w:val="auto"/>
        </w:rPr>
        <w:t>LAMAR ADVERTISING OF LOUISIANA, L.L.C. LAMAR ADVERTISING OF SOUTH DAKOTA, L.L.C.</w:t>
      </w:r>
    </w:p>
    <w:p>
      <w:pPr>
        <w:ind w:left="2120"/>
        <w:spacing w:after="0" w:line="207" w:lineRule="auto"/>
        <w:rPr>
          <w:sz w:val="20"/>
          <w:szCs w:val="20"/>
          <w:color w:val="auto"/>
        </w:rPr>
      </w:pPr>
      <w:r>
        <w:rPr>
          <w:rFonts w:ascii="Times New Roman" w:cs="Times New Roman" w:eastAsia="Times New Roman" w:hAnsi="Times New Roman"/>
          <w:sz w:val="22"/>
          <w:szCs w:val="22"/>
          <w:color w:val="auto"/>
        </w:rPr>
        <w:t>LAMAR AIR,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FLORIDA,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NORTH,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p>
    <w:p>
      <w:pPr>
        <w:spacing w:after="0" w:line="3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FARMS, L.L.C.</w:t>
      </w:r>
    </w:p>
    <w:p>
      <w:pPr>
        <w:ind w:left="212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Inc.,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GP COMPANY,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ADVANTAGE LP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66" w:name="page67"/>
    <w:bookmarkEnd w:id="66"/>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LAMAR ADVANTAGE OUTDOOR COMPANY, L.P.</w:t>
      </w:r>
    </w:p>
    <w:p>
      <w:pPr>
        <w:spacing w:after="0" w:line="218" w:lineRule="exact"/>
        <w:rPr>
          <w:sz w:val="20"/>
          <w:szCs w:val="20"/>
          <w:color w:val="auto"/>
        </w:rPr>
      </w:pPr>
    </w:p>
    <w:p>
      <w:pPr>
        <w:ind w:left="2340" w:right="2039" w:hanging="215"/>
        <w:spacing w:after="0" w:line="216" w:lineRule="auto"/>
        <w:rPr>
          <w:sz w:val="20"/>
          <w:szCs w:val="20"/>
          <w:color w:val="auto"/>
        </w:rPr>
      </w:pPr>
      <w:r>
        <w:rPr>
          <w:rFonts w:ascii="Times New Roman" w:cs="Times New Roman" w:eastAsia="Times New Roman" w:hAnsi="Times New Roman"/>
          <w:sz w:val="22"/>
          <w:szCs w:val="22"/>
          <w:color w:val="auto"/>
        </w:rPr>
        <w:t>By:</w:t>
      </w:r>
      <w:r>
        <w:rPr>
          <w:sz w:val="20"/>
          <w:szCs w:val="20"/>
          <w:color w:val="auto"/>
        </w:rPr>
        <w:t xml:space="preserve"> </w:t>
      </w:r>
      <w:r>
        <w:rPr>
          <w:rFonts w:ascii="Times New Roman" w:cs="Times New Roman" w:eastAsia="Times New Roman" w:hAnsi="Times New Roman"/>
          <w:sz w:val="22"/>
          <w:szCs w:val="22"/>
          <w:color w:val="auto"/>
        </w:rPr>
        <w:t>Lamar Advantage GP Company, LLC, its General Partner</w:t>
      </w:r>
    </w:p>
    <w:p>
      <w:pPr>
        <w:ind w:left="2120"/>
        <w:spacing w:after="0" w:line="215"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5" w:lineRule="auto"/>
        <w:rPr>
          <w:sz w:val="20"/>
          <w:szCs w:val="20"/>
          <w:color w:val="auto"/>
        </w:rPr>
      </w:pPr>
      <w:r>
        <w:rPr>
          <w:rFonts w:ascii="Times New Roman" w:cs="Times New Roman" w:eastAsia="Times New Roman" w:hAnsi="Times New Roman"/>
          <w:sz w:val="22"/>
          <w:szCs w:val="22"/>
          <w:color w:val="auto"/>
        </w:rPr>
        <w:t>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HOLDING COMPANY</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INVESTMENTS,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SERVICE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67" w:name="page68"/>
    <w:bookmarkEnd w:id="67"/>
    <w:p>
      <w:pPr>
        <w:spacing w:after="0" w:line="200" w:lineRule="exact"/>
        <w:rPr>
          <w:sz w:val="20"/>
          <w:szCs w:val="20"/>
          <w:color w:val="auto"/>
        </w:rPr>
      </w:pPr>
    </w:p>
    <w:p>
      <w:pPr>
        <w:spacing w:after="0" w:line="3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OUTDOOR MARKETING SYSTEMS,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OUTDOOR PROMOTIONS WEST,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68" w:name="page69"/>
    <w:bookmarkEnd w:id="68"/>
    <w:p>
      <w:pPr>
        <w:spacing w:after="0" w:line="200" w:lineRule="exact"/>
        <w:rPr>
          <w:sz w:val="20"/>
          <w:szCs w:val="20"/>
          <w:color w:val="auto"/>
        </w:rPr>
      </w:pPr>
    </w:p>
    <w:p>
      <w:pPr>
        <w:spacing w:after="0" w:line="3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69" w:name="page70"/>
    <w:bookmarkEnd w:id="69"/>
    <w:p>
      <w:pPr>
        <w:spacing w:after="0" w:line="2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Class A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FMG OUTDOOR HOLDINGS, LLC</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70" w:name="page71"/>
    <w:bookmarkEnd w:id="70"/>
    <w:p>
      <w:pPr>
        <w:spacing w:after="0" w:line="2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71" w:name="page72"/>
    <w:bookmarkEnd w:id="71"/>
    <w:p>
      <w:pPr>
        <w:spacing w:after="0" w:line="2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72" w:name="page73"/>
    <w:bookmarkEnd w:id="72"/>
    <w:p>
      <w:pPr>
        <w:spacing w:after="0" w:line="26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MCC OUTDOOR,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MAGIC MEDIA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FMO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OLYMPUS MEDIA/INDIANA,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73" w:name="page74"/>
    <w:bookmarkEnd w:id="73"/>
    <w:p>
      <w:pPr>
        <w:spacing w:after="0" w:line="26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CC, LLC</w:t>
      </w:r>
    </w:p>
    <w:p>
      <w:pPr>
        <w:ind w:left="212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By: Ashby Street Outdoor Holdings LLC, its sole member</w:t>
      </w: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3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74" w:name="page75"/>
    <w:bookmarkEnd w:id="74"/>
    <w:p>
      <w:pPr>
        <w:spacing w:after="0" w:line="200" w:lineRule="exact"/>
        <w:rPr>
          <w:sz w:val="20"/>
          <w:szCs w:val="20"/>
          <w:color w:val="auto"/>
        </w:rPr>
      </w:pPr>
    </w:p>
    <w:p>
      <w:pPr>
        <w:spacing w:after="0" w:line="3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10" w:lineRule="exact"/>
        <w:rPr>
          <w:sz w:val="20"/>
          <w:szCs w:val="20"/>
          <w:color w:val="auto"/>
        </w:rPr>
      </w:pPr>
    </w:p>
    <w:p>
      <w:pPr>
        <w:ind w:left="2120"/>
        <w:spacing w:after="0" w:line="236"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w:t>
      </w:r>
      <w:r>
        <w:rPr>
          <w:rFonts w:ascii="Times New Roman" w:cs="Times New Roman" w:eastAsia="Times New Roman" w:hAnsi="Times New Roman"/>
          <w:sz w:val="21"/>
          <w:szCs w:val="21"/>
          <w:color w:val="auto"/>
        </w:rPr>
        <w:t>____________________</w:t>
      </w:r>
    </w:p>
    <w:p>
      <w:pPr>
        <w:ind w:left="2120"/>
        <w:spacing w:after="0" w:line="204" w:lineRule="auto"/>
        <w:rPr>
          <w:sz w:val="20"/>
          <w:szCs w:val="20"/>
          <w:color w:val="auto"/>
        </w:rPr>
      </w:pPr>
      <w:r>
        <w:rPr>
          <w:rFonts w:ascii="Times New Roman" w:cs="Times New Roman" w:eastAsia="Times New Roman" w:hAnsi="Times New Roman"/>
          <w:sz w:val="22"/>
          <w:szCs w:val="22"/>
          <w:color w:val="auto"/>
        </w:rPr>
        <w:t>Name: Wallace L. Duke</w:t>
      </w:r>
    </w:p>
    <w:p>
      <w:pPr>
        <w:spacing w:after="0" w:line="1"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9740"/>
          </w:cols>
          <w:pgMar w:left="1440" w:top="1440" w:right="7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53" w:lineRule="exact"/>
        <w:rPr>
          <w:sz w:val="20"/>
          <w:szCs w:val="20"/>
          <w:color w:val="auto"/>
        </w:rPr>
      </w:pPr>
    </w:p>
    <w:p>
      <w:pPr>
        <w:jc w:val="both"/>
        <w:ind w:firstLine="277"/>
        <w:spacing w:after="0" w:line="213" w:lineRule="auto"/>
        <w:rPr>
          <w:sz w:val="20"/>
          <w:szCs w:val="20"/>
          <w:color w:val="auto"/>
        </w:rPr>
      </w:pPr>
      <w:r>
        <w:rPr>
          <w:rFonts w:ascii="Times New Roman" w:cs="Times New Roman" w:eastAsia="Times New Roman" w:hAnsi="Times New Roman"/>
          <w:sz w:val="22"/>
          <w:szCs w:val="22"/>
          <w:color w:val="auto"/>
        </w:rPr>
        <w:t>THIS SUPPLEMENTAL INDENTURE dated as of June 3, 2022,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LAMAR ADVERTISING LIMITED PARTNERSHIP, a Delaware limited partnership (“</w:t>
      </w:r>
      <w:r>
        <w:rPr>
          <w:rFonts w:ascii="Times New Roman" w:cs="Times New Roman" w:eastAsia="Times New Roman" w:hAnsi="Times New Roman"/>
          <w:sz w:val="22"/>
          <w:szCs w:val="22"/>
          <w:u w:val="single" w:color="auto"/>
          <w:color w:val="auto"/>
        </w:rPr>
        <w:t>Lamar LP</w:t>
      </w:r>
      <w:r>
        <w:rPr>
          <w:rFonts w:ascii="Times New Roman" w:cs="Times New Roman" w:eastAsia="Times New Roman" w:hAnsi="Times New Roman"/>
          <w:sz w:val="22"/>
          <w:szCs w:val="22"/>
          <w:color w:val="auto"/>
        </w:rPr>
        <w:t>”), LAMAR ADVERTISING GENERAL PARTNER, LLC, a Delaware limited liability company (“</w:t>
      </w:r>
      <w:r>
        <w:rPr>
          <w:rFonts w:ascii="Times New Roman" w:cs="Times New Roman" w:eastAsia="Times New Roman" w:hAnsi="Times New Roman"/>
          <w:sz w:val="22"/>
          <w:szCs w:val="22"/>
          <w:u w:val="single" w:color="auto"/>
          <w:color w:val="auto"/>
        </w:rPr>
        <w:t>Lamar GP</w:t>
      </w:r>
      <w:r>
        <w:rPr>
          <w:rFonts w:ascii="Times New Roman" w:cs="Times New Roman" w:eastAsia="Times New Roman" w:hAnsi="Times New Roman"/>
          <w:sz w:val="22"/>
          <w:szCs w:val="22"/>
          <w:color w:val="auto"/>
        </w:rPr>
        <w:t>”), SKYHIGH MURALS – COLOSSAL MEDIA, LLC, a New York limited liability company (“</w:t>
      </w:r>
      <w:r>
        <w:rPr>
          <w:rFonts w:ascii="Times New Roman" w:cs="Times New Roman" w:eastAsia="Times New Roman" w:hAnsi="Times New Roman"/>
          <w:sz w:val="22"/>
          <w:szCs w:val="22"/>
          <w:u w:val="single" w:color="auto"/>
          <w:color w:val="auto"/>
        </w:rPr>
        <w:t>Colossal</w:t>
      </w:r>
      <w:r>
        <w:rPr>
          <w:rFonts w:ascii="Times New Roman" w:cs="Times New Roman" w:eastAsia="Times New Roman" w:hAnsi="Times New Roman"/>
          <w:sz w:val="22"/>
          <w:szCs w:val="22"/>
          <w:color w:val="auto"/>
        </w:rPr>
        <w:t>” and together with Lamar LP and Lamar GP, collectively, the “</w:t>
      </w:r>
      <w:r>
        <w:rPr>
          <w:rFonts w:ascii="Times New Roman" w:cs="Times New Roman" w:eastAsia="Times New Roman" w:hAnsi="Times New Roman"/>
          <w:sz w:val="22"/>
          <w:szCs w:val="22"/>
          <w:u w:val="single" w:color="auto"/>
          <w:color w:val="auto"/>
        </w:rPr>
        <w:t>New Guarantors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“Trustee”).</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3.750% Senior Notes due 2028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the New Guarantors desire to provide guarantees (the “</w:t>
      </w: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Guarantors are authorized to execute and deliver this Supplemental Indenture; and</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79"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06" w:lineRule="exact"/>
        <w:rPr>
          <w:rFonts w:ascii="Times New Roman" w:cs="Times New Roman" w:eastAsia="Times New Roman" w:hAnsi="Times New Roman"/>
          <w:sz w:val="22"/>
          <w:szCs w:val="22"/>
          <w:color w:val="auto"/>
        </w:rPr>
      </w:pPr>
    </w:p>
    <w:p>
      <w:pPr>
        <w:jc w:val="both"/>
        <w:ind w:firstLine="656"/>
        <w:spacing w:after="0" w:line="220" w:lineRule="auto"/>
        <w:tabs>
          <w:tab w:leader="none" w:pos="114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Each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such New Guarantor had been named as a Guarantor in the Indenture.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Guarantors and the Trustee.</w:t>
      </w:r>
    </w:p>
    <w:p>
      <w:pPr>
        <w:spacing w:after="0" w:line="177"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ectPr>
          <w:pgSz w:w="11900" w:h="16838" w:orient="portrait"/>
          <w:cols w:equalWidth="0" w:num="1">
            <w:col w:w="11240"/>
          </w:cols>
          <w:pgMar w:left="320" w:top="98" w:right="339" w:bottom="1440" w:gutter="0" w:footer="0" w:header="0"/>
        </w:sectPr>
      </w:pPr>
    </w:p>
    <w:bookmarkStart w:id="76" w:name="page77"/>
    <w:bookmarkEnd w:id="76"/>
    <w:p>
      <w:pPr>
        <w:ind w:firstLine="656"/>
        <w:spacing w:after="0" w:line="236" w:lineRule="auto"/>
        <w:tabs>
          <w:tab w:leader="none" w:pos="106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17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7" w:lineRule="exact"/>
        <w:rPr>
          <w:rFonts w:ascii="Times New Roman" w:cs="Times New Roman" w:eastAsia="Times New Roman" w:hAnsi="Times New Roman"/>
          <w:sz w:val="22"/>
          <w:szCs w:val="22"/>
          <w:color w:val="auto"/>
        </w:rPr>
      </w:pPr>
    </w:p>
    <w:p>
      <w:pPr>
        <w:ind w:right="20" w:firstLine="656"/>
        <w:spacing w:after="0" w:line="236" w:lineRule="auto"/>
        <w:tabs>
          <w:tab w:leader="none" w:pos="106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5" w:right="339" w:bottom="1440" w:gutter="0" w:footer="0" w:header="0"/>
        </w:sectPr>
      </w:pPr>
    </w:p>
    <w:bookmarkStart w:id="77" w:name="page78"/>
    <w:bookmarkEnd w:id="77"/>
    <w:p>
      <w:pPr>
        <w:ind w:firstLine="285"/>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1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GUARANTORS:</w:t>
      </w:r>
    </w:p>
    <w:p>
      <w:pPr>
        <w:spacing w:after="0" w:line="1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ind w:left="3240"/>
        <w:spacing w:after="0"/>
        <w:rPr>
          <w:sz w:val="20"/>
          <w:szCs w:val="20"/>
          <w:color w:val="auto"/>
        </w:rPr>
      </w:pPr>
      <w:r>
        <w:rPr>
          <w:rFonts w:ascii="Times New Roman" w:cs="Times New Roman" w:eastAsia="Times New Roman" w:hAnsi="Times New Roman"/>
          <w:sz w:val="22"/>
          <w:szCs w:val="22"/>
          <w:color w:val="auto"/>
        </w:rPr>
        <w:t>SKYHIGH MURALS – COLOSSAL MEDIA, LLC</w:t>
      </w:r>
    </w:p>
    <w:p>
      <w:pPr>
        <w:spacing w:after="0" w:line="182"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sole member</w:t>
      </w:r>
    </w:p>
    <w:p>
      <w:pPr>
        <w:spacing w:after="0" w:line="19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0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0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sole member</w:t>
      </w:r>
    </w:p>
    <w:p>
      <w:pPr>
        <w:spacing w:after="0" w:line="19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1240"/>
          </w:cols>
          <w:pgMar w:left="320" w:top="1395" w:right="339" w:bottom="1440" w:gutter="0" w:footer="0" w:header="0"/>
        </w:sectPr>
      </w:pPr>
    </w:p>
    <w:bookmarkStart w:id="78" w:name="page79"/>
    <w:bookmarkEnd w:id="78"/>
    <w:p>
      <w:pPr>
        <w:ind w:left="148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91" w:right="1440" w:bottom="1440" w:gutter="0" w:footer="0" w:header="0"/>
        </w:sectPr>
      </w:pPr>
    </w:p>
    <w:bookmarkStart w:id="79" w:name="page80"/>
    <w:bookmarkEnd w:id="79"/>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COLORADO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KANSAS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MICHIGAN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MINNESOTA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NEBRASKA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NEVADA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MEXICO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OHIO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SOUTH CAROLINA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TENNESSEE LOGOS, LLC</w:t>
      </w:r>
    </w:p>
    <w:p>
      <w:pPr>
        <w:ind w:left="2120"/>
        <w:spacing w:after="0"/>
        <w:rPr>
          <w:sz w:val="20"/>
          <w:szCs w:val="20"/>
          <w:color w:val="auto"/>
        </w:rPr>
      </w:pPr>
      <w:r>
        <w:rPr>
          <w:rFonts w:ascii="Times New Roman" w:cs="Times New Roman" w:eastAsia="Times New Roman" w:hAnsi="Times New Roman"/>
          <w:sz w:val="22"/>
          <w:szCs w:val="22"/>
          <w:color w:val="auto"/>
        </w:rPr>
        <w:t>UTAH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sole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ELECTRICAL,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ADVERTISING OF MICHIGAN,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ADVERTISING OF YOUNGSTOWN,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TLC PROPERTIES,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SOUTH,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0" w:name="page81"/>
    <w:bookmarkEnd w:id="80"/>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LAMAR AIRPORT ADVERTISING COMPANY</w:t>
      </w:r>
    </w:p>
    <w:p>
      <w:pPr>
        <w:ind w:left="2120"/>
        <w:spacing w:after="0"/>
        <w:rPr>
          <w:sz w:val="20"/>
          <w:szCs w:val="20"/>
          <w:color w:val="auto"/>
        </w:rPr>
      </w:pPr>
      <w:r>
        <w:rPr>
          <w:rFonts w:ascii="Times New Roman" w:cs="Times New Roman" w:eastAsia="Times New Roman" w:hAnsi="Times New Roman"/>
          <w:sz w:val="22"/>
          <w:szCs w:val="22"/>
          <w:color w:val="auto"/>
        </w:rPr>
        <w:t>LAMAR PENSACOLA TRANSIT, INC.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95" w:right="1440" w:bottom="1440" w:gutter="0" w:footer="0" w:header="0"/>
        </w:sectPr>
      </w:pPr>
    </w:p>
    <w:bookmarkStart w:id="81" w:name="page82"/>
    <w:bookmarkEnd w:id="81"/>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ARIZONA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DELAWARE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GEORGIA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KENTUCKY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LOUISIANA INTERSTATE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MAINE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MISSISSIPPI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MISSOURI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MONTANA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HAMPSHIRE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JERSEY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OKLAHOMA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VIRGINIA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WASHINGTON LOGOS,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2" w:name="page83"/>
    <w:bookmarkEnd w:id="82"/>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CENTRAL OUTDOOR,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THE LAMAR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right="2039"/>
        <w:spacing w:after="0" w:line="216" w:lineRule="auto"/>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1" w:lineRule="exact"/>
        <w:rPr>
          <w:sz w:val="20"/>
          <w:szCs w:val="20"/>
          <w:color w:val="auto"/>
        </w:rPr>
      </w:pPr>
    </w:p>
    <w:p>
      <w:pPr>
        <w:ind w:left="2120" w:right="2379"/>
        <w:spacing w:after="0" w:line="204" w:lineRule="auto"/>
        <w:rPr>
          <w:sz w:val="20"/>
          <w:szCs w:val="20"/>
          <w:color w:val="auto"/>
        </w:rPr>
      </w:pPr>
      <w:r>
        <w:rPr>
          <w:rFonts w:ascii="Times New Roman" w:cs="Times New Roman" w:eastAsia="Times New Roman" w:hAnsi="Times New Roman"/>
          <w:sz w:val="22"/>
          <w:szCs w:val="22"/>
          <w:color w:val="auto"/>
        </w:rPr>
        <w:t>LAMAR ADVERTISING OF LOUISIANA, L.L.C. LAMAR ADVERTISING OF SOUTH DAKOTA, L.L.C.</w:t>
      </w:r>
    </w:p>
    <w:p>
      <w:pPr>
        <w:ind w:left="2120"/>
        <w:spacing w:after="0" w:line="207" w:lineRule="auto"/>
        <w:rPr>
          <w:sz w:val="20"/>
          <w:szCs w:val="20"/>
          <w:color w:val="auto"/>
        </w:rPr>
      </w:pPr>
      <w:r>
        <w:rPr>
          <w:rFonts w:ascii="Times New Roman" w:cs="Times New Roman" w:eastAsia="Times New Roman" w:hAnsi="Times New Roman"/>
          <w:sz w:val="22"/>
          <w:szCs w:val="22"/>
          <w:color w:val="auto"/>
        </w:rPr>
        <w:t>LAMAR AIR,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FLORIDA,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NORTH,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3" w:name="page84"/>
    <w:bookmarkEnd w:id="83"/>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FARMS, L.L.C.</w:t>
      </w:r>
    </w:p>
    <w:p>
      <w:pPr>
        <w:ind w:left="212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Inc.,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GP COMPANY,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ADVANTAGE LP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4" w:name="page85"/>
    <w:bookmarkEnd w:id="84"/>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LAMAR ADVANTAGE OUTDOOR COMPANY, L.P.</w:t>
      </w:r>
    </w:p>
    <w:p>
      <w:pPr>
        <w:spacing w:after="0" w:line="218" w:lineRule="exact"/>
        <w:rPr>
          <w:sz w:val="20"/>
          <w:szCs w:val="20"/>
          <w:color w:val="auto"/>
        </w:rPr>
      </w:pPr>
    </w:p>
    <w:p>
      <w:pPr>
        <w:ind w:left="2340" w:right="2039" w:hanging="215"/>
        <w:spacing w:after="0" w:line="216" w:lineRule="auto"/>
        <w:rPr>
          <w:sz w:val="20"/>
          <w:szCs w:val="20"/>
          <w:color w:val="auto"/>
        </w:rPr>
      </w:pPr>
      <w:r>
        <w:rPr>
          <w:rFonts w:ascii="Times New Roman" w:cs="Times New Roman" w:eastAsia="Times New Roman" w:hAnsi="Times New Roman"/>
          <w:sz w:val="22"/>
          <w:szCs w:val="22"/>
          <w:color w:val="auto"/>
        </w:rPr>
        <w:t>By:</w:t>
      </w:r>
      <w:r>
        <w:rPr>
          <w:sz w:val="20"/>
          <w:szCs w:val="20"/>
          <w:color w:val="auto"/>
        </w:rPr>
        <w:t xml:space="preserve"> </w:t>
      </w:r>
      <w:r>
        <w:rPr>
          <w:rFonts w:ascii="Times New Roman" w:cs="Times New Roman" w:eastAsia="Times New Roman" w:hAnsi="Times New Roman"/>
          <w:sz w:val="22"/>
          <w:szCs w:val="22"/>
          <w:color w:val="auto"/>
        </w:rPr>
        <w:t>Lamar Advantage GP Company, LLC, its General Partner</w:t>
      </w:r>
    </w:p>
    <w:p>
      <w:pPr>
        <w:ind w:left="2120"/>
        <w:spacing w:after="0" w:line="215"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5" w:lineRule="auto"/>
        <w:rPr>
          <w:sz w:val="20"/>
          <w:szCs w:val="20"/>
          <w:color w:val="auto"/>
        </w:rPr>
      </w:pPr>
      <w:r>
        <w:rPr>
          <w:rFonts w:ascii="Times New Roman" w:cs="Times New Roman" w:eastAsia="Times New Roman" w:hAnsi="Times New Roman"/>
          <w:sz w:val="22"/>
          <w:szCs w:val="22"/>
          <w:color w:val="auto"/>
        </w:rPr>
        <w:t>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HOLDING COMPANY</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INVESTMENTS,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SERVICE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5" w:name="page86"/>
    <w:bookmarkEnd w:id="85"/>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OUTDOOR MARKETING SYSTEMS,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OUTDOOR PROMOTIONS WEST,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6" w:name="page87"/>
    <w:bookmarkEnd w:id="86"/>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40" w:right="1440" w:bottom="1440" w:gutter="0" w:footer="0" w:header="0"/>
        </w:sectPr>
      </w:pPr>
    </w:p>
    <w:bookmarkStart w:id="87" w:name="page88"/>
    <w:bookmarkEnd w:id="87"/>
    <w:p>
      <w:pPr>
        <w:ind w:left="212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Class A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FMG OUTDOOR HOLDINGS, LLC</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95" w:right="1440" w:bottom="1440" w:gutter="0" w:footer="0" w:header="0"/>
        </w:sectPr>
      </w:pPr>
    </w:p>
    <w:bookmarkStart w:id="88" w:name="page89"/>
    <w:bookmarkEnd w:id="88"/>
    <w:p>
      <w:pPr>
        <w:ind w:left="212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95" w:right="1440" w:bottom="1440" w:gutter="0" w:footer="0" w:header="0"/>
        </w:sectPr>
      </w:pPr>
    </w:p>
    <w:bookmarkStart w:id="89" w:name="page90"/>
    <w:bookmarkEnd w:id="89"/>
    <w:p>
      <w:pPr>
        <w:ind w:left="212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95" w:right="1440" w:bottom="1440" w:gutter="0" w:footer="0" w:header="0"/>
        </w:sectPr>
      </w:pPr>
    </w:p>
    <w:bookmarkStart w:id="90" w:name="page91"/>
    <w:bookmarkEnd w:id="90"/>
    <w:p>
      <w:pPr>
        <w:ind w:left="2120"/>
        <w:spacing w:after="0"/>
        <w:rPr>
          <w:sz w:val="20"/>
          <w:szCs w:val="20"/>
          <w:color w:val="auto"/>
        </w:rPr>
      </w:pPr>
      <w:r>
        <w:rPr>
          <w:rFonts w:ascii="Times New Roman" w:cs="Times New Roman" w:eastAsia="Times New Roman" w:hAnsi="Times New Roman"/>
          <w:sz w:val="22"/>
          <w:szCs w:val="22"/>
          <w:color w:val="auto"/>
        </w:rPr>
        <w:t>MCC OUTDOOR,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MAGIC MEDIA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FMO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OLYMPUS MEDIA/INDIANA,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82" w:right="1440" w:bottom="1440" w:gutter="0" w:footer="0" w:header="0"/>
        </w:sectPr>
      </w:pPr>
    </w:p>
    <w:bookmarkStart w:id="91" w:name="page92"/>
    <w:bookmarkEnd w:id="91"/>
    <w:p>
      <w:pPr>
        <w:ind w:left="2120"/>
        <w:spacing w:after="0"/>
        <w:rPr>
          <w:sz w:val="20"/>
          <w:szCs w:val="20"/>
          <w:color w:val="auto"/>
        </w:rPr>
      </w:pPr>
      <w:r>
        <w:rPr>
          <w:rFonts w:ascii="Times New Roman" w:cs="Times New Roman" w:eastAsia="Times New Roman" w:hAnsi="Times New Roman"/>
          <w:sz w:val="22"/>
          <w:szCs w:val="22"/>
          <w:color w:val="auto"/>
        </w:rPr>
        <w:t>ASHBY STREET OUTDOOR CC, LLC</w:t>
      </w:r>
    </w:p>
    <w:p>
      <w:pPr>
        <w:ind w:left="212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By: Ashby Street Outdoor Holdings LLC, its sole member</w:t>
      </w: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3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382" w:right="1440" w:bottom="1440" w:gutter="0" w:footer="0" w:header="0"/>
        </w:sectPr>
      </w:pPr>
    </w:p>
    <w:bookmarkStart w:id="92" w:name="page93"/>
    <w:bookmarkEnd w:id="92"/>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10" w:lineRule="exact"/>
        <w:rPr>
          <w:sz w:val="20"/>
          <w:szCs w:val="20"/>
          <w:color w:val="auto"/>
        </w:rPr>
      </w:pPr>
    </w:p>
    <w:p>
      <w:pPr>
        <w:ind w:left="2120"/>
        <w:spacing w:after="0" w:line="236"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0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w:t>
      </w:r>
      <w:r>
        <w:rPr>
          <w:rFonts w:ascii="Times New Roman" w:cs="Times New Roman" w:eastAsia="Times New Roman" w:hAnsi="Times New Roman"/>
          <w:sz w:val="21"/>
          <w:szCs w:val="21"/>
          <w:color w:val="auto"/>
        </w:rPr>
        <w:t>____________________</w:t>
      </w:r>
    </w:p>
    <w:p>
      <w:pPr>
        <w:ind w:left="2120"/>
        <w:spacing w:after="0" w:line="204" w:lineRule="auto"/>
        <w:rPr>
          <w:sz w:val="20"/>
          <w:szCs w:val="20"/>
          <w:color w:val="auto"/>
        </w:rPr>
      </w:pPr>
      <w:r>
        <w:rPr>
          <w:rFonts w:ascii="Times New Roman" w:cs="Times New Roman" w:eastAsia="Times New Roman" w:hAnsi="Times New Roman"/>
          <w:sz w:val="22"/>
          <w:szCs w:val="22"/>
          <w:color w:val="auto"/>
        </w:rPr>
        <w:t>Name: Wallace L. Duke</w:t>
      </w:r>
    </w:p>
    <w:p>
      <w:pPr>
        <w:spacing w:after="0" w:line="1"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740"/>
          </w:cols>
          <w:pgMar w:left="1440" w:top="1440" w:right="719" w:bottom="1440" w:gutter="0" w:footer="0" w:header="0"/>
        </w:sectPr>
      </w:pPr>
    </w:p>
    <w:bookmarkStart w:id="93" w:name="page94"/>
    <w:bookmarkEnd w:id="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53" w:lineRule="exact"/>
        <w:rPr>
          <w:sz w:val="20"/>
          <w:szCs w:val="20"/>
          <w:color w:val="auto"/>
        </w:rPr>
      </w:pPr>
    </w:p>
    <w:p>
      <w:pPr>
        <w:jc w:val="both"/>
        <w:ind w:firstLine="277"/>
        <w:spacing w:after="0" w:line="213" w:lineRule="auto"/>
        <w:rPr>
          <w:sz w:val="20"/>
          <w:szCs w:val="20"/>
          <w:color w:val="auto"/>
        </w:rPr>
      </w:pPr>
      <w:r>
        <w:rPr>
          <w:rFonts w:ascii="Times New Roman" w:cs="Times New Roman" w:eastAsia="Times New Roman" w:hAnsi="Times New Roman"/>
          <w:sz w:val="22"/>
          <w:szCs w:val="22"/>
          <w:color w:val="auto"/>
        </w:rPr>
        <w:t>THIS SUPPLEMENTAL INDENTURE dated as of June 3, 2022,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LAMAR ADVERTISING LIMITED PARTNERSHIP, a Delaware limited partnership (“</w:t>
      </w:r>
      <w:r>
        <w:rPr>
          <w:rFonts w:ascii="Times New Roman" w:cs="Times New Roman" w:eastAsia="Times New Roman" w:hAnsi="Times New Roman"/>
          <w:sz w:val="22"/>
          <w:szCs w:val="22"/>
          <w:u w:val="single" w:color="auto"/>
          <w:color w:val="auto"/>
        </w:rPr>
        <w:t>Lamar LP</w:t>
      </w:r>
      <w:r>
        <w:rPr>
          <w:rFonts w:ascii="Times New Roman" w:cs="Times New Roman" w:eastAsia="Times New Roman" w:hAnsi="Times New Roman"/>
          <w:sz w:val="22"/>
          <w:szCs w:val="22"/>
          <w:color w:val="auto"/>
        </w:rPr>
        <w:t>”), LAMAR ADVERTISING GENERAL PARTNER, LLC, a Delaware limited liability company (“</w:t>
      </w:r>
      <w:r>
        <w:rPr>
          <w:rFonts w:ascii="Times New Roman" w:cs="Times New Roman" w:eastAsia="Times New Roman" w:hAnsi="Times New Roman"/>
          <w:sz w:val="22"/>
          <w:szCs w:val="22"/>
          <w:u w:val="single" w:color="auto"/>
          <w:color w:val="auto"/>
        </w:rPr>
        <w:t>Lamar GP</w:t>
      </w:r>
      <w:r>
        <w:rPr>
          <w:rFonts w:ascii="Times New Roman" w:cs="Times New Roman" w:eastAsia="Times New Roman" w:hAnsi="Times New Roman"/>
          <w:sz w:val="22"/>
          <w:szCs w:val="22"/>
          <w:color w:val="auto"/>
        </w:rPr>
        <w:t>”), SKYHIGH MURALS – COLOSSAL MEDIA, LLC, a New York limited liability company (“</w:t>
      </w:r>
      <w:r>
        <w:rPr>
          <w:rFonts w:ascii="Times New Roman" w:cs="Times New Roman" w:eastAsia="Times New Roman" w:hAnsi="Times New Roman"/>
          <w:sz w:val="22"/>
          <w:szCs w:val="22"/>
          <w:u w:val="single" w:color="auto"/>
          <w:color w:val="auto"/>
        </w:rPr>
        <w:t>Colossal</w:t>
      </w:r>
      <w:r>
        <w:rPr>
          <w:rFonts w:ascii="Times New Roman" w:cs="Times New Roman" w:eastAsia="Times New Roman" w:hAnsi="Times New Roman"/>
          <w:sz w:val="22"/>
          <w:szCs w:val="22"/>
          <w:color w:val="auto"/>
        </w:rPr>
        <w:t>” and together with Lamar LP and Lamar GP, collectively, the “</w:t>
      </w:r>
      <w:r>
        <w:rPr>
          <w:rFonts w:ascii="Times New Roman" w:cs="Times New Roman" w:eastAsia="Times New Roman" w:hAnsi="Times New Roman"/>
          <w:sz w:val="22"/>
          <w:szCs w:val="22"/>
          <w:u w:val="single" w:color="auto"/>
          <w:color w:val="auto"/>
        </w:rPr>
        <w:t>New Guarantors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4.000% Senior Notes due 2030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the New Guarantors desire to provide guarantees (the “</w:t>
      </w: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Guarantors are authorized to execute and deliver this Supplemental Indenture; and</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79"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06" w:lineRule="exact"/>
        <w:rPr>
          <w:rFonts w:ascii="Times New Roman" w:cs="Times New Roman" w:eastAsia="Times New Roman" w:hAnsi="Times New Roman"/>
          <w:sz w:val="22"/>
          <w:szCs w:val="22"/>
          <w:color w:val="auto"/>
        </w:rPr>
      </w:pPr>
    </w:p>
    <w:p>
      <w:pPr>
        <w:jc w:val="both"/>
        <w:ind w:firstLine="656"/>
        <w:spacing w:after="0" w:line="220" w:lineRule="auto"/>
        <w:tabs>
          <w:tab w:leader="none" w:pos="114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Each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such New Guarantor had been named as a Guarantor in the Indenture.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Guarantors and the Trustee.</w:t>
      </w:r>
    </w:p>
    <w:p>
      <w:pPr>
        <w:spacing w:after="0" w:line="177"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ectPr>
          <w:pgSz w:w="11900" w:h="16838" w:orient="portrait"/>
          <w:cols w:equalWidth="0" w:num="1">
            <w:col w:w="11240"/>
          </w:cols>
          <w:pgMar w:left="320" w:top="98" w:right="339" w:bottom="1440" w:gutter="0" w:footer="0" w:header="0"/>
        </w:sectPr>
      </w:pPr>
    </w:p>
    <w:bookmarkStart w:id="95" w:name="page96"/>
    <w:bookmarkEnd w:id="95"/>
    <w:p>
      <w:pPr>
        <w:ind w:firstLine="656"/>
        <w:spacing w:after="0" w:line="236" w:lineRule="auto"/>
        <w:tabs>
          <w:tab w:leader="none" w:pos="106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17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7" w:lineRule="exact"/>
        <w:rPr>
          <w:rFonts w:ascii="Times New Roman" w:cs="Times New Roman" w:eastAsia="Times New Roman" w:hAnsi="Times New Roman"/>
          <w:sz w:val="22"/>
          <w:szCs w:val="22"/>
          <w:color w:val="auto"/>
        </w:rPr>
      </w:pPr>
    </w:p>
    <w:p>
      <w:pPr>
        <w:ind w:right="20" w:firstLine="656"/>
        <w:spacing w:after="0" w:line="236" w:lineRule="auto"/>
        <w:tabs>
          <w:tab w:leader="none" w:pos="106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5" w:right="339" w:bottom="1440" w:gutter="0" w:footer="0" w:header="0"/>
        </w:sectPr>
      </w:pPr>
    </w:p>
    <w:bookmarkStart w:id="96" w:name="page97"/>
    <w:bookmarkEnd w:id="96"/>
    <w:p>
      <w:pPr>
        <w:spacing w:after="0" w:line="279" w:lineRule="exact"/>
        <w:rPr>
          <w:sz w:val="20"/>
          <w:szCs w:val="20"/>
          <w:color w:val="auto"/>
        </w:rPr>
      </w:pPr>
    </w:p>
    <w:p>
      <w:pPr>
        <w:ind w:firstLine="285"/>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GUARANTORS:</w:t>
      </w:r>
    </w:p>
    <w:p>
      <w:pPr>
        <w:spacing w:after="0" w:line="1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ind w:left="3240"/>
        <w:spacing w:after="0"/>
        <w:rPr>
          <w:sz w:val="20"/>
          <w:szCs w:val="20"/>
          <w:color w:val="auto"/>
        </w:rPr>
      </w:pPr>
      <w:r>
        <w:rPr>
          <w:rFonts w:ascii="Times New Roman" w:cs="Times New Roman" w:eastAsia="Times New Roman" w:hAnsi="Times New Roman"/>
          <w:sz w:val="22"/>
          <w:szCs w:val="22"/>
          <w:color w:val="auto"/>
        </w:rPr>
        <w:t>SKYHIGH MURALS – COLOSSAL MEDIA, LLC</w:t>
      </w:r>
    </w:p>
    <w:p>
      <w:pPr>
        <w:spacing w:after="0" w:line="182"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sole member</w:t>
      </w:r>
    </w:p>
    <w:p>
      <w:pPr>
        <w:spacing w:after="0" w:line="19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0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0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sole member</w:t>
      </w:r>
    </w:p>
    <w:p>
      <w:pPr>
        <w:spacing w:after="0" w:line="19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7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98" w:name="page99"/>
    <w:bookmarkEnd w:id="98"/>
    <w:p>
      <w:pPr>
        <w:spacing w:after="0" w:line="200" w:lineRule="exact"/>
        <w:rPr>
          <w:sz w:val="20"/>
          <w:szCs w:val="20"/>
          <w:color w:val="auto"/>
        </w:rPr>
      </w:pPr>
    </w:p>
    <w:p>
      <w:pPr>
        <w:spacing w:after="0" w:line="3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COLORADO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KANSAS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MICHIGAN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MINNESOTA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NEBRASKA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NEVADA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MEXICO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OHIO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SOUTH CAROLINA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TENNESSEE LOGOS, LLC</w:t>
      </w:r>
    </w:p>
    <w:p>
      <w:pPr>
        <w:ind w:left="2120"/>
        <w:spacing w:after="0"/>
        <w:rPr>
          <w:sz w:val="20"/>
          <w:szCs w:val="20"/>
          <w:color w:val="auto"/>
        </w:rPr>
      </w:pPr>
      <w:r>
        <w:rPr>
          <w:rFonts w:ascii="Times New Roman" w:cs="Times New Roman" w:eastAsia="Times New Roman" w:hAnsi="Times New Roman"/>
          <w:sz w:val="22"/>
          <w:szCs w:val="22"/>
          <w:color w:val="auto"/>
        </w:rPr>
        <w:t>UTAH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sole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ELECTRICAL,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ADVERTISING OF MICHIGAN,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ADVERTISING OF YOUNGSTOWN,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TLC PROPERTIES,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SOUTH,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SOUTHWEST, LLC</w:t>
      </w:r>
    </w:p>
    <w:p>
      <w:pPr>
        <w:sectPr>
          <w:pgSz w:w="11900" w:h="16838" w:orient="portrait"/>
          <w:cols w:equalWidth="0" w:num="1">
            <w:col w:w="9019"/>
          </w:cols>
          <w:pgMar w:left="1440" w:top="1440" w:right="1440" w:bottom="1440" w:gutter="0" w:footer="0" w:header="0"/>
        </w:sectPr>
      </w:pPr>
    </w:p>
    <w:bookmarkStart w:id="99" w:name="page100"/>
    <w:bookmarkEnd w:id="99"/>
    <w:p>
      <w:pPr>
        <w:spacing w:after="0" w:line="27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LAMAR AIRPORT ADVERTISING COMPANY</w:t>
      </w:r>
    </w:p>
    <w:p>
      <w:pPr>
        <w:ind w:left="2120"/>
        <w:spacing w:after="0"/>
        <w:rPr>
          <w:sz w:val="20"/>
          <w:szCs w:val="20"/>
          <w:color w:val="auto"/>
        </w:rPr>
      </w:pPr>
      <w:r>
        <w:rPr>
          <w:rFonts w:ascii="Times New Roman" w:cs="Times New Roman" w:eastAsia="Times New Roman" w:hAnsi="Times New Roman"/>
          <w:sz w:val="22"/>
          <w:szCs w:val="22"/>
          <w:color w:val="auto"/>
        </w:rPr>
        <w:t>LAMAR PENSACOLA TRANSIT, INC.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00" w:name="page101"/>
    <w:bookmarkEnd w:id="100"/>
    <w:p>
      <w:pPr>
        <w:spacing w:after="0" w:line="200" w:lineRule="exact"/>
        <w:rPr>
          <w:sz w:val="20"/>
          <w:szCs w:val="20"/>
          <w:color w:val="auto"/>
        </w:rPr>
      </w:pPr>
    </w:p>
    <w:p>
      <w:pPr>
        <w:spacing w:after="0" w:line="30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ARIZONA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DELAWARE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GEORGIA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KENTUCKY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LOUISIANA INTERSTATE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MAINE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MISSISSIPPI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MISSOURI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MONTANA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HAMPSHIRE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JERSEY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OKLAHOMA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VIRGINIA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WASHINGTON LOGOS,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200" w:lineRule="exact"/>
        <w:rPr>
          <w:sz w:val="20"/>
          <w:szCs w:val="20"/>
          <w:color w:val="auto"/>
        </w:rPr>
      </w:pPr>
    </w:p>
    <w:p>
      <w:pPr>
        <w:spacing w:after="0" w:line="30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CENTRAL OUTDOOR,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THE LAMAR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right="2039"/>
        <w:spacing w:after="0" w:line="216" w:lineRule="auto"/>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1" w:lineRule="exact"/>
        <w:rPr>
          <w:sz w:val="20"/>
          <w:szCs w:val="20"/>
          <w:color w:val="auto"/>
        </w:rPr>
      </w:pPr>
    </w:p>
    <w:p>
      <w:pPr>
        <w:ind w:left="2120" w:right="2379"/>
        <w:spacing w:after="0" w:line="204" w:lineRule="auto"/>
        <w:rPr>
          <w:sz w:val="20"/>
          <w:szCs w:val="20"/>
          <w:color w:val="auto"/>
        </w:rPr>
      </w:pPr>
      <w:r>
        <w:rPr>
          <w:rFonts w:ascii="Times New Roman" w:cs="Times New Roman" w:eastAsia="Times New Roman" w:hAnsi="Times New Roman"/>
          <w:sz w:val="22"/>
          <w:szCs w:val="22"/>
          <w:color w:val="auto"/>
        </w:rPr>
        <w:t>LAMAR ADVERTISING OF LOUISIANA, L.L.C. LAMAR ADVERTISING OF SOUTH DAKOTA, L.L.C.</w:t>
      </w:r>
    </w:p>
    <w:p>
      <w:pPr>
        <w:ind w:left="2120"/>
        <w:spacing w:after="0" w:line="207" w:lineRule="auto"/>
        <w:rPr>
          <w:sz w:val="20"/>
          <w:szCs w:val="20"/>
          <w:color w:val="auto"/>
        </w:rPr>
      </w:pPr>
      <w:r>
        <w:rPr>
          <w:rFonts w:ascii="Times New Roman" w:cs="Times New Roman" w:eastAsia="Times New Roman" w:hAnsi="Times New Roman"/>
          <w:sz w:val="22"/>
          <w:szCs w:val="22"/>
          <w:color w:val="auto"/>
        </w:rPr>
        <w:t>LAMAR AIR,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FLORIDA,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NORTH,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02" w:name="page103"/>
    <w:bookmarkEnd w:id="102"/>
    <w:p>
      <w:pPr>
        <w:spacing w:after="0" w:line="200" w:lineRule="exact"/>
        <w:rPr>
          <w:sz w:val="20"/>
          <w:szCs w:val="20"/>
          <w:color w:val="auto"/>
        </w:rPr>
      </w:pPr>
    </w:p>
    <w:p>
      <w:pPr>
        <w:spacing w:after="0" w:line="3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FARMS, L.L.C.</w:t>
      </w:r>
    </w:p>
    <w:p>
      <w:pPr>
        <w:ind w:left="212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Inc.,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GP COMPANY,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ADVANTAGE LP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03" w:name="page104"/>
    <w:bookmarkEnd w:id="103"/>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LAMAR ADVANTAGE OUTDOOR COMPANY, L.P.</w:t>
      </w:r>
    </w:p>
    <w:p>
      <w:pPr>
        <w:spacing w:after="0" w:line="218" w:lineRule="exact"/>
        <w:rPr>
          <w:sz w:val="20"/>
          <w:szCs w:val="20"/>
          <w:color w:val="auto"/>
        </w:rPr>
      </w:pPr>
    </w:p>
    <w:p>
      <w:pPr>
        <w:ind w:left="2340" w:right="2039" w:hanging="215"/>
        <w:spacing w:after="0" w:line="216" w:lineRule="auto"/>
        <w:rPr>
          <w:sz w:val="20"/>
          <w:szCs w:val="20"/>
          <w:color w:val="auto"/>
        </w:rPr>
      </w:pPr>
      <w:r>
        <w:rPr>
          <w:rFonts w:ascii="Times New Roman" w:cs="Times New Roman" w:eastAsia="Times New Roman" w:hAnsi="Times New Roman"/>
          <w:sz w:val="22"/>
          <w:szCs w:val="22"/>
          <w:color w:val="auto"/>
        </w:rPr>
        <w:t>By:</w:t>
      </w:r>
      <w:r>
        <w:rPr>
          <w:sz w:val="20"/>
          <w:szCs w:val="20"/>
          <w:color w:val="auto"/>
        </w:rPr>
        <w:t xml:space="preserve"> </w:t>
      </w:r>
      <w:r>
        <w:rPr>
          <w:rFonts w:ascii="Times New Roman" w:cs="Times New Roman" w:eastAsia="Times New Roman" w:hAnsi="Times New Roman"/>
          <w:sz w:val="22"/>
          <w:szCs w:val="22"/>
          <w:color w:val="auto"/>
        </w:rPr>
        <w:t>Lamar Advantage GP Company, LLC, its General Partner</w:t>
      </w:r>
    </w:p>
    <w:p>
      <w:pPr>
        <w:ind w:left="2120"/>
        <w:spacing w:after="0" w:line="215"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5" w:lineRule="auto"/>
        <w:rPr>
          <w:sz w:val="20"/>
          <w:szCs w:val="20"/>
          <w:color w:val="auto"/>
        </w:rPr>
      </w:pPr>
      <w:r>
        <w:rPr>
          <w:rFonts w:ascii="Times New Roman" w:cs="Times New Roman" w:eastAsia="Times New Roman" w:hAnsi="Times New Roman"/>
          <w:sz w:val="22"/>
          <w:szCs w:val="22"/>
          <w:color w:val="auto"/>
        </w:rPr>
        <w:t>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HOLDING COMPANY</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INVESTMENTS,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SERVICE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200" w:lineRule="exact"/>
        <w:rPr>
          <w:sz w:val="20"/>
          <w:szCs w:val="20"/>
          <w:color w:val="auto"/>
        </w:rPr>
      </w:pPr>
    </w:p>
    <w:p>
      <w:pPr>
        <w:spacing w:after="0" w:line="3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OUTDOOR MARKETING SYSTEMS,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OUTDOOR PROMOTIONS WEST,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200" w:lineRule="exact"/>
        <w:rPr>
          <w:sz w:val="20"/>
          <w:szCs w:val="20"/>
          <w:color w:val="auto"/>
        </w:rPr>
      </w:pPr>
    </w:p>
    <w:p>
      <w:pPr>
        <w:spacing w:after="0" w:line="3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2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Class A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FMG OUTDOOR HOLDINGS, LLC</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2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2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26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MCC OUTDOOR,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MAGIC MEDIA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FMO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OLYMPUS MEDIA/INDIANA,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26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CC, LLC</w:t>
      </w:r>
    </w:p>
    <w:p>
      <w:pPr>
        <w:ind w:left="212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By: Ashby Street Outdoor Holdings LLC, its sole member</w:t>
      </w: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3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/s/ Jay Johnson______________________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-5715</wp:posOffset>
            </wp:positionV>
            <wp:extent cx="23736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200" w:lineRule="exact"/>
        <w:rPr>
          <w:sz w:val="20"/>
          <w:szCs w:val="20"/>
          <w:color w:val="auto"/>
        </w:rPr>
      </w:pPr>
    </w:p>
    <w:p>
      <w:pPr>
        <w:spacing w:after="0" w:line="3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10" w:lineRule="exact"/>
        <w:rPr>
          <w:sz w:val="20"/>
          <w:szCs w:val="20"/>
          <w:color w:val="auto"/>
        </w:rPr>
      </w:pPr>
    </w:p>
    <w:p>
      <w:pPr>
        <w:ind w:left="2120"/>
        <w:spacing w:after="0" w:line="236"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0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w:t>
      </w:r>
      <w:r>
        <w:rPr>
          <w:rFonts w:ascii="Times New Roman" w:cs="Times New Roman" w:eastAsia="Times New Roman" w:hAnsi="Times New Roman"/>
          <w:sz w:val="21"/>
          <w:szCs w:val="21"/>
          <w:color w:val="auto"/>
        </w:rPr>
        <w:t>____________________</w:t>
      </w:r>
    </w:p>
    <w:p>
      <w:pPr>
        <w:ind w:left="2120"/>
        <w:spacing w:after="0" w:line="204" w:lineRule="auto"/>
        <w:rPr>
          <w:sz w:val="20"/>
          <w:szCs w:val="20"/>
          <w:color w:val="auto"/>
        </w:rPr>
      </w:pPr>
      <w:r>
        <w:rPr>
          <w:rFonts w:ascii="Times New Roman" w:cs="Times New Roman" w:eastAsia="Times New Roman" w:hAnsi="Times New Roman"/>
          <w:sz w:val="22"/>
          <w:szCs w:val="22"/>
          <w:color w:val="auto"/>
        </w:rPr>
        <w:t>Name: Wallace L. Duke</w:t>
      </w:r>
    </w:p>
    <w:p>
      <w:pPr>
        <w:spacing w:after="0" w:line="1"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9740"/>
          </w:cols>
          <w:pgMar w:left="1440" w:top="1440" w:right="7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MAY 13, 2020</w:t>
      </w:r>
    </w:p>
    <w:p>
      <w:pPr>
        <w:spacing w:after="0" w:line="200" w:lineRule="exact"/>
        <w:rPr>
          <w:sz w:val="20"/>
          <w:szCs w:val="20"/>
          <w:color w:val="auto"/>
        </w:rPr>
      </w:pPr>
    </w:p>
    <w:p>
      <w:pPr>
        <w:spacing w:after="0" w:line="253" w:lineRule="exact"/>
        <w:rPr>
          <w:sz w:val="20"/>
          <w:szCs w:val="20"/>
          <w:color w:val="auto"/>
        </w:rPr>
      </w:pPr>
    </w:p>
    <w:p>
      <w:pPr>
        <w:jc w:val="both"/>
        <w:ind w:firstLine="277"/>
        <w:spacing w:after="0" w:line="213" w:lineRule="auto"/>
        <w:rPr>
          <w:sz w:val="20"/>
          <w:szCs w:val="20"/>
          <w:color w:val="auto"/>
        </w:rPr>
      </w:pPr>
      <w:r>
        <w:rPr>
          <w:rFonts w:ascii="Times New Roman" w:cs="Times New Roman" w:eastAsia="Times New Roman" w:hAnsi="Times New Roman"/>
          <w:sz w:val="22"/>
          <w:szCs w:val="22"/>
          <w:color w:val="auto"/>
        </w:rPr>
        <w:t>THIS SUPPLEMENTAL INDENTURE dated as of June 3, 2022,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LAMAR ADVERTISING LIMITED PARTNERSHIP, a Delaware limited partnership (“</w:t>
      </w:r>
      <w:r>
        <w:rPr>
          <w:rFonts w:ascii="Times New Roman" w:cs="Times New Roman" w:eastAsia="Times New Roman" w:hAnsi="Times New Roman"/>
          <w:sz w:val="22"/>
          <w:szCs w:val="22"/>
          <w:u w:val="single" w:color="auto"/>
          <w:color w:val="auto"/>
        </w:rPr>
        <w:t>Lamar LP</w:t>
      </w:r>
      <w:r>
        <w:rPr>
          <w:rFonts w:ascii="Times New Roman" w:cs="Times New Roman" w:eastAsia="Times New Roman" w:hAnsi="Times New Roman"/>
          <w:sz w:val="22"/>
          <w:szCs w:val="22"/>
          <w:color w:val="auto"/>
        </w:rPr>
        <w:t>”), LAMAR ADVERTISING GENERAL PARTNER, LLC, a Delaware limited liability company (“</w:t>
      </w:r>
      <w:r>
        <w:rPr>
          <w:rFonts w:ascii="Times New Roman" w:cs="Times New Roman" w:eastAsia="Times New Roman" w:hAnsi="Times New Roman"/>
          <w:sz w:val="22"/>
          <w:szCs w:val="22"/>
          <w:u w:val="single" w:color="auto"/>
          <w:color w:val="auto"/>
        </w:rPr>
        <w:t>Lamar GP</w:t>
      </w:r>
      <w:r>
        <w:rPr>
          <w:rFonts w:ascii="Times New Roman" w:cs="Times New Roman" w:eastAsia="Times New Roman" w:hAnsi="Times New Roman"/>
          <w:sz w:val="22"/>
          <w:szCs w:val="22"/>
          <w:color w:val="auto"/>
        </w:rPr>
        <w:t>”), SKYHIGH MURALS – COLOSSAL MEDIA, LLC, a New York limited liability company (“</w:t>
      </w:r>
      <w:r>
        <w:rPr>
          <w:rFonts w:ascii="Times New Roman" w:cs="Times New Roman" w:eastAsia="Times New Roman" w:hAnsi="Times New Roman"/>
          <w:sz w:val="22"/>
          <w:szCs w:val="22"/>
          <w:u w:val="single" w:color="auto"/>
          <w:color w:val="auto"/>
        </w:rPr>
        <w:t>Colossal</w:t>
      </w:r>
      <w:r>
        <w:rPr>
          <w:rFonts w:ascii="Times New Roman" w:cs="Times New Roman" w:eastAsia="Times New Roman" w:hAnsi="Times New Roman"/>
          <w:sz w:val="22"/>
          <w:szCs w:val="22"/>
          <w:color w:val="auto"/>
        </w:rPr>
        <w:t>” and together with Lamar LP and Lamar GP, collectively, the “</w:t>
      </w:r>
      <w:r>
        <w:rPr>
          <w:rFonts w:ascii="Times New Roman" w:cs="Times New Roman" w:eastAsia="Times New Roman" w:hAnsi="Times New Roman"/>
          <w:sz w:val="22"/>
          <w:szCs w:val="22"/>
          <w:u w:val="single" w:color="auto"/>
          <w:color w:val="auto"/>
        </w:rPr>
        <w:t>New Guarantors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 as Trustee (the “Trustee”).</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May 13,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4.875% Senior Notes due 2029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the New Guarantors desire to provide guarantees (the “</w:t>
      </w: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Guarantors are authorized to execute and deliver this Supplemental Indenture; and</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80"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06" w:lineRule="exact"/>
        <w:rPr>
          <w:rFonts w:ascii="Times New Roman" w:cs="Times New Roman" w:eastAsia="Times New Roman" w:hAnsi="Times New Roman"/>
          <w:sz w:val="22"/>
          <w:szCs w:val="22"/>
          <w:color w:val="auto"/>
        </w:rPr>
      </w:pPr>
    </w:p>
    <w:p>
      <w:pPr>
        <w:jc w:val="both"/>
        <w:ind w:firstLine="656"/>
        <w:spacing w:after="0" w:line="220" w:lineRule="auto"/>
        <w:tabs>
          <w:tab w:leader="none" w:pos="114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Each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such New Guarantor had been named as a Guarantor in the Indenture.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Guarantors and the Trustee.</w:t>
      </w:r>
    </w:p>
    <w:p>
      <w:pPr>
        <w:spacing w:after="0" w:line="177"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ectPr>
          <w:pgSz w:w="11900" w:h="16838" w:orient="portrait"/>
          <w:cols w:equalWidth="0" w:num="1">
            <w:col w:w="11240"/>
          </w:cols>
          <w:pgMar w:left="320" w:top="98" w:right="339" w:bottom="1440" w:gutter="0" w:footer="0" w:header="0"/>
        </w:sectPr>
      </w:pPr>
    </w:p>
    <w:bookmarkStart w:id="113" w:name="page114"/>
    <w:bookmarkEnd w:id="113"/>
    <w:p>
      <w:pPr>
        <w:ind w:firstLine="656"/>
        <w:spacing w:after="0" w:line="236" w:lineRule="auto"/>
        <w:tabs>
          <w:tab w:leader="none" w:pos="106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17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77" w:lineRule="exact"/>
        <w:rPr>
          <w:rFonts w:ascii="Times New Roman" w:cs="Times New Roman" w:eastAsia="Times New Roman" w:hAnsi="Times New Roman"/>
          <w:sz w:val="22"/>
          <w:szCs w:val="22"/>
          <w:color w:val="auto"/>
        </w:rPr>
      </w:pPr>
    </w:p>
    <w:p>
      <w:pPr>
        <w:ind w:firstLine="656"/>
        <w:spacing w:after="0" w:line="236" w:lineRule="auto"/>
        <w:tabs>
          <w:tab w:leader="none" w:pos="102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7" w:lineRule="exact"/>
        <w:rPr>
          <w:rFonts w:ascii="Times New Roman" w:cs="Times New Roman" w:eastAsia="Times New Roman" w:hAnsi="Times New Roman"/>
          <w:sz w:val="22"/>
          <w:szCs w:val="22"/>
          <w:color w:val="auto"/>
        </w:rPr>
      </w:pPr>
    </w:p>
    <w:p>
      <w:pPr>
        <w:ind w:right="20" w:firstLine="656"/>
        <w:spacing w:after="0" w:line="236" w:lineRule="auto"/>
        <w:tabs>
          <w:tab w:leader="none" w:pos="106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285"/>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GUARANTORS:</w:t>
      </w:r>
    </w:p>
    <w:p>
      <w:pPr>
        <w:spacing w:after="0" w:line="1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ind w:left="3240"/>
        <w:spacing w:after="0"/>
        <w:rPr>
          <w:sz w:val="20"/>
          <w:szCs w:val="20"/>
          <w:color w:val="auto"/>
        </w:rPr>
      </w:pPr>
      <w:r>
        <w:rPr>
          <w:rFonts w:ascii="Times New Roman" w:cs="Times New Roman" w:eastAsia="Times New Roman" w:hAnsi="Times New Roman"/>
          <w:sz w:val="22"/>
          <w:szCs w:val="22"/>
          <w:color w:val="auto"/>
        </w:rPr>
        <w:t>SKYHIGH MURALS – COLOSSAL MEDIA, LLC</w:t>
      </w:r>
    </w:p>
    <w:p>
      <w:pPr>
        <w:spacing w:after="0" w:line="182"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sole member</w:t>
      </w:r>
    </w:p>
    <w:p>
      <w:pPr>
        <w:spacing w:after="0" w:line="19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0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0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sole member</w:t>
      </w:r>
    </w:p>
    <w:p>
      <w:pPr>
        <w:spacing w:after="0" w:line="19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11240"/>
          </w:cols>
          <w:pgMar w:left="320" w:top="98" w:right="339" w:bottom="1440" w:gutter="0" w:footer="0" w:header="0"/>
        </w:sectPr>
      </w:pPr>
    </w:p>
    <w:bookmarkStart w:id="115" w:name="page116"/>
    <w:bookmarkEnd w:id="115"/>
    <w:p>
      <w:pPr>
        <w:ind w:left="148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391" w:right="1440" w:bottom="1440" w:gutter="0" w:footer="0" w:header="0"/>
        </w:sectPr>
      </w:pPr>
    </w:p>
    <w:bookmarkStart w:id="116" w:name="page117"/>
    <w:bookmarkEnd w:id="116"/>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COLORADO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KANSAS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MICHIGAN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MINNESOTA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NEBRASKA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NEVADA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MEXICO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OHIO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SOUTH CAROLINA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TENNESSEE LOGOS, LLC</w:t>
      </w:r>
    </w:p>
    <w:p>
      <w:pPr>
        <w:ind w:left="2120"/>
        <w:spacing w:after="0"/>
        <w:rPr>
          <w:sz w:val="20"/>
          <w:szCs w:val="20"/>
          <w:color w:val="auto"/>
        </w:rPr>
      </w:pPr>
      <w:r>
        <w:rPr>
          <w:rFonts w:ascii="Times New Roman" w:cs="Times New Roman" w:eastAsia="Times New Roman" w:hAnsi="Times New Roman"/>
          <w:sz w:val="22"/>
          <w:szCs w:val="22"/>
          <w:color w:val="auto"/>
        </w:rPr>
        <w:t>UTAH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sole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ELECTRICAL,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ADVERTISING OF MICHIGAN,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ADVERTISING OF YOUNGSTOWN,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TLC PROPERTIES,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SOUTH,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ectPr>
          <w:pgSz w:w="11900" w:h="16838" w:orient="portrait"/>
          <w:cols w:equalWidth="0" w:num="1">
            <w:col w:w="9019"/>
          </w:cols>
          <w:pgMar w:left="1440" w:top="1440" w:right="1440" w:bottom="1440" w:gutter="0" w:footer="0" w:header="0"/>
        </w:sectPr>
      </w:pPr>
    </w:p>
    <w:bookmarkStart w:id="117" w:name="page118"/>
    <w:bookmarkEnd w:id="117"/>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LAMAR AIRPORT ADVERTISING COMPANY</w:t>
      </w:r>
    </w:p>
    <w:p>
      <w:pPr>
        <w:ind w:left="2120"/>
        <w:spacing w:after="0"/>
        <w:rPr>
          <w:sz w:val="20"/>
          <w:szCs w:val="20"/>
          <w:color w:val="auto"/>
        </w:rPr>
      </w:pPr>
      <w:r>
        <w:rPr>
          <w:rFonts w:ascii="Times New Roman" w:cs="Times New Roman" w:eastAsia="Times New Roman" w:hAnsi="Times New Roman"/>
          <w:sz w:val="22"/>
          <w:szCs w:val="22"/>
          <w:color w:val="auto"/>
        </w:rPr>
        <w:t>LAMAR PENSACOLA TRANSIT, INC.</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395" w:right="1440" w:bottom="1440" w:gutter="0" w:footer="0" w:header="0"/>
        </w:sectPr>
      </w:pPr>
    </w:p>
    <w:bookmarkStart w:id="118" w:name="page119"/>
    <w:bookmarkEnd w:id="118"/>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ARIZONA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DELAWARE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GEORGIA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KENTUCKY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LOUISIANA INTERSTATE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MAINE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MISSISSIPPI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MISSOURI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MONTANA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HAMPSHIRE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NEW JERSEY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OKLAHOMA LOGOS,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VIRGINIA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WASHINGTON LOGOS,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1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INTERSTATE LOGOS,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CENTRAL OUTDOOR,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THE LAMAR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right="2039"/>
        <w:spacing w:after="0" w:line="216" w:lineRule="auto"/>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1" w:lineRule="exact"/>
        <w:rPr>
          <w:sz w:val="20"/>
          <w:szCs w:val="20"/>
          <w:color w:val="auto"/>
        </w:rPr>
      </w:pPr>
    </w:p>
    <w:p>
      <w:pPr>
        <w:ind w:left="2120" w:right="2379"/>
        <w:spacing w:after="0" w:line="204" w:lineRule="auto"/>
        <w:rPr>
          <w:sz w:val="20"/>
          <w:szCs w:val="20"/>
          <w:color w:val="auto"/>
        </w:rPr>
      </w:pPr>
      <w:r>
        <w:rPr>
          <w:rFonts w:ascii="Times New Roman" w:cs="Times New Roman" w:eastAsia="Times New Roman" w:hAnsi="Times New Roman"/>
          <w:sz w:val="22"/>
          <w:szCs w:val="22"/>
          <w:color w:val="auto"/>
        </w:rPr>
        <w:t>LAMAR ADVERTISING OF LOUISIANA, L.L.C. LAMAR ADVERTISING OF SOUTH DAKOTA, L.L.C.</w:t>
      </w:r>
    </w:p>
    <w:p>
      <w:pPr>
        <w:ind w:left="2120"/>
        <w:spacing w:after="0" w:line="207" w:lineRule="auto"/>
        <w:rPr>
          <w:sz w:val="20"/>
          <w:szCs w:val="20"/>
          <w:color w:val="auto"/>
        </w:rPr>
      </w:pPr>
      <w:r>
        <w:rPr>
          <w:rFonts w:ascii="Times New Roman" w:cs="Times New Roman" w:eastAsia="Times New Roman" w:hAnsi="Times New Roman"/>
          <w:sz w:val="22"/>
          <w:szCs w:val="22"/>
          <w:color w:val="auto"/>
        </w:rPr>
        <w:t>LAMAR AIR,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FLORIDA,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LAMAR OCI NORTH,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FARMS, L.L.C.</w:t>
      </w:r>
    </w:p>
    <w:p>
      <w:pPr>
        <w:ind w:left="212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Inc.,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GP COMPANY,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ADVANTAGE LP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21" w:name="page122"/>
    <w:bookmarkEnd w:id="121"/>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LAMAR ADVANTAGE OUTDOOR COMPANY, L.P.</w:t>
      </w:r>
    </w:p>
    <w:p>
      <w:pPr>
        <w:spacing w:after="0" w:line="218" w:lineRule="exact"/>
        <w:rPr>
          <w:sz w:val="20"/>
          <w:szCs w:val="20"/>
          <w:color w:val="auto"/>
        </w:rPr>
      </w:pPr>
    </w:p>
    <w:p>
      <w:pPr>
        <w:ind w:left="2340" w:right="2039" w:hanging="215"/>
        <w:spacing w:after="0" w:line="216" w:lineRule="auto"/>
        <w:rPr>
          <w:sz w:val="20"/>
          <w:szCs w:val="20"/>
          <w:color w:val="auto"/>
        </w:rPr>
      </w:pPr>
      <w:r>
        <w:rPr>
          <w:rFonts w:ascii="Times New Roman" w:cs="Times New Roman" w:eastAsia="Times New Roman" w:hAnsi="Times New Roman"/>
          <w:sz w:val="22"/>
          <w:szCs w:val="22"/>
          <w:color w:val="auto"/>
        </w:rPr>
        <w:t>By:</w:t>
      </w:r>
      <w:r>
        <w:rPr>
          <w:sz w:val="20"/>
          <w:szCs w:val="20"/>
          <w:color w:val="auto"/>
        </w:rPr>
        <w:t xml:space="preserve"> </w:t>
      </w:r>
      <w:r>
        <w:rPr>
          <w:rFonts w:ascii="Times New Roman" w:cs="Times New Roman" w:eastAsia="Times New Roman" w:hAnsi="Times New Roman"/>
          <w:sz w:val="22"/>
          <w:szCs w:val="22"/>
          <w:color w:val="auto"/>
        </w:rPr>
        <w:t>Lamar Advantage GP Company, LLC, its General Partner</w:t>
      </w:r>
    </w:p>
    <w:p>
      <w:pPr>
        <w:ind w:left="2120"/>
        <w:spacing w:after="0" w:line="215"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w:t>
      </w:r>
    </w:p>
    <w:p>
      <w:pPr>
        <w:ind w:left="2340"/>
        <w:spacing w:after="0" w:line="205" w:lineRule="auto"/>
        <w:rPr>
          <w:sz w:val="20"/>
          <w:szCs w:val="20"/>
          <w:color w:val="auto"/>
        </w:rPr>
      </w:pPr>
      <w:r>
        <w:rPr>
          <w:rFonts w:ascii="Times New Roman" w:cs="Times New Roman" w:eastAsia="Times New Roman" w:hAnsi="Times New Roman"/>
          <w:sz w:val="22"/>
          <w:szCs w:val="22"/>
          <w:color w:val="auto"/>
        </w:rPr>
        <w:t>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ADVANTAGE HOLDING COMPANY</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INVESTMENTS,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LAMAR SERVICE COMPANY,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w:t>
      </w:r>
    </w:p>
    <w:p>
      <w:pPr>
        <w:ind w:left="2340"/>
        <w:spacing w:after="0" w:line="204" w:lineRule="auto"/>
        <w:rPr>
          <w:sz w:val="20"/>
          <w:szCs w:val="20"/>
          <w:color w:val="auto"/>
        </w:rPr>
      </w:pPr>
      <w:r>
        <w:rPr>
          <w:rFonts w:ascii="Times New Roman" w:cs="Times New Roman" w:eastAsia="Times New Roman" w:hAnsi="Times New Roman"/>
          <w:sz w:val="22"/>
          <w:szCs w:val="22"/>
          <w:color w:val="auto"/>
        </w:rPr>
        <w:t>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OUTDOOR MARKETING SYSTEMS,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OUTDOOR PROMOTIONS WEST,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16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1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440" w:right="1440" w:bottom="1440" w:gutter="0" w:footer="0" w:header="0"/>
        </w:sectPr>
      </w:pPr>
    </w:p>
    <w:bookmarkStart w:id="124" w:name="page125"/>
    <w:bookmarkEnd w:id="124"/>
    <w:p>
      <w:pPr>
        <w:ind w:left="212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Class A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ind w:left="2120"/>
        <w:spacing w:after="0" w:line="214" w:lineRule="auto"/>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FMG OUTDOOR HOLDINGS, LLC</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395" w:right="1440" w:bottom="1440" w:gutter="0" w:footer="0" w:header="0"/>
        </w:sectPr>
      </w:pPr>
    </w:p>
    <w:bookmarkStart w:id="125" w:name="page126"/>
    <w:bookmarkEnd w:id="125"/>
    <w:p>
      <w:pPr>
        <w:ind w:left="212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193"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395" w:right="1440" w:bottom="1440" w:gutter="0" w:footer="0" w:header="0"/>
        </w:sectPr>
      </w:pPr>
    </w:p>
    <w:bookmarkStart w:id="126" w:name="page127"/>
    <w:bookmarkEnd w:id="126"/>
    <w:p>
      <w:pPr>
        <w:ind w:left="212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0" w:lineRule="exact"/>
        <w:rPr>
          <w:sz w:val="20"/>
          <w:szCs w:val="20"/>
          <w:color w:val="auto"/>
        </w:rPr>
      </w:pPr>
    </w:p>
    <w:p>
      <w:pPr>
        <w:spacing w:after="0" w:line="249"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395" w:right="1440" w:bottom="1440" w:gutter="0" w:footer="0" w:header="0"/>
        </w:sectPr>
      </w:pPr>
    </w:p>
    <w:bookmarkStart w:id="127" w:name="page128"/>
    <w:bookmarkEnd w:id="127"/>
    <w:p>
      <w:pPr>
        <w:ind w:left="2120"/>
        <w:spacing w:after="0"/>
        <w:rPr>
          <w:sz w:val="20"/>
          <w:szCs w:val="20"/>
          <w:color w:val="auto"/>
        </w:rPr>
      </w:pPr>
      <w:r>
        <w:rPr>
          <w:rFonts w:ascii="Times New Roman" w:cs="Times New Roman" w:eastAsia="Times New Roman" w:hAnsi="Times New Roman"/>
          <w:sz w:val="22"/>
          <w:szCs w:val="22"/>
          <w:color w:val="auto"/>
        </w:rPr>
        <w:t>MCC OUTDOOR, LLC</w:t>
      </w:r>
    </w:p>
    <w:p>
      <w:pPr>
        <w:ind w:left="2120"/>
        <w:spacing w:after="0" w:line="204" w:lineRule="auto"/>
        <w:rPr>
          <w:sz w:val="20"/>
          <w:szCs w:val="20"/>
          <w:color w:val="auto"/>
        </w:rPr>
      </w:pPr>
      <w:r>
        <w:rPr>
          <w:rFonts w:ascii="Times New Roman" w:cs="Times New Roman" w:eastAsia="Times New Roman" w:hAnsi="Times New Roman"/>
          <w:sz w:val="22"/>
          <w:szCs w:val="22"/>
          <w:color w:val="auto"/>
        </w:rPr>
        <w:t>MAGIC MEDIA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FMO REAL ESTATE, LLC</w:t>
      </w:r>
    </w:p>
    <w:p>
      <w:pPr>
        <w:ind w:left="2120"/>
        <w:spacing w:after="0" w:line="205" w:lineRule="auto"/>
        <w:rPr>
          <w:sz w:val="20"/>
          <w:szCs w:val="20"/>
          <w:color w:val="auto"/>
        </w:rPr>
      </w:pPr>
      <w:r>
        <w:rPr>
          <w:rFonts w:ascii="Times New Roman" w:cs="Times New Roman" w:eastAsia="Times New Roman" w:hAnsi="Times New Roman"/>
          <w:sz w:val="22"/>
          <w:szCs w:val="22"/>
          <w:color w:val="auto"/>
        </w:rPr>
        <w:t>OLYMPUS MEDIA/INDIANA, LLC</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182"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sole managing member</w:t>
      </w:r>
    </w:p>
    <w:p>
      <w:pPr>
        <w:spacing w:after="0" w:line="20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36"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w:t>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382" w:right="1440" w:bottom="1440" w:gutter="0" w:footer="0" w:header="0"/>
        </w:sectPr>
      </w:pPr>
    </w:p>
    <w:bookmarkStart w:id="128" w:name="page129"/>
    <w:bookmarkEnd w:id="128"/>
    <w:p>
      <w:pPr>
        <w:ind w:left="2120"/>
        <w:spacing w:after="0"/>
        <w:rPr>
          <w:sz w:val="20"/>
          <w:szCs w:val="20"/>
          <w:color w:val="auto"/>
        </w:rPr>
      </w:pPr>
      <w:r>
        <w:rPr>
          <w:rFonts w:ascii="Times New Roman" w:cs="Times New Roman" w:eastAsia="Times New Roman" w:hAnsi="Times New Roman"/>
          <w:sz w:val="22"/>
          <w:szCs w:val="22"/>
          <w:color w:val="auto"/>
        </w:rPr>
        <w:t>ASHBY STREET OUTDOOR CC, LLC</w:t>
      </w:r>
    </w:p>
    <w:p>
      <w:pPr>
        <w:ind w:left="212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By: Ashby Street Outdoor Holdings LLC, its sole member</w:t>
      </w:r>
    </w:p>
    <w:p>
      <w:pPr>
        <w:ind w:left="2120"/>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3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By: /s/ Jay Johnson______________________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-5715</wp:posOffset>
            </wp:positionV>
            <wp:extent cx="23736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2373630" cy="8255"/>
                    </a:xfrm>
                    <a:prstGeom prst="rect">
                      <a:avLst/>
                    </a:prstGeom>
                    <a:noFill/>
                  </pic:spPr>
                </pic:pic>
              </a:graphicData>
            </a:graphic>
          </wp:anchor>
        </w:drawing>
      </w:r>
    </w:p>
    <w:p>
      <w:pPr>
        <w:ind w:left="2120"/>
        <w:spacing w:after="0" w:line="214" w:lineRule="auto"/>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and Chief Financial Officer</w:t>
      </w:r>
    </w:p>
    <w:p>
      <w:pPr>
        <w:sectPr>
          <w:pgSz w:w="11900" w:h="16838" w:orient="portrait"/>
          <w:cols w:equalWidth="0" w:num="1">
            <w:col w:w="9019"/>
          </w:cols>
          <w:pgMar w:left="1440" w:top="1382" w:right="1440" w:bottom="1440" w:gutter="0" w:footer="0" w:header="0"/>
        </w:sectPr>
      </w:pPr>
    </w:p>
    <w:bookmarkStart w:id="129" w:name="page130"/>
    <w:bookmarkEnd w:id="129"/>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10" w:lineRule="exact"/>
        <w:rPr>
          <w:sz w:val="20"/>
          <w:szCs w:val="20"/>
          <w:color w:val="auto"/>
        </w:rPr>
      </w:pPr>
    </w:p>
    <w:p>
      <w:pPr>
        <w:ind w:left="2120"/>
        <w:spacing w:after="0" w:line="236"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0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Wallace L. Duke</w:t>
      </w:r>
      <w:r>
        <w:rPr>
          <w:rFonts w:ascii="Times New Roman" w:cs="Times New Roman" w:eastAsia="Times New Roman" w:hAnsi="Times New Roman"/>
          <w:sz w:val="21"/>
          <w:szCs w:val="21"/>
          <w:color w:val="auto"/>
        </w:rPr>
        <w:t>____________________</w:t>
      </w:r>
    </w:p>
    <w:p>
      <w:pPr>
        <w:ind w:left="2120"/>
        <w:spacing w:after="0" w:line="204" w:lineRule="auto"/>
        <w:rPr>
          <w:sz w:val="20"/>
          <w:szCs w:val="20"/>
          <w:color w:val="auto"/>
        </w:rPr>
      </w:pPr>
      <w:r>
        <w:rPr>
          <w:rFonts w:ascii="Times New Roman" w:cs="Times New Roman" w:eastAsia="Times New Roman" w:hAnsi="Times New Roman"/>
          <w:sz w:val="22"/>
          <w:szCs w:val="22"/>
          <w:color w:val="auto"/>
        </w:rPr>
        <w:t>Name: Wallace L. Duke</w:t>
      </w:r>
    </w:p>
    <w:p>
      <w:pPr>
        <w:spacing w:after="0" w:line="1" w:lineRule="exact"/>
        <w:rPr>
          <w:sz w:val="20"/>
          <w:szCs w:val="20"/>
          <w:color w:val="auto"/>
        </w:rPr>
      </w:pPr>
    </w:p>
    <w:p>
      <w:pPr>
        <w:ind w:left="2120"/>
        <w:spacing w:after="0"/>
        <w:tabs>
          <w:tab w:leader="none" w:pos="284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9740"/>
          </w:cols>
          <w:pgMar w:left="1440" w:top="1440" w:right="7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3"/>
          <w:szCs w:val="23"/>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JOINDER AGREEMENT</w:t>
      </w: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3"/>
          <w:szCs w:val="23"/>
          <w:color w:val="auto"/>
        </w:rPr>
        <w:t>JOINDER AGREEMENT dated as of June 7, 2022, by Lamar Advertising Limited Partnership, a Delaware limited</w:t>
      </w:r>
    </w:p>
    <w:p>
      <w:pPr>
        <w:spacing w:after="0" w:line="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3"/>
          <w:szCs w:val="23"/>
          <w:color w:val="auto"/>
        </w:rPr>
        <w:t>partnership, Lamar Advertising General Partner, LLC, a Delaware limited liability company, and SkyHigh Murals – Colossal Media, LLC, a New York limited liability company (collectively, the “</w:t>
      </w:r>
      <w:r>
        <w:rPr>
          <w:rFonts w:ascii="Times New Roman" w:cs="Times New Roman" w:eastAsia="Times New Roman" w:hAnsi="Times New Roman"/>
          <w:sz w:val="23"/>
          <w:szCs w:val="23"/>
          <w:u w:val="single" w:color="auto"/>
          <w:color w:val="auto"/>
        </w:rPr>
        <w:t>Additional Subsidiary Guarantors</w:t>
      </w:r>
      <w:r>
        <w:rPr>
          <w:rFonts w:ascii="Times New Roman" w:cs="Times New Roman" w:eastAsia="Times New Roman" w:hAnsi="Times New Roman"/>
          <w:sz w:val="23"/>
          <w:szCs w:val="23"/>
          <w:color w:val="auto"/>
        </w:rPr>
        <w:t>” and each an “</w:t>
      </w:r>
      <w:r>
        <w:rPr>
          <w:rFonts w:ascii="Times New Roman" w:cs="Times New Roman" w:eastAsia="Times New Roman" w:hAnsi="Times New Roman"/>
          <w:sz w:val="23"/>
          <w:szCs w:val="23"/>
          <w:u w:val="single" w:color="auto"/>
          <w:color w:val="auto"/>
        </w:rPr>
        <w:t>Additional Subsidiary Guarantor</w:t>
      </w:r>
      <w:r>
        <w:rPr>
          <w:rFonts w:ascii="Times New Roman" w:cs="Times New Roman" w:eastAsia="Times New Roman" w:hAnsi="Times New Roman"/>
          <w:sz w:val="23"/>
          <w:szCs w:val="23"/>
          <w:color w:val="auto"/>
        </w:rPr>
        <w:t>”), in favor of JPMorgan Chase Bank, N.A., as administrative agent for the</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3"/>
          <w:szCs w:val="23"/>
          <w:color w:val="auto"/>
        </w:rPr>
        <w:t>Lenders party to the Credit Agreement referred to below (in such capacity, together with its successors in such capacity, the “</w:t>
      </w:r>
      <w:r>
        <w:rPr>
          <w:rFonts w:ascii="Times New Roman" w:cs="Times New Roman" w:eastAsia="Times New Roman" w:hAnsi="Times New Roman"/>
          <w:sz w:val="23"/>
          <w:szCs w:val="23"/>
          <w:u w:val="single" w:color="auto"/>
          <w:color w:val="auto"/>
        </w:rPr>
        <w:t>Administrative Agent</w:t>
      </w:r>
      <w:r>
        <w:rPr>
          <w:rFonts w:ascii="Times New Roman" w:cs="Times New Roman" w:eastAsia="Times New Roman" w:hAnsi="Times New Roman"/>
          <w:sz w:val="23"/>
          <w:szCs w:val="23"/>
          <w:color w:val="auto"/>
        </w:rPr>
        <w:t>”).</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3"/>
          <w:szCs w:val="23"/>
          <w:color w:val="auto"/>
        </w:rPr>
        <w:t>Lamar Media Corp., a Delaware corporation (the “</w:t>
      </w:r>
      <w:r>
        <w:rPr>
          <w:rFonts w:ascii="Times New Roman" w:cs="Times New Roman" w:eastAsia="Times New Roman" w:hAnsi="Times New Roman"/>
          <w:sz w:val="23"/>
          <w:szCs w:val="23"/>
          <w:u w:val="single" w:color="auto"/>
          <w:color w:val="auto"/>
        </w:rPr>
        <w:t>Company</w:t>
      </w:r>
      <w:r>
        <w:rPr>
          <w:rFonts w:ascii="Times New Roman" w:cs="Times New Roman" w:eastAsia="Times New Roman" w:hAnsi="Times New Roman"/>
          <w:sz w:val="23"/>
          <w:szCs w:val="23"/>
          <w:color w:val="auto"/>
        </w:rPr>
        <w:t>”), each Additional Subsidiary Borrower that may be or</w:t>
      </w:r>
    </w:p>
    <w:p>
      <w:pPr>
        <w:spacing w:after="0" w:line="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3"/>
          <w:szCs w:val="23"/>
          <w:color w:val="auto"/>
        </w:rPr>
        <w:t>may become a party thereto (each an “</w:t>
      </w:r>
      <w:r>
        <w:rPr>
          <w:rFonts w:ascii="Times New Roman" w:cs="Times New Roman" w:eastAsia="Times New Roman" w:hAnsi="Times New Roman"/>
          <w:sz w:val="23"/>
          <w:szCs w:val="23"/>
          <w:u w:val="single" w:color="auto"/>
          <w:color w:val="auto"/>
        </w:rPr>
        <w:t>Additional Subsidiary Borrower</w:t>
      </w:r>
      <w:r>
        <w:rPr>
          <w:rFonts w:ascii="Times New Roman" w:cs="Times New Roman" w:eastAsia="Times New Roman" w:hAnsi="Times New Roman"/>
          <w:sz w:val="23"/>
          <w:szCs w:val="23"/>
          <w:color w:val="auto"/>
        </w:rPr>
        <w:t>” and together with the Company, the “</w:t>
      </w:r>
      <w:r>
        <w:rPr>
          <w:rFonts w:ascii="Times New Roman" w:cs="Times New Roman" w:eastAsia="Times New Roman" w:hAnsi="Times New Roman"/>
          <w:sz w:val="23"/>
          <w:szCs w:val="23"/>
          <w:u w:val="single" w:color="auto"/>
          <w:color w:val="auto"/>
        </w:rPr>
        <w:t>Borrowers</w:t>
      </w:r>
      <w:r>
        <w:rPr>
          <w:rFonts w:ascii="Times New Roman" w:cs="Times New Roman" w:eastAsia="Times New Roman" w:hAnsi="Times New Roman"/>
          <w:sz w:val="23"/>
          <w:szCs w:val="23"/>
          <w:color w:val="auto"/>
        </w:rPr>
        <w:t>”) and certain of its subsidiaries (collectively, the “</w:t>
      </w:r>
      <w:r>
        <w:rPr>
          <w:rFonts w:ascii="Times New Roman" w:cs="Times New Roman" w:eastAsia="Times New Roman" w:hAnsi="Times New Roman"/>
          <w:sz w:val="23"/>
          <w:szCs w:val="23"/>
          <w:u w:val="single" w:color="auto"/>
          <w:color w:val="auto"/>
        </w:rPr>
        <w:t>Existing Subsidiary Guarantors</w:t>
      </w:r>
      <w:r>
        <w:rPr>
          <w:rFonts w:ascii="Times New Roman" w:cs="Times New Roman" w:eastAsia="Times New Roman" w:hAnsi="Times New Roman"/>
          <w:sz w:val="23"/>
          <w:szCs w:val="23"/>
          <w:color w:val="auto"/>
        </w:rPr>
        <w:t>” and, together with the Borrowers, the “</w:t>
      </w:r>
      <w:r>
        <w:rPr>
          <w:rFonts w:ascii="Times New Roman" w:cs="Times New Roman" w:eastAsia="Times New Roman" w:hAnsi="Times New Roman"/>
          <w:sz w:val="23"/>
          <w:szCs w:val="23"/>
          <w:u w:val="single" w:color="auto"/>
          <w:color w:val="auto"/>
        </w:rPr>
        <w:t>Securing Parties</w:t>
      </w:r>
      <w:r>
        <w:rPr>
          <w:rFonts w:ascii="Times New Roman" w:cs="Times New Roman" w:eastAsia="Times New Roman" w:hAnsi="Times New Roman"/>
          <w:sz w:val="23"/>
          <w:szCs w:val="23"/>
          <w:color w:val="auto"/>
        </w:rPr>
        <w:t>”) are parties to that certain Fourth Amended and Restated Credit Agreement dated as</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3"/>
          <w:szCs w:val="23"/>
          <w:color w:val="auto"/>
        </w:rPr>
        <w:t>of February 6, 2020 (as amended by that certain Amendment No. 1, dated as of July 2, 2021, and as further amended, restated, amended and restated, extended, supplemented or otherwise modified from time to time, the “</w:t>
      </w:r>
      <w:r>
        <w:rPr>
          <w:rFonts w:ascii="Times New Roman" w:cs="Times New Roman" w:eastAsia="Times New Roman" w:hAnsi="Times New Roman"/>
          <w:sz w:val="23"/>
          <w:szCs w:val="23"/>
          <w:u w:val="single" w:color="auto"/>
          <w:color w:val="auto"/>
        </w:rPr>
        <w:t>Credit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u w:val="single" w:color="auto"/>
          <w:color w:val="auto"/>
        </w:rPr>
        <w:t>Agreement</w:t>
      </w:r>
      <w:r>
        <w:rPr>
          <w:rFonts w:ascii="Times New Roman" w:cs="Times New Roman" w:eastAsia="Times New Roman" w:hAnsi="Times New Roman"/>
          <w:sz w:val="23"/>
          <w:szCs w:val="23"/>
          <w:color w:val="auto"/>
        </w:rPr>
        <w:t>”), providing, subject to the terms and conditions thereof, for extensions of credit (by means of loans and</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3"/>
          <w:szCs w:val="23"/>
          <w:color w:val="auto"/>
        </w:rPr>
        <w:t>letters of credit) to be made by the Lenders named therein (collectively, together with any entity that becomes a “Lender” party to the Credit Agreement after the date hereof as provided therein, the “</w:t>
      </w:r>
      <w:r>
        <w:rPr>
          <w:rFonts w:ascii="Times New Roman" w:cs="Times New Roman" w:eastAsia="Times New Roman" w:hAnsi="Times New Roman"/>
          <w:sz w:val="23"/>
          <w:szCs w:val="23"/>
          <w:u w:val="single" w:color="auto"/>
          <w:color w:val="auto"/>
        </w:rPr>
        <w:t>Lenders</w:t>
      </w:r>
      <w:r>
        <w:rPr>
          <w:rFonts w:ascii="Times New Roman" w:cs="Times New Roman" w:eastAsia="Times New Roman" w:hAnsi="Times New Roman"/>
          <w:sz w:val="23"/>
          <w:szCs w:val="23"/>
          <w:color w:val="auto"/>
        </w:rPr>
        <w:t>” and, together with Administrative Agent and any successors or assigns of any of the foregoing, the “</w:t>
      </w:r>
      <w:r>
        <w:rPr>
          <w:rFonts w:ascii="Times New Roman" w:cs="Times New Roman" w:eastAsia="Times New Roman" w:hAnsi="Times New Roman"/>
          <w:sz w:val="23"/>
          <w:szCs w:val="23"/>
          <w:u w:val="single" w:color="auto"/>
          <w:color w:val="auto"/>
        </w:rPr>
        <w:t>Secured Parties</w:t>
      </w:r>
      <w:r>
        <w:rPr>
          <w:rFonts w:ascii="Times New Roman" w:cs="Times New Roman" w:eastAsia="Times New Roman" w:hAnsi="Times New Roman"/>
          <w:sz w:val="23"/>
          <w:szCs w:val="23"/>
          <w:color w:val="auto"/>
        </w:rPr>
        <w:t>”) to the Borrowers. In</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3"/>
          <w:szCs w:val="23"/>
          <w:color w:val="auto"/>
        </w:rPr>
        <w:t>addition, the Borrowers may from time to time be obligated to one or more of the Lenders under the Credit Agreement in respect of Swap Agreements under and as defined in the Credit Agreement (collectively, the “</w:t>
      </w:r>
      <w:r>
        <w:rPr>
          <w:rFonts w:ascii="Times New Roman" w:cs="Times New Roman" w:eastAsia="Times New Roman" w:hAnsi="Times New Roman"/>
          <w:sz w:val="23"/>
          <w:szCs w:val="23"/>
          <w:u w:val="single" w:color="auto"/>
          <w:color w:val="auto"/>
        </w:rPr>
        <w:t>Swap Agreements</w:t>
      </w:r>
      <w:r>
        <w:rPr>
          <w:rFonts w:ascii="Times New Roman" w:cs="Times New Roman" w:eastAsia="Times New Roman" w:hAnsi="Times New Roman"/>
          <w:sz w:val="23"/>
          <w:szCs w:val="23"/>
          <w:color w:val="auto"/>
        </w:rPr>
        <w:t>”).</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3"/>
          <w:szCs w:val="23"/>
          <w:color w:val="auto"/>
        </w:rPr>
        <w:t>In connection with the Credit Agreement, the Borrowers, the Existing Subsidiary Guarantors and the Administrative</w:t>
      </w:r>
    </w:p>
    <w:p>
      <w:pPr>
        <w:spacing w:after="0" w:line="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3"/>
          <w:szCs w:val="23"/>
          <w:color w:val="auto"/>
        </w:rPr>
        <w:t>Agent are parties to that certain Amended and Restated Pledge Agreement dated as of February 3, 2014 (the “</w:t>
      </w:r>
      <w:r>
        <w:rPr>
          <w:rFonts w:ascii="Times New Roman" w:cs="Times New Roman" w:eastAsia="Times New Roman" w:hAnsi="Times New Roman"/>
          <w:sz w:val="23"/>
          <w:szCs w:val="23"/>
          <w:u w:val="single" w:color="auto"/>
          <w:color w:val="auto"/>
        </w:rPr>
        <w:t>Pledge</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u w:val="single" w:color="auto"/>
          <w:color w:val="auto"/>
        </w:rPr>
        <w:t>Agreement</w:t>
      </w:r>
      <w:r>
        <w:rPr>
          <w:rFonts w:ascii="Times New Roman" w:cs="Times New Roman" w:eastAsia="Times New Roman" w:hAnsi="Times New Roman"/>
          <w:sz w:val="23"/>
          <w:szCs w:val="23"/>
          <w:color w:val="auto"/>
        </w:rPr>
        <w:t xml:space="preserve">”) pursuant to which the Securing Parties have, </w:t>
      </w:r>
      <w:r>
        <w:rPr>
          <w:rFonts w:ascii="Times New Roman" w:cs="Times New Roman" w:eastAsia="Times New Roman" w:hAnsi="Times New Roman"/>
          <w:sz w:val="23"/>
          <w:szCs w:val="23"/>
          <w:u w:val="single" w:color="auto"/>
          <w:color w:val="auto"/>
        </w:rPr>
        <w:t>inter alia</w:t>
      </w:r>
      <w:r>
        <w:rPr>
          <w:rFonts w:ascii="Times New Roman" w:cs="Times New Roman" w:eastAsia="Times New Roman" w:hAnsi="Times New Roman"/>
          <w:sz w:val="23"/>
          <w:szCs w:val="23"/>
          <w:color w:val="auto"/>
        </w:rPr>
        <w:t>, granted a security interest in the Collateral (as defined in the Pledge Agreement) as collateral security for the Secured Obligations (as so defined). Terms defined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the Pledge Agreement are used herein as defined therein.</w:t>
      </w:r>
    </w:p>
    <w:p>
      <w:pPr>
        <w:spacing w:after="0" w:line="182" w:lineRule="exact"/>
        <w:rPr>
          <w:sz w:val="20"/>
          <w:szCs w:val="20"/>
          <w:color w:val="auto"/>
        </w:rPr>
      </w:pPr>
    </w:p>
    <w:p>
      <w:pPr>
        <w:jc w:val="both"/>
        <w:ind w:firstLine="232"/>
        <w:spacing w:after="0" w:line="226" w:lineRule="auto"/>
        <w:rPr>
          <w:sz w:val="20"/>
          <w:szCs w:val="20"/>
          <w:color w:val="auto"/>
        </w:rPr>
      </w:pPr>
      <w:r>
        <w:rPr>
          <w:rFonts w:ascii="Times New Roman" w:cs="Times New Roman" w:eastAsia="Times New Roman" w:hAnsi="Times New Roman"/>
          <w:sz w:val="23"/>
          <w:szCs w:val="23"/>
          <w:color w:val="auto"/>
        </w:rPr>
        <w:t>To induce the Secured Parties to enter into the Credit Agreement, and to extend credit thereunder and to extend credit to the Borrowers under Swap Agreements, and for other good and valuable consideration the receipt and sufficiency of</w:t>
      </w:r>
    </w:p>
    <w:p>
      <w:pPr>
        <w:jc w:val="both"/>
        <w:spacing w:after="0" w:line="223" w:lineRule="auto"/>
        <w:rPr>
          <w:sz w:val="20"/>
          <w:szCs w:val="20"/>
          <w:color w:val="auto"/>
        </w:rPr>
      </w:pPr>
      <w:r>
        <w:rPr>
          <w:rFonts w:ascii="Times New Roman" w:cs="Times New Roman" w:eastAsia="Times New Roman" w:hAnsi="Times New Roman"/>
          <w:sz w:val="23"/>
          <w:szCs w:val="23"/>
          <w:color w:val="auto"/>
        </w:rPr>
        <w:t>which are hereby acknowledged, the Additional Subsidiary Guarantors have agreed to become a party to the Credit Agreement and the Pledge Agreement as a “Subsidiary Guarantor” thereunder, and to pledge and grant a security interest in the Collateral (as defined in the Pledge Agreement).</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color w:val="auto"/>
        </w:rPr>
        <w:t>Accordingly, the parties hereto agree as follows: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color w:val="auto"/>
        </w:rPr>
        <w:t xml:space="preserve">Section 1. </w:t>
      </w:r>
      <w:r>
        <w:rPr>
          <w:rFonts w:ascii="Times New Roman" w:cs="Times New Roman" w:eastAsia="Times New Roman" w:hAnsi="Times New Roman"/>
          <w:sz w:val="23"/>
          <w:szCs w:val="23"/>
          <w:u w:val="single" w:color="auto"/>
          <w:color w:val="auto"/>
        </w:rPr>
        <w:t>Definitions</w:t>
      </w:r>
      <w:r>
        <w:rPr>
          <w:rFonts w:ascii="Times New Roman" w:cs="Times New Roman" w:eastAsia="Times New Roman" w:hAnsi="Times New Roman"/>
          <w:sz w:val="23"/>
          <w:szCs w:val="23"/>
          <w:color w:val="auto"/>
        </w:rPr>
        <w:t>. Terms defined in the Credit Agreement are used herein as defined therein.</w:t>
      </w:r>
    </w:p>
    <w:p>
      <w:pPr>
        <w:sectPr>
          <w:pgSz w:w="11900" w:h="16838" w:orient="portrait"/>
          <w:cols w:equalWidth="0" w:num="1">
            <w:col w:w="11240"/>
          </w:cols>
          <w:pgMar w:left="320" w:top="94" w:right="339" w:bottom="1440" w:gutter="0" w:footer="0" w:header="0"/>
        </w:sectPr>
      </w:pPr>
    </w:p>
    <w:bookmarkStart w:id="131" w:name="page132"/>
    <w:bookmarkEnd w:id="131"/>
    <w:p>
      <w:pPr>
        <w:jc w:val="both"/>
        <w:ind w:firstLine="351"/>
        <w:spacing w:after="0" w:line="226" w:lineRule="auto"/>
        <w:rPr>
          <w:sz w:val="20"/>
          <w:szCs w:val="20"/>
          <w:color w:val="auto"/>
        </w:rPr>
      </w:pPr>
      <w:r>
        <w:rPr>
          <w:rFonts w:ascii="Times New Roman" w:cs="Times New Roman" w:eastAsia="Times New Roman" w:hAnsi="Times New Roman"/>
          <w:sz w:val="23"/>
          <w:szCs w:val="23"/>
          <w:color w:val="auto"/>
        </w:rPr>
        <w:t xml:space="preserve">Section 2. </w:t>
      </w:r>
      <w:r>
        <w:rPr>
          <w:rFonts w:ascii="Times New Roman" w:cs="Times New Roman" w:eastAsia="Times New Roman" w:hAnsi="Times New Roman"/>
          <w:sz w:val="23"/>
          <w:szCs w:val="23"/>
          <w:u w:val="single" w:color="auto"/>
          <w:color w:val="auto"/>
        </w:rPr>
        <w:t>Joinder to Agreements</w:t>
      </w:r>
      <w:r>
        <w:rPr>
          <w:rFonts w:ascii="Times New Roman" w:cs="Times New Roman" w:eastAsia="Times New Roman" w:hAnsi="Times New Roman"/>
          <w:sz w:val="23"/>
          <w:szCs w:val="23"/>
          <w:color w:val="auto"/>
        </w:rPr>
        <w:t>. Effective upon the execution and delivery hereof, each Additional Subsidiary Guarantor hereby agrees that it shall become a “Subsidiary Guarantor” under and for all purposes of the Credit</w:t>
      </w:r>
    </w:p>
    <w:p>
      <w:pPr>
        <w:jc w:val="both"/>
        <w:spacing w:after="0" w:line="223" w:lineRule="auto"/>
        <w:rPr>
          <w:sz w:val="20"/>
          <w:szCs w:val="20"/>
          <w:color w:val="auto"/>
        </w:rPr>
      </w:pPr>
      <w:r>
        <w:rPr>
          <w:rFonts w:ascii="Times New Roman" w:cs="Times New Roman" w:eastAsia="Times New Roman" w:hAnsi="Times New Roman"/>
          <w:sz w:val="23"/>
          <w:szCs w:val="23"/>
          <w:color w:val="auto"/>
        </w:rPr>
        <w:t>Agreement and a “Securing Party” under and for all purposes of the Pledge Agreement with all the rights and obligations of a Subsidiary Guarantor and Securing Party thereunder, as applicable. Without limiting the generality of the foregoing, each Additional Subsidiary Guarantor hereby:</w:t>
      </w:r>
    </w:p>
    <w:p>
      <w:pPr>
        <w:spacing w:after="0" w:line="182" w:lineRule="exact"/>
        <w:rPr>
          <w:sz w:val="20"/>
          <w:szCs w:val="20"/>
          <w:color w:val="auto"/>
        </w:rPr>
      </w:pPr>
    </w:p>
    <w:p>
      <w:pPr>
        <w:jc w:val="both"/>
        <w:ind w:left="660" w:hanging="4"/>
        <w:spacing w:after="0" w:line="228" w:lineRule="auto"/>
        <w:tabs>
          <w:tab w:leader="none" w:pos="1126" w:val="left"/>
        </w:tabs>
        <w:numPr>
          <w:ilvl w:val="0"/>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jointly and severally with the other Subsidiary Guarantors party to the Credit Agreement guarantees to each Secured Party and their respective successors and assigns the prompt payment in full when due (whether at stated maturity, by acceleration or otherwise) of all Guaranteed Obligations in the same manner and to the same extent as is provided in Article III of the Credit Agreement;</w:t>
      </w:r>
    </w:p>
    <w:p>
      <w:pPr>
        <w:spacing w:after="0" w:line="169" w:lineRule="exact"/>
        <w:rPr>
          <w:rFonts w:ascii="Times New Roman" w:cs="Times New Roman" w:eastAsia="Times New Roman" w:hAnsi="Times New Roman"/>
          <w:sz w:val="23"/>
          <w:szCs w:val="23"/>
          <w:color w:val="auto"/>
        </w:rPr>
      </w:pPr>
    </w:p>
    <w:p>
      <w:pPr>
        <w:jc w:val="both"/>
        <w:ind w:left="660" w:hanging="4"/>
        <w:spacing w:after="0" w:line="224" w:lineRule="auto"/>
        <w:tabs>
          <w:tab w:leader="none" w:pos="1353" w:val="left"/>
        </w:tabs>
        <w:numPr>
          <w:ilvl w:val="0"/>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pledges and grants the security interests in all right, title and interest of such Additional Subsidiary Guarantor in all Collateral (as defined in the Pledge Agreement) that it now owns or hereafter acquires and whether now existing or hereafter coming into existence provided for by Article III of the Pledge Agreement as collateral security for the Secured Obligations and agrees that the Schedules thereof shall be supplemented as provided in Appendices A and B hereto;</w:t>
      </w:r>
    </w:p>
    <w:p>
      <w:pPr>
        <w:spacing w:after="0" w:line="183" w:lineRule="exact"/>
        <w:rPr>
          <w:rFonts w:ascii="Times New Roman" w:cs="Times New Roman" w:eastAsia="Times New Roman" w:hAnsi="Times New Roman"/>
          <w:sz w:val="23"/>
          <w:szCs w:val="23"/>
          <w:color w:val="auto"/>
        </w:rPr>
      </w:pPr>
    </w:p>
    <w:p>
      <w:pPr>
        <w:jc w:val="both"/>
        <w:ind w:left="660" w:hanging="4"/>
        <w:spacing w:after="0" w:line="230" w:lineRule="auto"/>
        <w:tabs>
          <w:tab w:leader="none" w:pos="1328" w:val="left"/>
        </w:tabs>
        <w:numPr>
          <w:ilvl w:val="0"/>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makes the representations and warranties set forth in Article IV of the Credit Agreement and in Article II of the Pledge Agreement, to the extent relating to such Additional Subsidiary Guarantor or to the Pledged Equity evidenced by the certificates, if any, identified in Appendix A hereto; and</w:t>
      </w:r>
    </w:p>
    <w:p>
      <w:pPr>
        <w:spacing w:after="0" w:line="184" w:lineRule="exact"/>
        <w:rPr>
          <w:rFonts w:ascii="Times New Roman" w:cs="Times New Roman" w:eastAsia="Times New Roman" w:hAnsi="Times New Roman"/>
          <w:sz w:val="23"/>
          <w:szCs w:val="23"/>
          <w:color w:val="auto"/>
        </w:rPr>
      </w:pPr>
    </w:p>
    <w:p>
      <w:pPr>
        <w:ind w:left="660" w:right="20" w:hanging="4"/>
        <w:spacing w:after="0" w:line="244" w:lineRule="auto"/>
        <w:tabs>
          <w:tab w:leader="none" w:pos="1266" w:val="left"/>
        </w:tabs>
        <w:numPr>
          <w:ilvl w:val="0"/>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submits to the jurisdiction of the courts, and waives jury trial, as provided in Sections 10.09 and 10.10 of the Credit Agreement.</w:t>
      </w:r>
    </w:p>
    <w:p>
      <w:pPr>
        <w:spacing w:after="0" w:line="164" w:lineRule="exact"/>
        <w:rPr>
          <w:sz w:val="20"/>
          <w:szCs w:val="20"/>
          <w:color w:val="auto"/>
        </w:rPr>
      </w:pPr>
    </w:p>
    <w:p>
      <w:pPr>
        <w:ind w:firstLine="362"/>
        <w:spacing w:after="0" w:line="256" w:lineRule="auto"/>
        <w:rPr>
          <w:sz w:val="20"/>
          <w:szCs w:val="20"/>
          <w:color w:val="auto"/>
        </w:rPr>
      </w:pPr>
      <w:r>
        <w:rPr>
          <w:rFonts w:ascii="Times New Roman" w:cs="Times New Roman" w:eastAsia="Times New Roman" w:hAnsi="Times New Roman"/>
          <w:sz w:val="23"/>
          <w:szCs w:val="23"/>
          <w:color w:val="auto"/>
        </w:rPr>
        <w:t>Each Additional Subsidiary Guarantor hereby instructs its counsel to deliver the opinions referred to in Section 6.10(a)(iii) of the Credit Agreement to the Secured Parties.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Signature Page Follows</w:t>
      </w:r>
      <w:r>
        <w:rPr>
          <w:rFonts w:ascii="Times New Roman" w:cs="Times New Roman" w:eastAsia="Times New Roman" w:hAnsi="Times New Roman"/>
          <w:sz w:val="23"/>
          <w:szCs w:val="23"/>
          <w:color w:val="auto"/>
        </w:rPr>
        <w:t>]</w:t>
      </w:r>
    </w:p>
    <w:p>
      <w:pPr>
        <w:sectPr>
          <w:pgSz w:w="11900" w:h="16838" w:orient="portrait"/>
          <w:cols w:equalWidth="0" w:num="1">
            <w:col w:w="11240"/>
          </w:cols>
          <w:pgMar w:left="320" w:top="139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3"/>
          <w:szCs w:val="23"/>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Additional Subsidiary Guarantors have caused this Joinder Agreement to be duly executed and delivered as of the day and year first above written.</w:t>
      </w:r>
    </w:p>
    <w:p>
      <w:pPr>
        <w:spacing w:after="0" w:line="1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ADDITIONAL SUBSIDIARY GUARANTORS:</w:t>
      </w:r>
    </w:p>
    <w:p>
      <w:pPr>
        <w:ind w:left="3240"/>
        <w:spacing w:after="0" w:line="204" w:lineRule="auto"/>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SKYHIGH MURALS – COLOSSAL MEDIA, LLC</w:t>
      </w:r>
    </w:p>
    <w:p>
      <w:pPr>
        <w:spacing w:after="0" w:line="182"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sole member</w:t>
      </w:r>
    </w:p>
    <w:p>
      <w:pPr>
        <w:spacing w:after="0" w:line="19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0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06"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sole member</w:t>
      </w:r>
    </w:p>
    <w:p>
      <w:pPr>
        <w:spacing w:after="0" w:line="19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Jay Johnson_________________________</w:t>
      </w:r>
    </w:p>
    <w:p>
      <w:pPr>
        <w:ind w:left="3240"/>
        <w:spacing w:after="0" w:line="214"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Johnson, Executive Vice-President</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R. McIlwain</w:t>
      </w:r>
      <w:r>
        <w:rPr>
          <w:rFonts w:ascii="Times New Roman" w:cs="Times New Roman" w:eastAsia="Times New Roman" w:hAnsi="Times New Roman"/>
          <w:sz w:val="22"/>
          <w:szCs w:val="22"/>
          <w:color w:val="auto"/>
        </w:rPr>
        <w:t>______________</w:t>
      </w:r>
    </w:p>
    <w:p>
      <w:pPr>
        <w:spacing w:after="0"/>
        <w:rPr>
          <w:sz w:val="20"/>
          <w:szCs w:val="20"/>
          <w:color w:val="auto"/>
        </w:rPr>
      </w:pPr>
      <w:r>
        <w:rPr>
          <w:rFonts w:ascii="Times New Roman" w:cs="Times New Roman" w:eastAsia="Times New Roman" w:hAnsi="Times New Roman"/>
          <w:sz w:val="22"/>
          <w:szCs w:val="22"/>
          <w:color w:val="auto"/>
        </w:rPr>
        <w:t>James R. McIlwain, Secretary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Bruce S. Borden_</w:t>
      </w:r>
      <w:r>
        <w:rPr>
          <w:rFonts w:ascii="Times New Roman" w:cs="Times New Roman" w:eastAsia="Times New Roman" w:hAnsi="Times New Roman"/>
          <w:sz w:val="21"/>
          <w:szCs w:val="21"/>
          <w:color w:val="auto"/>
        </w:rPr>
        <w:t>______________</w:t>
      </w:r>
    </w:p>
    <w:p>
      <w:pPr>
        <w:spacing w:after="0"/>
        <w:rPr>
          <w:sz w:val="20"/>
          <w:szCs w:val="20"/>
          <w:color w:val="auto"/>
        </w:rPr>
      </w:pPr>
      <w:r>
        <w:rPr>
          <w:rFonts w:ascii="Times New Roman" w:cs="Times New Roman" w:eastAsia="Times New Roman" w:hAnsi="Times New Roman"/>
          <w:sz w:val="21"/>
          <w:szCs w:val="21"/>
          <w:color w:val="auto"/>
        </w:rPr>
        <w:t xml:space="preserve">Title: </w:t>
      </w:r>
      <w:r>
        <w:rPr>
          <w:rFonts w:ascii="Times New Roman" w:cs="Times New Roman" w:eastAsia="Times New Roman" w:hAnsi="Times New Roman"/>
          <w:sz w:val="21"/>
          <w:szCs w:val="21"/>
          <w:u w:val="single" w:color="auto"/>
          <w:color w:val="auto"/>
        </w:rPr>
        <w:t>Executive Director</w:t>
      </w:r>
      <w:r>
        <w:rPr>
          <w:rFonts w:ascii="Times New Roman" w:cs="Times New Roman" w:eastAsia="Times New Roman" w:hAnsi="Times New Roman"/>
          <w:sz w:val="21"/>
          <w:szCs w:val="21"/>
          <w:color w:val="auto"/>
        </w:rPr>
        <w:t>______________</w:t>
      </w:r>
    </w:p>
    <w:p>
      <w:pPr>
        <w:sectPr>
          <w:pgSz w:w="11900" w:h="16838" w:orient="portrait"/>
          <w:cols w:equalWidth="0" w:num="1">
            <w:col w:w="10139"/>
          </w:cols>
          <w:pgMar w:left="320" w:top="1394" w:right="1440" w:bottom="1440" w:gutter="0" w:footer="0" w:header="0"/>
        </w:sectPr>
      </w:pPr>
    </w:p>
    <w:bookmarkStart w:id="134" w:name="page135"/>
    <w:bookmarkEnd w:id="134"/>
    <w:p>
      <w:pPr>
        <w:spacing w:after="0" w:line="226" w:lineRule="auto"/>
        <w:rPr>
          <w:sz w:val="20"/>
          <w:szCs w:val="20"/>
          <w:color w:val="auto"/>
        </w:rPr>
      </w:pPr>
      <w:r>
        <w:rPr>
          <w:rFonts w:ascii="Times New Roman" w:cs="Times New Roman" w:eastAsia="Times New Roman" w:hAnsi="Times New Roman"/>
          <w:sz w:val="23"/>
          <w:szCs w:val="23"/>
          <w:color w:val="auto"/>
        </w:rPr>
        <w:t>The undersigned hereby respectively pledges and grants a security interest in the Pledged Equity that it owns as described in Appendix A hereto and agrees that Schedule 1, Part 2 – Pledged Equity of the Pledge Agreement is hereby</w:t>
      </w:r>
    </w:p>
    <w:p>
      <w:pPr>
        <w:spacing w:after="0"/>
        <w:rPr>
          <w:sz w:val="20"/>
          <w:szCs w:val="20"/>
          <w:color w:val="auto"/>
        </w:rPr>
      </w:pPr>
      <w:r>
        <w:rPr>
          <w:rFonts w:ascii="Times New Roman" w:cs="Times New Roman" w:eastAsia="Times New Roman" w:hAnsi="Times New Roman"/>
          <w:sz w:val="23"/>
          <w:szCs w:val="23"/>
          <w:color w:val="auto"/>
        </w:rPr>
        <w:t>supplemented by adding thereto the information listed on Appendix A.</w:t>
      </w:r>
    </w:p>
    <w:p>
      <w:pPr>
        <w:spacing w:after="0" w:line="23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3"/>
          <w:szCs w:val="23"/>
          <w:b w:val="1"/>
          <w:bCs w:val="1"/>
          <w:color w:val="auto"/>
        </w:rPr>
        <w:t>Lamar Media Corp.</w:t>
      </w:r>
      <w:r>
        <w:rPr>
          <w:rFonts w:ascii="Times New Roman" w:cs="Times New Roman" w:eastAsia="Times New Roman" w:hAnsi="Times New Roman"/>
          <w:sz w:val="23"/>
          <w:szCs w:val="23"/>
          <w:color w:val="auto"/>
        </w:rPr>
        <w:t>, Issuee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3"/>
          <w:szCs w:val="23"/>
          <w:color w:val="auto"/>
        </w:rPr>
        <w:t>By: /s/ Jay L. Johnson________________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-10160</wp:posOffset>
            </wp:positionV>
            <wp:extent cx="1101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ind w:left="6240"/>
        <w:spacing w:after="0" w:line="224" w:lineRule="auto"/>
        <w:rPr>
          <w:sz w:val="20"/>
          <w:szCs w:val="20"/>
          <w:color w:val="auto"/>
        </w:rPr>
      </w:pPr>
      <w:r>
        <w:rPr>
          <w:rFonts w:ascii="Times New Roman" w:cs="Times New Roman" w:eastAsia="Times New Roman" w:hAnsi="Times New Roman"/>
          <w:sz w:val="22"/>
          <w:szCs w:val="22"/>
          <w:color w:val="auto"/>
        </w:rPr>
        <w:t>Jay L. Johnson, Executive Vice President,</w:t>
      </w:r>
    </w:p>
    <w:p>
      <w:pPr>
        <w:ind w:left="62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3"/>
          <w:szCs w:val="23"/>
          <w:b w:val="1"/>
          <w:bCs w:val="1"/>
          <w:color w:val="auto"/>
        </w:rPr>
        <w:t>Lamar Advertising General Partner, LLC</w:t>
      </w:r>
      <w:r>
        <w:rPr>
          <w:rFonts w:ascii="Times New Roman" w:cs="Times New Roman" w:eastAsia="Times New Roman" w:hAnsi="Times New Roman"/>
          <w:sz w:val="23"/>
          <w:szCs w:val="23"/>
          <w:color w:val="auto"/>
        </w:rPr>
        <w:t>, Issuee</w:t>
      </w:r>
    </w:p>
    <w:p>
      <w:pPr>
        <w:spacing w:after="0" w:line="191" w:lineRule="exact"/>
        <w:rPr>
          <w:sz w:val="20"/>
          <w:szCs w:val="20"/>
          <w:color w:val="auto"/>
        </w:rPr>
      </w:pPr>
    </w:p>
    <w:p>
      <w:pPr>
        <w:ind w:left="5780"/>
        <w:spacing w:after="0"/>
        <w:tabs>
          <w:tab w:leader="none" w:pos="6320" w:val="left"/>
        </w:tabs>
        <w:rPr>
          <w:sz w:val="20"/>
          <w:szCs w:val="20"/>
          <w:color w:val="auto"/>
        </w:rPr>
      </w:pPr>
      <w:r>
        <w:rPr>
          <w:rFonts w:ascii="Times New Roman" w:cs="Times New Roman" w:eastAsia="Times New Roman" w:hAnsi="Times New Roman"/>
          <w:sz w:val="23"/>
          <w:szCs w:val="23"/>
          <w:color w:val="auto"/>
        </w:rPr>
        <w:t>By:</w:t>
        <w:tab/>
        <w:t>Lamar Media Corp., its sole member</w:t>
      </w:r>
    </w:p>
    <w:p>
      <w:pPr>
        <w:spacing w:after="0" w:line="21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3"/>
          <w:szCs w:val="23"/>
          <w:color w:val="auto"/>
        </w:rPr>
        <w:t xml:space="preserve">By: </w:t>
      </w:r>
      <w:r>
        <w:rPr>
          <w:rFonts w:ascii="Times New Roman" w:cs="Times New Roman" w:eastAsia="Times New Roman" w:hAnsi="Times New Roman"/>
          <w:sz w:val="23"/>
          <w:szCs w:val="23"/>
          <w:u w:val="single" w:color="auto"/>
          <w:color w:val="auto"/>
        </w:rPr>
        <w:t>/s/ Jay L. Johnson</w:t>
      </w:r>
      <w:r>
        <w:rPr>
          <w:rFonts w:ascii="Times New Roman" w:cs="Times New Roman" w:eastAsia="Times New Roman" w:hAnsi="Times New Roman"/>
          <w:sz w:val="23"/>
          <w:szCs w:val="23"/>
          <w:color w:val="auto"/>
        </w:rPr>
        <w:t>________________</w:t>
      </w:r>
    </w:p>
    <w:p>
      <w:pPr>
        <w:ind w:left="6000"/>
        <w:spacing w:after="0" w:line="208" w:lineRule="auto"/>
        <w:rPr>
          <w:sz w:val="20"/>
          <w:szCs w:val="20"/>
          <w:color w:val="auto"/>
        </w:rPr>
      </w:pPr>
      <w:r>
        <w:rPr>
          <w:rFonts w:ascii="Times New Roman" w:cs="Times New Roman" w:eastAsia="Times New Roman" w:hAnsi="Times New Roman"/>
          <w:sz w:val="23"/>
          <w:szCs w:val="23"/>
          <w:color w:val="auto"/>
        </w:rPr>
        <w:t>Jay Johnson, Executive Vice-President</w:t>
      </w:r>
    </w:p>
    <w:p>
      <w:pPr>
        <w:ind w:left="6000"/>
        <w:spacing w:after="0"/>
        <w:rPr>
          <w:sz w:val="20"/>
          <w:szCs w:val="20"/>
          <w:color w:val="auto"/>
        </w:rPr>
      </w:pPr>
      <w:r>
        <w:rPr>
          <w:rFonts w:ascii="Times New Roman" w:cs="Times New Roman" w:eastAsia="Times New Roman" w:hAnsi="Times New Roman"/>
          <w:sz w:val="23"/>
          <w:szCs w:val="23"/>
          <w:color w:val="auto"/>
        </w:rPr>
        <w:t>and Chief Financial Officer</w:t>
      </w:r>
    </w:p>
    <w:p>
      <w:pPr>
        <w:sectPr>
          <w:pgSz w:w="11900" w:h="16838" w:orient="portrait"/>
          <w:cols w:equalWidth="0" w:num="1">
            <w:col w:w="11240"/>
          </w:cols>
          <w:pgMar w:left="320" w:top="139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June 30, 2022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0"/>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30"/>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2"/>
    </w:lvl>
  </w:abstractNum>
  <w:abstractNum w:abstractNumId="5">
    <w:nsid w:val="2901D82"/>
    <w:multiLevelType w:val="hybridMultilevel"/>
    <w:lvl w:ilvl="0">
      <w:lvlJc w:val="left"/>
      <w:lvlText w:val="%1."/>
      <w:numFmt w:val="decimal"/>
      <w:start w:val="3"/>
    </w:lvl>
  </w:abstractNum>
  <w:abstractNum w:abstractNumId="6">
    <w:nsid w:val="3A95F874"/>
    <w:multiLevelType w:val="hybridMultilevel"/>
    <w:lvl w:ilvl="0">
      <w:lvlJc w:val="left"/>
      <w:lvlText w:val="%1."/>
      <w:numFmt w:val="decimal"/>
      <w:start w:val="4"/>
    </w:lvl>
  </w:abstractNum>
  <w:abstractNum w:abstractNumId="7">
    <w:nsid w:val="8138641"/>
    <w:multiLevelType w:val="hybridMultilevel"/>
    <w:lvl w:ilvl="0">
      <w:lvlJc w:val="left"/>
      <w:lvlText w:val="%1."/>
      <w:numFmt w:val="decimal"/>
      <w:start w:val="5"/>
    </w:lvl>
  </w:abstractNum>
  <w:abstractNum w:abstractNumId="8">
    <w:nsid w:val="1E7FF521"/>
    <w:multiLevelType w:val="hybridMultilevel"/>
    <w:lvl w:ilvl="0">
      <w:lvlJc w:val="left"/>
      <w:lvlText w:val="%1."/>
      <w:numFmt w:val="decimal"/>
      <w:start w:val="6"/>
    </w:lvl>
  </w:abstractNum>
  <w:abstractNum w:abstractNumId="9">
    <w:nsid w:val="7C3DBD3D"/>
    <w:multiLevelType w:val="hybridMultilevel"/>
    <w:lvl w:ilvl="0">
      <w:lvlJc w:val="left"/>
      <w:lvlText w:val="%1."/>
      <w:numFmt w:val="decimal"/>
      <w:start w:val="7"/>
    </w:lvl>
  </w:abstractNum>
  <w:abstractNum w:abstractNumId="10">
    <w:nsid w:val="737B8DDC"/>
    <w:multiLevelType w:val="hybridMultilevel"/>
    <w:lvl w:ilvl="0">
      <w:lvlJc w:val="left"/>
      <w:lvlText w:val="%1."/>
      <w:numFmt w:val="decimal"/>
      <w:start w:val="8"/>
    </w:lvl>
  </w:abstractNum>
  <w:abstractNum w:abstractNumId="11">
    <w:nsid w:val="6CEAF087"/>
    <w:multiLevelType w:val="hybridMultilevel"/>
    <w:lvl w:ilvl="0">
      <w:lvlJc w:val="left"/>
      <w:lvlText w:val="%1."/>
      <w:numFmt w:val="decimal"/>
      <w:start w:val="9"/>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0"/>
    </w:lvl>
  </w:abstractNum>
  <w:abstractNum w:abstractNumId="15">
    <w:nsid w:val="614FD4A1"/>
    <w:multiLevelType w:val="hybridMultilevel"/>
    <w:lvl w:ilvl="0">
      <w:lvlJc w:val="left"/>
      <w:lvlText w:val="%1."/>
      <w:numFmt w:val="decimal"/>
      <w:start w:val="1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2"/>
    </w:lvl>
  </w:abstractNum>
  <w:abstractNum w:abstractNumId="18">
    <w:nsid w:val="440BADFC"/>
    <w:multiLevelType w:val="hybridMultilevel"/>
    <w:lvl w:ilvl="0">
      <w:lvlJc w:val="left"/>
      <w:lvlText w:val="%1."/>
      <w:numFmt w:val="decimal"/>
      <w:start w:val="13"/>
    </w:lvl>
  </w:abstractNum>
  <w:abstractNum w:abstractNumId="19">
    <w:nsid w:val="5072367"/>
    <w:multiLevelType w:val="hybridMultilevel"/>
    <w:lvl w:ilvl="0">
      <w:lvlJc w:val="left"/>
      <w:lvlText w:val="%1."/>
      <w:numFmt w:val="decimal"/>
      <w:start w:val="14"/>
    </w:lvl>
  </w:abstractNum>
  <w:abstractNum w:abstractNumId="20">
    <w:nsid w:val="3804823E"/>
    <w:multiLevelType w:val="hybridMultilevel"/>
    <w:lvl w:ilvl="0">
      <w:lvlJc w:val="left"/>
      <w:lvlText w:val="%1."/>
      <w:numFmt w:val="decimal"/>
      <w:start w:val="15"/>
    </w:lvl>
  </w:abstractNum>
  <w:abstractNum w:abstractNumId="21">
    <w:nsid w:val="77465F01"/>
    <w:multiLevelType w:val="hybridMultilevel"/>
    <w:lvl w:ilvl="0">
      <w:lvlJc w:val="left"/>
      <w:lvlText w:val="%1."/>
      <w:numFmt w:val="decimal"/>
      <w:start w:val="16"/>
    </w:lvl>
  </w:abstractNum>
  <w:abstractNum w:abstractNumId="22">
    <w:nsid w:val="7724C67E"/>
    <w:multiLevelType w:val="hybridMultilevel"/>
    <w:lvl w:ilvl="0">
      <w:lvlJc w:val="left"/>
      <w:lvlText w:val="%1."/>
      <w:numFmt w:val="decimal"/>
      <w:start w:val="17"/>
    </w:lvl>
  </w:abstractNum>
  <w:abstractNum w:abstractNumId="23">
    <w:nsid w:val="5C482A97"/>
    <w:multiLevelType w:val="hybridMultilevel"/>
    <w:lvl w:ilvl="0">
      <w:lvlJc w:val="left"/>
      <w:lvlText w:val="%1."/>
      <w:numFmt w:val="decimal"/>
      <w:start w:val="18"/>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2"/>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lowerRoman"/>
      <w:start w:val="4"/>
    </w:lvl>
  </w:abstractNum>
  <w:abstractNum w:abstractNumId="31">
    <w:nsid w:val="70A64E2A"/>
    <w:multiLevelType w:val="hybridMultilevel"/>
    <w:lvl w:ilvl="0">
      <w:lvlJc w:val="left"/>
      <w:lvlText w:val="(%1)"/>
      <w:numFmt w:val="lowerRoman"/>
      <w:start w:val="7"/>
    </w:lvl>
  </w:abstractNum>
  <w:abstractNum w:abstractNumId="32">
    <w:nsid w:val="6A2342EC"/>
    <w:multiLevelType w:val="hybridMultilevel"/>
    <w:lvl w:ilvl="0">
      <w:lvlJc w:val="left"/>
      <w:lvlText w:val="(%1)"/>
      <w:numFmt w:val="decimal"/>
      <w:start w:val="2"/>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lowerRoman"/>
      <w:start w:val="5"/>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2"/>
    </w:lvl>
  </w:abstractNum>
  <w:abstractNum w:abstractNumId="39">
    <w:nsid w:val="4B588F54"/>
    <w:multiLevelType w:val="hybridMultilevel"/>
    <w:lvl w:ilvl="0">
      <w:lvlJc w:val="left"/>
      <w:lvlText w:val="%1"/>
      <w:numFmt w:val="decimal"/>
      <w:start w:val="101"/>
    </w:lvl>
  </w:abstractNum>
  <w:abstractNum w:abstractNumId="40">
    <w:nsid w:val="542289EC"/>
    <w:multiLevelType w:val="hybridMultilevel"/>
    <w:lvl w:ilvl="0">
      <w:lvlJc w:val="left"/>
      <w:lvlText w:val="%1"/>
      <w:numFmt w:val="decimal"/>
      <w:start w:val="104"/>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5"/>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5"/>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lowerRoman"/>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81" Type="http://schemas.openxmlformats.org/officeDocument/2006/relationships/hyperlink" Target="https://www.sec.gov/Archives/edgar/data/1090425/000119312514417756/d823054dex31.htm" TargetMode="External"/><Relationship Id="rId82" Type="http://schemas.openxmlformats.org/officeDocument/2006/relationships/hyperlink" Target="https://www.sec.gov/Archives/edgar/data/1090425/000119312514417756/d823054dex32.htm" TargetMode="External"/><Relationship Id="rId83" Type="http://schemas.openxmlformats.org/officeDocument/2006/relationships/hyperlink" Target="https://www.sec.gov/Archives/edgar/data/899045/000095013407011105/d46520exv3w2.htm" TargetMode="External"/><Relationship Id="rId84" Type="http://schemas.openxmlformats.org/officeDocument/2006/relationships/hyperlink" Target="https://www.sec.gov/Archives/edgar/data/1090425/000119312514417756/d823054dex33.htm" TargetMode="External"/><Relationship Id="rId85" Type="http://schemas.openxmlformats.org/officeDocument/2006/relationships/hyperlink" Target="https://www.sec.gov/Archives/edgar/data/899045/000095013499009877/0000950134-99-009877.txt" TargetMode="External"/><Relationship Id="rId86" Type="http://schemas.openxmlformats.org/officeDocument/2006/relationships/hyperlink" Target="https://www.sec.gov/Archives/edgar/data/899045/000119312522186266/d3764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2022-08-03T10:34:21Z</dcterms:created>
  <dcterms:modified xsi:type="dcterms:W3CDTF">2022-08-03T10:34:21Z</dcterms:modified>
</cp:coreProperties>
</file>