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17"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September 30, 2023</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Arial" w:cs="Arial" w:eastAsia="Arial" w:hAnsi="Arial"/>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Arial" w:cs="Arial" w:eastAsia="Arial" w:hAnsi="Arial"/>
                <w:sz w:val="13"/>
                <w:szCs w:val="13"/>
                <w:b w:val="1"/>
                <w:bCs w:val="1"/>
                <w:color w:val="auto"/>
                <w:w w:val="98"/>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2"/>
        </w:trPr>
        <w:tc>
          <w:tcPr>
            <w:tcW w:w="240" w:type="dxa"/>
            <w:vAlign w:val="bottom"/>
          </w:tcPr>
          <w:p>
            <w:pPr>
              <w:spacing w:after="0"/>
              <w:rPr>
                <w:sz w:val="21"/>
                <w:szCs w:val="21"/>
                <w:color w:val="auto"/>
              </w:rPr>
            </w:pPr>
          </w:p>
        </w:tc>
        <w:tc>
          <w:tcPr>
            <w:tcW w:w="5480" w:type="dxa"/>
            <w:vAlign w:val="bottom"/>
          </w:tcPr>
          <w:p>
            <w:pPr>
              <w:ind w:left="3820"/>
              <w:spacing w:after="0"/>
              <w:rPr>
                <w:sz w:val="20"/>
                <w:szCs w:val="20"/>
                <w:color w:val="auto"/>
              </w:rPr>
            </w:pPr>
            <w:r>
              <w:rPr>
                <w:rFonts w:ascii="Arial" w:cs="Arial" w:eastAsia="Arial" w:hAnsi="Arial"/>
                <w:sz w:val="13"/>
                <w:szCs w:val="13"/>
                <w:b w:val="1"/>
                <w:bCs w:val="1"/>
                <w:color w:val="auto"/>
                <w:w w:val="89"/>
              </w:rPr>
              <w:t>For the transition period from</w:t>
            </w:r>
          </w:p>
        </w:tc>
        <w:tc>
          <w:tcPr>
            <w:tcW w:w="620" w:type="dxa"/>
            <w:vAlign w:val="bottom"/>
            <w:tcBorders>
              <w:bottom w:val="single" w:sz="8" w:color="auto"/>
            </w:tcBorders>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2"/>
                <w:szCs w:val="12"/>
                <w:b w:val="1"/>
                <w:bCs w:val="1"/>
                <w:color w:val="auto"/>
                <w:w w:val="70"/>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-8255</wp:posOffset>
            </wp:positionV>
            <wp:extent cx="40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Commission File Number 1-36756</w:t>
      </w:r>
    </w:p>
    <w:p>
      <w:pPr>
        <w:spacing w:after="0" w:line="1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Advertising Company</w:t>
      </w:r>
    </w:p>
    <w:p>
      <w:pPr>
        <w:spacing w:after="0" w:line="32"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Commission File Number 1-12407</w:t>
      </w:r>
    </w:p>
    <w:p>
      <w:pPr>
        <w:spacing w:after="0" w:line="21"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Media Corp.</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registrants as specified in their charters)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164"/>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9"/>
              </w:rPr>
              <w:t>47-0961620</w:t>
            </w:r>
          </w:p>
        </w:tc>
      </w:tr>
      <w:tr>
        <w:trPr>
          <w:trHeight w:val="175"/>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9"/>
              </w:rPr>
              <w:t>72-1205791</w:t>
            </w:r>
          </w:p>
        </w:tc>
      </w:tr>
      <w:tr>
        <w:trPr>
          <w:trHeight w:val="175"/>
        </w:trPr>
        <w:tc>
          <w:tcPr>
            <w:tcW w:w="7300" w:type="dxa"/>
            <w:vAlign w:val="bottom"/>
            <w:gridSpan w:val="4"/>
          </w:tcPr>
          <w:p>
            <w:pPr>
              <w:jc w:val="center"/>
              <w:ind w:right="2000"/>
              <w:spacing w:after="0"/>
              <w:rPr>
                <w:sz w:val="20"/>
                <w:szCs w:val="20"/>
                <w:color w:val="auto"/>
              </w:rPr>
            </w:pPr>
            <w:r>
              <w:rPr>
                <w:rFonts w:ascii="Arial" w:cs="Arial" w:eastAsia="Arial" w:hAnsi="Arial"/>
                <w:sz w:val="13"/>
                <w:szCs w:val="13"/>
                <w:b w:val="1"/>
                <w:bCs w:val="1"/>
                <w:i w:val="1"/>
                <w:iCs w:val="1"/>
                <w:color w:val="auto"/>
                <w:w w:val="85"/>
              </w:rPr>
              <w:t>(State or other jurisdiction of incorporation or organization)</w:t>
            </w:r>
          </w:p>
        </w:tc>
        <w:tc>
          <w:tcPr>
            <w:tcW w:w="3740" w:type="dxa"/>
            <w:vAlign w:val="bottom"/>
          </w:tcPr>
          <w:p>
            <w:pPr>
              <w:jc w:val="center"/>
              <w:ind w:right="1557"/>
              <w:spacing w:after="0"/>
              <w:rPr>
                <w:sz w:val="20"/>
                <w:szCs w:val="20"/>
                <w:color w:val="auto"/>
              </w:rPr>
            </w:pPr>
            <w:r>
              <w:rPr>
                <w:rFonts w:ascii="Arial" w:cs="Arial" w:eastAsia="Arial" w:hAnsi="Arial"/>
                <w:sz w:val="13"/>
                <w:szCs w:val="13"/>
                <w:b w:val="1"/>
                <w:bCs w:val="1"/>
                <w:i w:val="1"/>
                <w:iCs w:val="1"/>
                <w:color w:val="auto"/>
                <w:w w:val="87"/>
              </w:rPr>
              <w:t>(I.R.S Employer Identification No.)</w:t>
            </w:r>
          </w:p>
        </w:tc>
      </w:tr>
      <w:tr>
        <w:trPr>
          <w:trHeight w:val="351"/>
        </w:trPr>
        <w:tc>
          <w:tcPr>
            <w:tcW w:w="3880" w:type="dxa"/>
            <w:vAlign w:val="bottom"/>
          </w:tcPr>
          <w:p>
            <w:pPr>
              <w:jc w:val="center"/>
              <w:ind w:left="1337"/>
              <w:spacing w:after="0"/>
              <w:rPr>
                <w:sz w:val="20"/>
                <w:szCs w:val="20"/>
                <w:color w:val="auto"/>
              </w:rPr>
            </w:pPr>
            <w:r>
              <w:rPr>
                <w:rFonts w:ascii="Arial" w:cs="Arial" w:eastAsia="Arial" w:hAnsi="Arial"/>
                <w:sz w:val="13"/>
                <w:szCs w:val="13"/>
                <w:b w:val="1"/>
                <w:bCs w:val="1"/>
                <w:color w:val="auto"/>
                <w:w w:val="88"/>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2"/>
              </w:rPr>
              <w:t>70808</w:t>
            </w:r>
          </w:p>
        </w:tc>
      </w:tr>
      <w:tr>
        <w:trPr>
          <w:trHeight w:val="176"/>
        </w:trPr>
        <w:tc>
          <w:tcPr>
            <w:tcW w:w="3880" w:type="dxa"/>
            <w:vAlign w:val="bottom"/>
          </w:tcPr>
          <w:p>
            <w:pPr>
              <w:jc w:val="center"/>
              <w:ind w:left="133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90"/>
              </w:rPr>
              <w:t>(Zip Code)</w:t>
            </w:r>
          </w:p>
        </w:tc>
      </w:tr>
      <w:tr>
        <w:trPr>
          <w:trHeight w:val="278"/>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Arial" w:cs="Arial" w:eastAsia="Arial" w:hAnsi="Arial"/>
                <w:sz w:val="11"/>
                <w:szCs w:val="11"/>
                <w:b w:val="1"/>
                <w:bCs w:val="1"/>
                <w:color w:val="auto"/>
                <w:w w:val="91"/>
              </w:rPr>
              <w:t>Registrants’ telephone number, including area code: (225) 926-1000</w:t>
            </w:r>
          </w:p>
        </w:tc>
        <w:tc>
          <w:tcPr>
            <w:tcW w:w="3740" w:type="dxa"/>
            <w:vAlign w:val="bottom"/>
          </w:tcPr>
          <w:p>
            <w:pPr>
              <w:spacing w:after="0"/>
              <w:rPr>
                <w:sz w:val="24"/>
                <w:szCs w:val="24"/>
                <w:color w:val="auto"/>
              </w:rPr>
            </w:pPr>
          </w:p>
        </w:tc>
      </w:tr>
      <w:tr>
        <w:trPr>
          <w:trHeight w:val="189"/>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Arial" w:cs="Arial" w:eastAsia="Arial" w:hAnsi="Arial"/>
                <w:sz w:val="11"/>
                <w:szCs w:val="11"/>
                <w:color w:val="auto"/>
              </w:rPr>
              <w:t>Securities registered pursuant to Section 12(b) of the Act:</w:t>
            </w:r>
          </w:p>
        </w:tc>
        <w:tc>
          <w:tcPr>
            <w:tcW w:w="3740" w:type="dxa"/>
            <w:vAlign w:val="bottom"/>
          </w:tcPr>
          <w:p>
            <w:pPr>
              <w:spacing w:after="0"/>
              <w:rPr>
                <w:sz w:val="16"/>
                <w:szCs w:val="16"/>
                <w:color w:val="auto"/>
              </w:rPr>
            </w:pPr>
          </w:p>
        </w:tc>
      </w:tr>
      <w:tr>
        <w:trPr>
          <w:trHeight w:val="117"/>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8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91"/>
              </w:rPr>
              <w:t>The NASDAQ Stock Market, LLC</w:t>
            </w:r>
          </w:p>
        </w:tc>
      </w:tr>
    </w:tbl>
    <w:p>
      <w:pPr>
        <w:spacing w:after="0" w:line="134"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277" w:lineRule="auto"/>
        <w:rPr>
          <w:sz w:val="20"/>
          <w:szCs w:val="20"/>
          <w:color w:val="auto"/>
        </w:rPr>
      </w:pPr>
      <w:r>
        <w:rPr>
          <w:rFonts w:ascii="Arial" w:cs="Arial" w:eastAsia="Arial" w:hAnsi="Arial"/>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80" w:type="dxa"/>
            <w:vAlign w:val="bottom"/>
          </w:tcPr>
          <w:p>
            <w:pPr>
              <w:ind w:left="600"/>
              <w:spacing w:after="0"/>
              <w:rPr>
                <w:sz w:val="20"/>
                <w:szCs w:val="20"/>
                <w:color w:val="auto"/>
              </w:rPr>
            </w:pPr>
            <w:r>
              <w:rPr>
                <w:rFonts w:ascii="Arial" w:cs="Arial" w:eastAsia="Arial" w:hAnsi="Arial"/>
                <w:sz w:val="13"/>
                <w:szCs w:val="13"/>
                <w:color w:val="auto"/>
              </w:rPr>
              <w:t>x</w:t>
            </w:r>
          </w:p>
        </w:tc>
        <w:tc>
          <w:tcPr>
            <w:tcW w:w="4660" w:type="dxa"/>
            <w:vAlign w:val="bottom"/>
          </w:tcPr>
          <w:p>
            <w:pPr>
              <w:ind w:left="2580"/>
              <w:spacing w:after="0"/>
              <w:rPr>
                <w:sz w:val="20"/>
                <w:szCs w:val="20"/>
                <w:color w:val="auto"/>
              </w:rPr>
            </w:pPr>
            <w:r>
              <w:rPr>
                <w:rFonts w:ascii="Arial" w:cs="Arial" w:eastAsia="Arial" w:hAnsi="Arial"/>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Non-accelerated filer</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580"/>
              <w:spacing w:after="0"/>
              <w:rPr>
                <w:sz w:val="20"/>
                <w:szCs w:val="20"/>
                <w:color w:val="auto"/>
              </w:rPr>
            </w:pPr>
            <w:r>
              <w:rPr>
                <w:rFonts w:ascii="Arial" w:cs="Arial" w:eastAsia="Arial" w:hAnsi="Arial"/>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30"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171" w:lineRule="exact"/>
        <w:rPr>
          <w:sz w:val="20"/>
          <w:szCs w:val="20"/>
          <w:color w:val="auto"/>
        </w:rPr>
      </w:pPr>
      <w:r>
        <w:rPr>
          <w:rFonts w:ascii="Arial" w:cs="Arial" w:eastAsia="Arial" w:hAnsi="Arial"/>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440" w:type="dxa"/>
            <w:vAlign w:val="bottom"/>
          </w:tcPr>
          <w:p>
            <w:pPr>
              <w:ind w:left="580"/>
              <w:spacing w:after="0"/>
              <w:rPr>
                <w:sz w:val="20"/>
                <w:szCs w:val="20"/>
                <w:color w:val="auto"/>
              </w:rPr>
            </w:pPr>
            <w:r>
              <w:rPr>
                <w:rFonts w:ascii="Arial" w:cs="Arial" w:eastAsia="Arial" w:hAnsi="Arial"/>
                <w:sz w:val="13"/>
                <w:szCs w:val="13"/>
                <w:color w:val="auto"/>
              </w:rPr>
              <w:t>x</w:t>
            </w:r>
          </w:p>
        </w:tc>
        <w:tc>
          <w:tcPr>
            <w:tcW w:w="466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117"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50" w:lineRule="exact"/>
        <w:tabs>
          <w:tab w:leader="none" w:pos="6660" w:val="left"/>
          <w:tab w:leader="none" w:pos="7140" w:val="left"/>
        </w:tabs>
        <w:rPr>
          <w:sz w:val="20"/>
          <w:szCs w:val="20"/>
          <w:color w:val="auto"/>
        </w:rPr>
      </w:pPr>
      <w:r>
        <w:rPr>
          <w:rFonts w:ascii="Arial" w:cs="Arial" w:eastAsia="Arial" w:hAnsi="Arial"/>
          <w:sz w:val="12"/>
          <w:szCs w:val="12"/>
          <w:color w:val="auto"/>
        </w:rPr>
        <w:t>Indicate by check mark whether Lamar Advertising Company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No x</w:t>
      </w:r>
    </w:p>
    <w:p>
      <w:pPr>
        <w:spacing w:after="0" w:line="63" w:lineRule="exact"/>
        <w:rPr>
          <w:sz w:val="24"/>
          <w:szCs w:val="24"/>
          <w:color w:val="auto"/>
        </w:rPr>
      </w:pPr>
    </w:p>
    <w:p>
      <w:pPr>
        <w:spacing w:after="0" w:line="150" w:lineRule="exact"/>
        <w:tabs>
          <w:tab w:leader="none" w:pos="6180" w:val="left"/>
          <w:tab w:leader="none" w:pos="6660" w:val="left"/>
        </w:tabs>
        <w:rPr>
          <w:sz w:val="20"/>
          <w:szCs w:val="20"/>
          <w:color w:val="auto"/>
        </w:rPr>
      </w:pPr>
      <w:r>
        <w:rPr>
          <w:rFonts w:ascii="Arial" w:cs="Arial" w:eastAsia="Arial" w:hAnsi="Arial"/>
          <w:sz w:val="12"/>
          <w:szCs w:val="12"/>
          <w:color w:val="auto"/>
        </w:rPr>
        <w:t>Indicate by check mark whether Lamar Media Corp.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No x</w:t>
      </w:r>
    </w:p>
    <w:p>
      <w:pPr>
        <w:spacing w:after="0" w:line="75"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Lamar Advertising Company’s Class A common stock outstanding as of October 27, 2023: 87,578,076</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Lamar Advertising Company’s Class B common stock outstanding as of October 27, 2023: 14,420,085</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Lamar Media Corp. common stock outstanding as of October 27, 2023: 100</w:t>
      </w:r>
    </w:p>
    <w:p>
      <w:pPr>
        <w:spacing w:after="0" w:line="49" w:lineRule="exact"/>
        <w:rPr>
          <w:sz w:val="24"/>
          <w:szCs w:val="24"/>
          <w:color w:val="auto"/>
        </w:rPr>
      </w:pPr>
    </w:p>
    <w:p>
      <w:pPr>
        <w:spacing w:after="0" w:line="330" w:lineRule="auto"/>
        <w:rPr>
          <w:sz w:val="20"/>
          <w:szCs w:val="20"/>
          <w:color w:val="auto"/>
        </w:rPr>
      </w:pPr>
      <w:r>
        <w:rPr>
          <w:rFonts w:ascii="Arial" w:cs="Arial" w:eastAsia="Arial" w:hAnsi="Arial"/>
          <w:sz w:val="12"/>
          <w:szCs w:val="12"/>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and condition;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plans, objectives, prospects, growth and operating strategies;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capital expenditures and level of acquisition activity;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integrate acquired assets and realize operating efficiency from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opportunities and competitive positions;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cash flows and expected cash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risks;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future dividend distributions;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9" w:lineRule="exact"/>
        <w:rPr>
          <w:sz w:val="20"/>
          <w:szCs w:val="20"/>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state of the economy and financial markets generally and their effects on the markets in which we operate and the broader demand for advertising;</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outdoor advertising in particular;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outdoor advertising and its continued popularity as an advertising medium;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operations and debt refinancing;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regulation of the outdoor advertising industry by federal, state and local governments;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expiring contracts at favorable rates;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businesses and assets that we acquire and our ability to recognize cost savings and operating efficiencies as a result of these acquisitions;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digital deployment strategy;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for our Class A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applicable to REITs or in the interpretation of those laws.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further description of these and other risks and uncertainties, the Company encourages you to read carefully Item 1A to the combined Annual Report on Form 10-K for the year ended December 31, 2022 of the Company and Lamar Media (the “2022 Combined Form 10-K”), filed on February 24, 2023,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0420" w:type="dxa"/>
            <w:vAlign w:val="bottom"/>
            <w:gridSpan w:val="20"/>
            <w:vMerge w:val="restart"/>
          </w:tcPr>
          <w:p>
            <w:pPr>
              <w:spacing w:after="0" w:line="195" w:lineRule="exact"/>
              <w:rPr>
                <w:sz w:val="20"/>
                <w:szCs w:val="20"/>
                <w:color w:val="auto"/>
              </w:rPr>
            </w:pPr>
            <w:r>
              <w:rPr>
                <w:rFonts w:ascii="Arial" w:cs="Arial" w:eastAsia="Arial" w:hAnsi="Arial"/>
                <w:sz w:val="18"/>
                <w:szCs w:val="18"/>
                <w:color w:val="0000FF"/>
              </w:rPr>
              <w:t>PART I —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420" w:type="dxa"/>
            <w:vAlign w:val="bottom"/>
            <w:gridSpan w:val="20"/>
            <w:vMerge w:val="continue"/>
          </w:tcPr>
          <w:p>
            <w:pPr>
              <w:spacing w:after="0"/>
              <w:rPr>
                <w:sz w:val="14"/>
                <w:szCs w:val="14"/>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26"/>
        </w:trPr>
        <w:tc>
          <w:tcPr>
            <w:tcW w:w="30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ITEM 1. FINANCIAL STATEMENTS</w:t>
            </w:r>
          </w:p>
        </w:tc>
        <w:tc>
          <w:tcPr>
            <w:tcW w:w="736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52"/>
        </w:trPr>
        <w:tc>
          <w:tcPr>
            <w:tcW w:w="28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Lamar Advertising Company</w:t>
            </w:r>
          </w:p>
        </w:tc>
        <w:tc>
          <w:tcPr>
            <w:tcW w:w="76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940" w:type="dxa"/>
            <w:vAlign w:val="bottom"/>
            <w:gridSpan w:val="19"/>
          </w:tcPr>
          <w:p>
            <w:pPr>
              <w:spacing w:after="0" w:line="190" w:lineRule="exact"/>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Arial" w:cs="Arial" w:eastAsia="Arial" w:hAnsi="Arial"/>
                <w:sz w:val="18"/>
                <w:szCs w:val="18"/>
                <w:color w:val="0000FF"/>
                <w:w w:val="89"/>
              </w:rPr>
              <w:t>Condensed Consolidated Statements of Income and Comprehensive Income for the three and nine months ended September 30, 2023 and</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660" w:type="dxa"/>
            <w:vAlign w:val="bottom"/>
            <w:tcBorders>
              <w:top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rPr>
              <w:t>2022</w:t>
            </w: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92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Stockholders’ Equity for the three and nine months ended September 30, 2023 and 2022</w:t>
            </w:r>
          </w:p>
        </w:tc>
        <w:tc>
          <w:tcPr>
            <w:tcW w:w="740" w:type="dxa"/>
            <w:vAlign w:val="bottom"/>
            <w:gridSpan w:val="2"/>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2023 and 2022</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8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21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0420" w:type="dxa"/>
            <w:vAlign w:val="bottom"/>
            <w:gridSpan w:val="20"/>
          </w:tcPr>
          <w:p>
            <w:pPr>
              <w:spacing w:after="0"/>
              <w:rPr>
                <w:sz w:val="20"/>
                <w:szCs w:val="20"/>
                <w:color w:val="auto"/>
              </w:rPr>
            </w:pPr>
            <w:r>
              <w:rPr>
                <w:rFonts w:ascii="Arial" w:cs="Arial" w:eastAsia="Arial" w:hAnsi="Arial"/>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940" w:type="dxa"/>
            <w:vAlign w:val="bottom"/>
            <w:gridSpan w:val="19"/>
          </w:tcPr>
          <w:p>
            <w:pPr>
              <w:spacing w:after="0" w:line="190" w:lineRule="exact"/>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Arial" w:cs="Arial" w:eastAsia="Arial" w:hAnsi="Arial"/>
                <w:sz w:val="18"/>
                <w:szCs w:val="18"/>
                <w:color w:val="0000FF"/>
                <w:w w:val="89"/>
              </w:rPr>
              <w:t>Condensed Consolidated Statements of Income and Comprehensive Income for the three and nine months ended September 30, 2023 and</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660" w:type="dxa"/>
            <w:vAlign w:val="bottom"/>
            <w:tcBorders>
              <w:top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rPr>
              <w:t>2022</w:t>
            </w: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9940" w:type="dxa"/>
            <w:vAlign w:val="bottom"/>
            <w:gridSpan w:val="19"/>
          </w:tcPr>
          <w:p>
            <w:pPr>
              <w:spacing w:after="0"/>
              <w:rPr>
                <w:sz w:val="20"/>
                <w:szCs w:val="20"/>
                <w:color w:val="auto"/>
              </w:rPr>
            </w:pPr>
            <w:r>
              <w:rPr>
                <w:rFonts w:ascii="Arial" w:cs="Arial" w:eastAsia="Arial" w:hAnsi="Arial"/>
                <w:sz w:val="18"/>
                <w:szCs w:val="18"/>
                <w:color w:val="0000FF"/>
                <w:w w:val="96"/>
              </w:rPr>
              <w:t>Condensed Consolidated Statements of Stockholder's Equity for the three and nine months ended September 30, 2023 and 2022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1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2023 and 2022</w:t>
            </w:r>
          </w:p>
        </w:tc>
        <w:tc>
          <w:tcPr>
            <w:tcW w:w="78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8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21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2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18"/>
        </w:trPr>
        <w:tc>
          <w:tcPr>
            <w:tcW w:w="50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3"/>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358"/>
        </w:trPr>
        <w:tc>
          <w:tcPr>
            <w:tcW w:w="24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ITEM 4. Controls and Procedures</w:t>
            </w:r>
          </w:p>
        </w:tc>
        <w:tc>
          <w:tcPr>
            <w:tcW w:w="79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358"/>
        </w:trPr>
        <w:tc>
          <w:tcPr>
            <w:tcW w:w="2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PART II — OTHER INFORMATION</w:t>
            </w:r>
          </w:p>
        </w:tc>
        <w:tc>
          <w:tcPr>
            <w:tcW w:w="76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sz w:val="20"/>
                <w:szCs w:val="20"/>
                <w:color w:val="auto"/>
              </w:rPr>
            </w:pPr>
            <w:r>
              <w:rPr>
                <w:rFonts w:ascii="Arial" w:cs="Arial" w:eastAsia="Arial" w:hAnsi="Arial"/>
                <w:sz w:val="18"/>
                <w:szCs w:val="18"/>
                <w:color w:val="0000FF"/>
              </w:rPr>
              <w:t>ITEM 1A. Risk Factors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ITEM 2. Unregistered Sales of Equity Securities and Use of Proceeds</w:t>
            </w:r>
          </w:p>
        </w:tc>
        <w:tc>
          <w:tcPr>
            <w:tcW w:w="54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sz w:val="20"/>
                <w:szCs w:val="20"/>
                <w:color w:val="auto"/>
              </w:rPr>
            </w:pPr>
            <w:r>
              <w:rPr>
                <w:rFonts w:ascii="Arial" w:cs="Arial" w:eastAsia="Arial" w:hAnsi="Arial"/>
                <w:sz w:val="18"/>
                <w:szCs w:val="18"/>
                <w:color w:val="0000FF"/>
              </w:rPr>
              <w:t>ITEM 5. Other Information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358"/>
        </w:trPr>
        <w:tc>
          <w:tcPr>
            <w:tcW w:w="12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6"/>
              </w:rPr>
              <w:t>ITEM 6. Exhibits</w:t>
            </w:r>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194"/>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1"/>
        </w:trPr>
        <w:tc>
          <w:tcPr>
            <w:tcW w:w="8000" w:type="dxa"/>
            <w:vAlign w:val="bottom"/>
            <w:shd w:val="clear" w:color="auto" w:fill="CCEEFF"/>
          </w:tcPr>
          <w:p>
            <w:pPr>
              <w:ind w:left="374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82"/>
        </w:trPr>
        <w:tc>
          <w:tcPr>
            <w:tcW w:w="80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39,395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52,619</w:t>
            </w:r>
          </w:p>
        </w:tc>
      </w:tr>
      <w:tr>
        <w:trPr>
          <w:trHeight w:val="182"/>
        </w:trPr>
        <w:tc>
          <w:tcPr>
            <w:tcW w:w="8000" w:type="dxa"/>
            <w:vAlign w:val="bottom"/>
          </w:tcPr>
          <w:p>
            <w:pPr>
              <w:ind w:left="180"/>
              <w:spacing w:after="0"/>
              <w:rPr>
                <w:sz w:val="20"/>
                <w:szCs w:val="20"/>
                <w:color w:val="auto"/>
              </w:rPr>
            </w:pPr>
            <w:r>
              <w:rPr>
                <w:rFonts w:ascii="Arial" w:cs="Arial" w:eastAsia="Arial" w:hAnsi="Arial"/>
                <w:sz w:val="14"/>
                <w:szCs w:val="14"/>
                <w:color w:val="auto"/>
              </w:rPr>
              <w:t>Receivables, net of allowance for doubtful accounts of $12,220 and $11,418 in 2023 and 2022, respectively</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310,170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285,039</w:t>
            </w:r>
          </w:p>
        </w:tc>
      </w:tr>
      <w:tr>
        <w:trPr>
          <w:trHeight w:val="20"/>
        </w:trPr>
        <w:tc>
          <w:tcPr>
            <w:tcW w:w="8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28,601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26,894</w:t>
            </w:r>
          </w:p>
        </w:tc>
      </w:tr>
      <w:tr>
        <w:trPr>
          <w:trHeight w:val="176"/>
        </w:trPr>
        <w:tc>
          <w:tcPr>
            <w:tcW w:w="800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378,166</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364,552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4,236,573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4,109,146</w:t>
            </w:r>
          </w:p>
        </w:tc>
      </w:tr>
      <w:tr>
        <w:trPr>
          <w:trHeight w:val="182"/>
        </w:trPr>
        <w:tc>
          <w:tcPr>
            <w:tcW w:w="8000" w:type="dxa"/>
            <w:vAlign w:val="bottom"/>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(2,691,274)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(2,609,447)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property, plant and equipment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1,545,299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1,499,699</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jc w:val="both"/>
        <w:ind w:left="20"/>
        <w:spacing w:after="0" w:line="299" w:lineRule="auto"/>
        <w:rPr>
          <w:sz w:val="20"/>
          <w:szCs w:val="20"/>
          <w:color w:val="auto"/>
        </w:rPr>
      </w:pPr>
      <w:r>
        <w:rPr>
          <w:rFonts w:ascii="Arial" w:cs="Arial" w:eastAsia="Arial" w:hAnsi="Arial"/>
          <w:sz w:val="14"/>
          <w:szCs w:val="14"/>
          <w:color w:val="auto"/>
        </w:rPr>
        <w:t>Operating lease right of use assets Financing lease right of use assets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Intangible assets,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1,320,925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1,271,631</w:t>
            </w:r>
          </w:p>
        </w:tc>
      </w:tr>
      <w:tr>
        <w:trPr>
          <w:trHeight w:val="197"/>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11,897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14,037</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2,035,213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2,035,269</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1,195,367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1,206,625</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85,455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83,401</w:t>
            </w:r>
          </w:p>
        </w:tc>
      </w:tr>
      <w:tr>
        <w:trPr>
          <w:trHeight w:val="26"/>
        </w:trPr>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6,572,322</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6,475,214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-638175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-381000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-123825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-86995</wp:posOffset>
            </wp:positionV>
            <wp:extent cx="205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1980" w:space="460"/>
            <w:col w:w="8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00" w:type="dxa"/>
            <w:vAlign w:val="bottom"/>
          </w:tcPr>
          <w:p>
            <w:pPr>
              <w:ind w:left="180"/>
              <w:spacing w:after="0"/>
              <w:rPr>
                <w:sz w:val="20"/>
                <w:szCs w:val="20"/>
                <w:color w:val="auto"/>
              </w:rPr>
            </w:pPr>
            <w:r>
              <w:rPr>
                <w:rFonts w:ascii="Arial" w:cs="Arial" w:eastAsia="Arial" w:hAnsi="Arial"/>
                <w:sz w:val="14"/>
                <w:szCs w:val="14"/>
                <w:color w:val="auto"/>
              </w:rPr>
              <w:t>Trade accounts payable</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17,592</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19,643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net of deferred financing costs of $440 and $593 in 2023 and 2022, respectively</w:t>
            </w: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247,053</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249,785</w:t>
            </w:r>
          </w:p>
        </w:tc>
        <w:tc>
          <w:tcPr>
            <w:tcW w:w="0" w:type="dxa"/>
            <w:vAlign w:val="bottom"/>
          </w:tcPr>
          <w:p>
            <w:pPr>
              <w:spacing w:after="0"/>
              <w:rPr>
                <w:sz w:val="1"/>
                <w:szCs w:val="1"/>
                <w:color w:val="auto"/>
              </w:rPr>
            </w:pPr>
          </w:p>
        </w:tc>
      </w:tr>
      <w:tr>
        <w:trPr>
          <w:trHeight w:val="182"/>
        </w:trPr>
        <w:tc>
          <w:tcPr>
            <w:tcW w:w="8000" w:type="dxa"/>
            <w:vAlign w:val="bottom"/>
          </w:tcPr>
          <w:p>
            <w:pPr>
              <w:ind w:left="180"/>
              <w:spacing w:after="0"/>
              <w:rPr>
                <w:sz w:val="20"/>
                <w:szCs w:val="20"/>
                <w:color w:val="auto"/>
              </w:rPr>
            </w:pPr>
            <w:r>
              <w:rPr>
                <w:rFonts w:ascii="Arial" w:cs="Arial" w:eastAsia="Arial" w:hAnsi="Arial"/>
                <w:sz w:val="14"/>
                <w:szCs w:val="14"/>
                <w:color w:val="auto"/>
              </w:rPr>
              <w:t>Current operating lease liabilities</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184,620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205,838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financing lease liabilities</w:t>
            </w: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2"/>
        </w:trPr>
        <w:tc>
          <w:tcPr>
            <w:tcW w:w="800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96,290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117,593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Deferred income</w:t>
            </w: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143,354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131,847</w:t>
            </w:r>
          </w:p>
        </w:tc>
        <w:tc>
          <w:tcPr>
            <w:tcW w:w="0" w:type="dxa"/>
            <w:vAlign w:val="bottom"/>
          </w:tcPr>
          <w:p>
            <w:pPr>
              <w:spacing w:after="0"/>
              <w:rPr>
                <w:sz w:val="1"/>
                <w:szCs w:val="1"/>
                <w:color w:val="auto"/>
              </w:rPr>
            </w:pPr>
          </w:p>
        </w:tc>
      </w:tr>
      <w:tr>
        <w:trPr>
          <w:trHeight w:val="176"/>
        </w:trPr>
        <w:tc>
          <w:tcPr>
            <w:tcW w:w="800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690,240</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726,037</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 of deferred financing costs of $30,341 and $32,022 in 2023 and 2022, respectively</w:t>
            </w: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3,154,652</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3,063,020</w:t>
            </w:r>
          </w:p>
        </w:tc>
        <w:tc>
          <w:tcPr>
            <w:tcW w:w="0" w:type="dxa"/>
            <w:vAlign w:val="bottom"/>
          </w:tcPr>
          <w:p>
            <w:pPr>
              <w:spacing w:after="0"/>
              <w:rPr>
                <w:sz w:val="1"/>
                <w:szCs w:val="1"/>
                <w:color w:val="auto"/>
              </w:rPr>
            </w:pPr>
          </w:p>
        </w:tc>
      </w:tr>
      <w:tr>
        <w:trPr>
          <w:trHeight w:val="182"/>
        </w:trPr>
        <w:tc>
          <w:tcPr>
            <w:tcW w:w="80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1,078,545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1,035,655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lease liabilities</w:t>
            </w: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14,947</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15,945</w:t>
            </w:r>
          </w:p>
        </w:tc>
        <w:tc>
          <w:tcPr>
            <w:tcW w:w="0" w:type="dxa"/>
            <w:vAlign w:val="bottom"/>
          </w:tcPr>
          <w:p>
            <w:pPr>
              <w:spacing w:after="0"/>
              <w:rPr>
                <w:sz w:val="1"/>
                <w:szCs w:val="1"/>
                <w:color w:val="auto"/>
              </w:rPr>
            </w:pPr>
          </w:p>
        </w:tc>
      </w:tr>
      <w:tr>
        <w:trPr>
          <w:trHeight w:val="182"/>
        </w:trPr>
        <w:tc>
          <w:tcPr>
            <w:tcW w:w="800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10,554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9,651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retirement obligation</w:t>
            </w: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397,041</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390,442</w:t>
            </w:r>
          </w:p>
        </w:tc>
        <w:tc>
          <w:tcPr>
            <w:tcW w:w="0" w:type="dxa"/>
            <w:vAlign w:val="bottom"/>
          </w:tcPr>
          <w:p>
            <w:pPr>
              <w:spacing w:after="0"/>
              <w:rPr>
                <w:sz w:val="1"/>
                <w:szCs w:val="1"/>
                <w:color w:val="auto"/>
              </w:rPr>
            </w:pPr>
          </w:p>
        </w:tc>
      </w:tr>
      <w:tr>
        <w:trPr>
          <w:trHeight w:val="182"/>
        </w:trPr>
        <w:tc>
          <w:tcPr>
            <w:tcW w:w="80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39,501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39,090</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5,385,480</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5,279,840</w:t>
            </w:r>
          </w:p>
        </w:tc>
        <w:tc>
          <w:tcPr>
            <w:tcW w:w="0" w:type="dxa"/>
            <w:vAlign w:val="bottom"/>
          </w:tcPr>
          <w:p>
            <w:pPr>
              <w:spacing w:after="0"/>
              <w:rPr>
                <w:sz w:val="1"/>
                <w:szCs w:val="1"/>
                <w:color w:val="auto"/>
              </w:rPr>
            </w:pPr>
          </w:p>
        </w:tc>
      </w:tr>
      <w:tr>
        <w:trPr>
          <w:trHeight w:val="162"/>
        </w:trPr>
        <w:tc>
          <w:tcPr>
            <w:tcW w:w="80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5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0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Series AA preferred stock, par value $0.001, $63.80 cumulative dividends, 5,720 shares authorized; 5,720 shares issued and</w:t>
            </w:r>
          </w:p>
        </w:tc>
        <w:tc>
          <w:tcPr>
            <w:tcW w:w="5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outstanding at 2023 and 2022</w:t>
            </w:r>
          </w:p>
        </w:tc>
        <w:tc>
          <w:tcPr>
            <w:tcW w:w="5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vMerge w:val="continue"/>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180"/>
              <w:spacing w:after="0" w:line="135" w:lineRule="exact"/>
              <w:rPr>
                <w:sz w:val="20"/>
                <w:szCs w:val="20"/>
                <w:color w:val="auto"/>
              </w:rPr>
            </w:pPr>
            <w:r>
              <w:rPr>
                <w:rFonts w:ascii="Arial" w:cs="Arial" w:eastAsia="Arial" w:hAnsi="Arial"/>
                <w:sz w:val="14"/>
                <w:szCs w:val="14"/>
                <w:color w:val="auto"/>
                <w:w w:val="92"/>
              </w:rPr>
              <w:t>Class A common stock, par value $0.001, 362,500,000 shares authorized; 88,419,011 and 88,110,928 shares issued at 2023 and 2022,</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2"/>
        </w:trPr>
        <w:tc>
          <w:tcPr>
            <w:tcW w:w="8000" w:type="dxa"/>
            <w:vAlign w:val="bottom"/>
          </w:tcPr>
          <w:p>
            <w:pPr>
              <w:ind w:left="360"/>
              <w:spacing w:after="0"/>
              <w:rPr>
                <w:sz w:val="20"/>
                <w:szCs w:val="20"/>
                <w:color w:val="auto"/>
              </w:rPr>
            </w:pPr>
            <w:r>
              <w:rPr>
                <w:rFonts w:ascii="Arial" w:cs="Arial" w:eastAsia="Arial" w:hAnsi="Arial"/>
                <w:sz w:val="14"/>
                <w:szCs w:val="14"/>
                <w:color w:val="auto"/>
              </w:rPr>
              <w:t>respectively; 87,578,076 and 87,327,232 outstanding at 2023 and 2022, respectively</w:t>
            </w:r>
          </w:p>
        </w:tc>
        <w:tc>
          <w:tcPr>
            <w:tcW w:w="5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Class B common stock, par value $0.001, 37,500,000 shares authorized, 14,420,085 shares issued and outstanding at 2023 and 2022</w:t>
            </w: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2"/>
        </w:trPr>
        <w:tc>
          <w:tcPr>
            <w:tcW w:w="80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2,095,477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2,061,671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comprehensive loss</w:t>
            </w: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82"/>
        </w:trPr>
        <w:tc>
          <w:tcPr>
            <w:tcW w:w="800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(840,557)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(804,382)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 of shares held in treasury, 840,935 and 783,696 shares at 2023 and 2022, respectively</w:t>
            </w: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(67,347)</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(61,358)</w:t>
            </w:r>
          </w:p>
        </w:tc>
        <w:tc>
          <w:tcPr>
            <w:tcW w:w="0" w:type="dxa"/>
            <w:vAlign w:val="bottom"/>
          </w:tcPr>
          <w:p>
            <w:pPr>
              <w:spacing w:after="0"/>
              <w:rPr>
                <w:sz w:val="1"/>
                <w:szCs w:val="1"/>
                <w:color w:val="auto"/>
              </w:rPr>
            </w:pPr>
          </w:p>
        </w:tc>
      </w:tr>
      <w:tr>
        <w:trPr>
          <w:trHeight w:val="182"/>
        </w:trPr>
        <w:tc>
          <w:tcPr>
            <w:tcW w:w="8000" w:type="dxa"/>
            <w:vAlign w:val="bottom"/>
          </w:tcPr>
          <w:p>
            <w:pPr>
              <w:ind w:left="180"/>
              <w:spacing w:after="0"/>
              <w:rPr>
                <w:sz w:val="20"/>
                <w:szCs w:val="20"/>
                <w:color w:val="auto"/>
              </w:rPr>
            </w:pPr>
            <w:r>
              <w:rPr>
                <w:rFonts w:ascii="Arial" w:cs="Arial" w:eastAsia="Arial" w:hAnsi="Arial"/>
                <w:sz w:val="14"/>
                <w:szCs w:val="14"/>
                <w:color w:val="auto"/>
              </w:rPr>
              <w:t>Non-controlling interest</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Stockholders’ equity</w:t>
            </w: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1,186,842</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1,195,374</w:t>
            </w:r>
          </w:p>
        </w:tc>
        <w:tc>
          <w:tcPr>
            <w:tcW w:w="0" w:type="dxa"/>
            <w:vAlign w:val="bottom"/>
          </w:tcPr>
          <w:p>
            <w:pPr>
              <w:spacing w:after="0"/>
              <w:rPr>
                <w:sz w:val="1"/>
                <w:szCs w:val="1"/>
                <w:color w:val="auto"/>
              </w:rPr>
            </w:pPr>
          </w:p>
        </w:tc>
      </w:tr>
      <w:tr>
        <w:trPr>
          <w:trHeight w:val="196"/>
        </w:trPr>
        <w:tc>
          <w:tcPr>
            <w:tcW w:w="8000" w:type="dxa"/>
            <w:vAlign w:val="bottom"/>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6,572,322</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6,475,214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Statements of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542,609</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527,390</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1,555,078</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1,496,630</w:t>
            </w:r>
          </w:p>
        </w:tc>
        <w:tc>
          <w:tcPr>
            <w:tcW w:w="0" w:type="dxa"/>
            <w:vAlign w:val="bottom"/>
          </w:tcPr>
          <w:p>
            <w:pPr>
              <w:spacing w:after="0"/>
              <w:rPr>
                <w:sz w:val="1"/>
                <w:szCs w:val="1"/>
                <w:color w:val="auto"/>
              </w:rPr>
            </w:pPr>
          </w:p>
        </w:tc>
      </w:tr>
      <w:tr>
        <w:trPr>
          <w:trHeight w:val="19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Direct advertising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175,188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168,968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515,403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493,463</w:t>
            </w:r>
          </w:p>
        </w:tc>
        <w:tc>
          <w:tcPr>
            <w:tcW w:w="0" w:type="dxa"/>
            <w:vAlign w:val="bottom"/>
          </w:tcPr>
          <w:p>
            <w:pPr>
              <w:spacing w:after="0"/>
              <w:rPr>
                <w:sz w:val="1"/>
                <w:szCs w:val="1"/>
                <w:color w:val="auto"/>
              </w:rPr>
            </w:pPr>
          </w:p>
        </w:tc>
      </w:tr>
      <w:tr>
        <w:trPr>
          <w:trHeight w:val="219"/>
        </w:trPr>
        <w:tc>
          <w:tcPr>
            <w:tcW w:w="562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3"/>
              </w:rPr>
              <w:t>General and administrative expenses (exclusive of 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81,283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87,181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256,943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260,923</w:t>
            </w: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Corporate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81,331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74,077</w:t>
            </w:r>
          </w:p>
        </w:tc>
        <w:tc>
          <w:tcPr>
            <w:tcW w:w="0" w:type="dxa"/>
            <w:vAlign w:val="bottom"/>
          </w:tcPr>
          <w:p>
            <w:pPr>
              <w:spacing w:after="0"/>
              <w:rPr>
                <w:sz w:val="1"/>
                <w:szCs w:val="1"/>
                <w:color w:val="auto"/>
              </w:rPr>
            </w:pPr>
          </w:p>
        </w:tc>
      </w:tr>
      <w:tr>
        <w:trPr>
          <w:trHeight w:val="219"/>
        </w:trPr>
        <w:tc>
          <w:tcPr>
            <w:tcW w:w="5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74,636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65,833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222,919</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202,210</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Gain on disposition of assets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12"/>
        </w:trPr>
        <w:tc>
          <w:tcPr>
            <w:tcW w:w="56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354,476</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346,403</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1,071,353</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1,028,683</w:t>
            </w:r>
          </w:p>
        </w:tc>
        <w:tc>
          <w:tcPr>
            <w:tcW w:w="0" w:type="dxa"/>
            <w:vAlign w:val="bottom"/>
          </w:tcPr>
          <w:p>
            <w:pPr>
              <w:spacing w:after="0"/>
              <w:rPr>
                <w:sz w:val="1"/>
                <w:szCs w:val="1"/>
                <w:color w:val="auto"/>
              </w:rPr>
            </w:pPr>
          </w:p>
        </w:tc>
      </w:tr>
      <w:tr>
        <w:trPr>
          <w:trHeight w:val="207"/>
        </w:trPr>
        <w:tc>
          <w:tcPr>
            <w:tcW w:w="562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188,133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180,987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483,725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467,947</w:t>
            </w:r>
          </w:p>
        </w:tc>
        <w:tc>
          <w:tcPr>
            <w:tcW w:w="0" w:type="dxa"/>
            <w:vAlign w:val="bottom"/>
          </w:tcPr>
          <w:p>
            <w:pPr>
              <w:spacing w:after="0"/>
              <w:rPr>
                <w:sz w:val="1"/>
                <w:szCs w:val="1"/>
                <w:color w:val="auto"/>
              </w:rPr>
            </w:pPr>
          </w:p>
        </w:tc>
      </w:tr>
      <w:tr>
        <w:trPr>
          <w:trHeight w:val="21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130,163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89,824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investee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86,427</w:t>
            </w:r>
          </w:p>
        </w:tc>
        <w:tc>
          <w:tcPr>
            <w:tcW w:w="0" w:type="dxa"/>
            <w:vAlign w:val="bottom"/>
          </w:tcPr>
          <w:p>
            <w:pPr>
              <w:spacing w:after="0"/>
              <w:rPr>
                <w:sz w:val="1"/>
                <w:szCs w:val="1"/>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144,268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381,520</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8,976</w:t>
            </w:r>
          </w:p>
        </w:tc>
        <w:tc>
          <w:tcPr>
            <w:tcW w:w="0" w:type="dxa"/>
            <w:vAlign w:val="bottom"/>
          </w:tcPr>
          <w:p>
            <w:pPr>
              <w:spacing w:after="0"/>
              <w:rPr>
                <w:sz w:val="1"/>
                <w:szCs w:val="1"/>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372,544</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controlling interest</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140,017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146,188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346,678</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372,544</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dividends declared and paid on preferred stock</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applicable to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139,926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346,405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372,271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tcPr>
          <w:p>
            <w:pPr>
              <w:ind w:left="22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dividends declared per share of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Weighted average common shares used in computing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 average common shares outstanding 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101,960,356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101,580,997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101,890,573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101,469,918</w:t>
            </w: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Weighted average common shares outstanding diluted</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102,130,614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89"/>
              </w:rPr>
              <w:t>101,685,965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102,085,016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89"/>
              </w:rPr>
              <w:t>101,599,157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Comprehensive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140,425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146,188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347,511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372,544</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139,782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347,269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370,774</w:t>
            </w: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Earnings attributable to non-controlling interest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controlling interest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370,774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660" w:type="dxa"/>
            <w:vAlign w:val="bottom"/>
          </w:tcPr>
          <w:p>
            <w:pPr>
              <w:spacing w:after="0"/>
              <w:rPr>
                <w:sz w:val="10"/>
                <w:szCs w:val="10"/>
                <w:color w:val="auto"/>
              </w:rPr>
            </w:pPr>
          </w:p>
        </w:tc>
        <w:tc>
          <w:tcPr>
            <w:tcW w:w="720" w:type="dxa"/>
            <w:vAlign w:val="bottom"/>
          </w:tcPr>
          <w:p>
            <w:pPr>
              <w:jc w:val="center"/>
              <w:ind w:left="161"/>
              <w:spacing w:after="0"/>
              <w:rPr>
                <w:sz w:val="20"/>
                <w:szCs w:val="20"/>
                <w:color w:val="auto"/>
              </w:rPr>
            </w:pPr>
            <w:r>
              <w:rPr>
                <w:rFonts w:ascii="Arial" w:cs="Arial" w:eastAsia="Arial" w:hAnsi="Arial"/>
                <w:sz w:val="11"/>
                <w:szCs w:val="11"/>
                <w:b w:val="1"/>
                <w:bCs w:val="1"/>
                <w:color w:val="auto"/>
                <w:w w:val="88"/>
              </w:rPr>
              <w:t>Series AA</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
              <w:spacing w:after="0"/>
              <w:rPr>
                <w:sz w:val="20"/>
                <w:szCs w:val="20"/>
                <w:color w:val="auto"/>
              </w:rPr>
            </w:pPr>
            <w:r>
              <w:rPr>
                <w:rFonts w:ascii="Arial" w:cs="Arial" w:eastAsia="Arial" w:hAnsi="Arial"/>
                <w:sz w:val="11"/>
                <w:szCs w:val="11"/>
                <w:b w:val="1"/>
                <w:bCs w:val="1"/>
                <w:color w:val="auto"/>
              </w:rPr>
              <w:t>Class A</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Class B</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Treasury</w:t>
            </w:r>
          </w:p>
        </w:tc>
        <w:tc>
          <w:tcPr>
            <w:tcW w:w="180" w:type="dxa"/>
            <w:vAlign w:val="bottom"/>
          </w:tcPr>
          <w:p>
            <w:pPr>
              <w:spacing w:after="0"/>
              <w:rPr>
                <w:sz w:val="10"/>
                <w:szCs w:val="1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Add’l</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Non-controlling</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720" w:type="dxa"/>
            <w:vAlign w:val="bottom"/>
          </w:tcPr>
          <w:p>
            <w:pPr>
              <w:jc w:val="center"/>
              <w:ind w:left="141"/>
              <w:spacing w:after="0" w:line="108" w:lineRule="exact"/>
              <w:rPr>
                <w:sz w:val="20"/>
                <w:szCs w:val="20"/>
                <w:color w:val="auto"/>
              </w:rPr>
            </w:pPr>
            <w:r>
              <w:rPr>
                <w:rFonts w:ascii="Arial" w:cs="Arial" w:eastAsia="Arial" w:hAnsi="Arial"/>
                <w:sz w:val="11"/>
                <w:szCs w:val="11"/>
                <w:b w:val="1"/>
                <w:bCs w:val="1"/>
                <w:color w:val="auto"/>
                <w:w w:val="95"/>
              </w:rPr>
              <w:t>PREF</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41"/>
              <w:spacing w:after="0" w:line="108" w:lineRule="exact"/>
              <w:rPr>
                <w:sz w:val="20"/>
                <w:szCs w:val="20"/>
                <w:color w:val="auto"/>
              </w:rPr>
            </w:pPr>
            <w:r>
              <w:rPr>
                <w:rFonts w:ascii="Arial" w:cs="Arial" w:eastAsia="Arial" w:hAnsi="Arial"/>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21"/>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4"/>
              </w:rPr>
              <w:t>Paid in</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29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660" w:type="dxa"/>
            <w:vAlign w:val="bottom"/>
          </w:tcPr>
          <w:p>
            <w:pPr>
              <w:spacing w:after="0"/>
              <w:rPr>
                <w:sz w:val="12"/>
                <w:szCs w:val="12"/>
                <w:color w:val="auto"/>
              </w:rPr>
            </w:pPr>
          </w:p>
        </w:tc>
        <w:tc>
          <w:tcPr>
            <w:tcW w:w="720" w:type="dxa"/>
            <w:vAlign w:val="bottom"/>
          </w:tcPr>
          <w:p>
            <w:pPr>
              <w:jc w:val="center"/>
              <w:ind w:left="161"/>
              <w:spacing w:after="0"/>
              <w:rPr>
                <w:sz w:val="20"/>
                <w:szCs w:val="20"/>
                <w:color w:val="auto"/>
              </w:rPr>
            </w:pPr>
            <w:r>
              <w:rPr>
                <w:rFonts w:ascii="Arial" w:cs="Arial" w:eastAsia="Arial" w:hAnsi="Arial"/>
                <w:sz w:val="11"/>
                <w:szCs w:val="11"/>
                <w:b w:val="1"/>
                <w:bCs w:val="1"/>
                <w:color w:val="auto"/>
                <w:w w:val="86"/>
              </w:rPr>
              <w:t>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41"/>
              <w:spacing w:after="0"/>
              <w:rPr>
                <w:sz w:val="20"/>
                <w:szCs w:val="20"/>
                <w:color w:val="auto"/>
              </w:rPr>
            </w:pPr>
            <w:r>
              <w:rPr>
                <w:rFonts w:ascii="Arial" w:cs="Arial" w:eastAsia="Arial" w:hAnsi="Arial"/>
                <w:sz w:val="11"/>
                <w:szCs w:val="11"/>
                <w:b w:val="1"/>
                <w:bCs w:val="1"/>
                <w:color w:val="auto"/>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1"/>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Loss</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8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interest</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w w:val="97"/>
              </w:rPr>
              <w:t>Balance, December 31, 2022</w:t>
            </w:r>
          </w:p>
        </w:tc>
        <w:tc>
          <w:tcPr>
            <w:tcW w:w="720" w:type="dxa"/>
            <w:vAlign w:val="bottom"/>
            <w:shd w:val="clear" w:color="auto" w:fill="CCEEFF"/>
          </w:tcPr>
          <w:p>
            <w:pPr>
              <w:jc w:val="right"/>
              <w:ind w:right="581"/>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88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(61,358)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2,061,671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(804,382)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1,195,374</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20"/>
                <w:szCs w:val="20"/>
                <w:color w:val="auto"/>
              </w:rPr>
            </w:pPr>
            <w:r>
              <w:rPr>
                <w:rFonts w:ascii="Arial" w:cs="Arial" w:eastAsia="Arial" w:hAnsi="Arial"/>
                <w:sz w:val="13"/>
                <w:szCs w:val="13"/>
                <w:color w:val="auto"/>
              </w:rPr>
              <w:t>Non-cash compensation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3,305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4"/>
              </w:rPr>
              <w:t>Issuance of 161,050 shares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ind w:left="160"/>
              <w:spacing w:after="0" w:line="122" w:lineRule="exact"/>
              <w:rPr>
                <w:sz w:val="20"/>
                <w:szCs w:val="20"/>
                <w:color w:val="auto"/>
              </w:rPr>
            </w:pPr>
            <w:r>
              <w:rPr>
                <w:rFonts w:ascii="Arial" w:cs="Arial" w:eastAsia="Arial" w:hAnsi="Arial"/>
                <w:sz w:val="13"/>
                <w:szCs w:val="13"/>
                <w:color w:val="auto"/>
                <w:w w:val="89"/>
              </w:rPr>
              <w:t>common stock through stock</w:t>
            </w: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awards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15,934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15,934</w:t>
            </w: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3"/>
                <w:szCs w:val="13"/>
                <w:color w:val="auto"/>
                <w:w w:val="99"/>
              </w:rPr>
              <w:t>Exercise of 10,595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60"/>
              <w:spacing w:after="0"/>
              <w:rPr>
                <w:sz w:val="20"/>
                <w:szCs w:val="20"/>
                <w:color w:val="auto"/>
              </w:rPr>
            </w:pPr>
            <w:r>
              <w:rPr>
                <w:rFonts w:ascii="Arial" w:cs="Arial" w:eastAsia="Arial" w:hAnsi="Arial"/>
                <w:sz w:val="13"/>
                <w:szCs w:val="13"/>
                <w:color w:val="auto"/>
              </w:rPr>
              <w:t>stock options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678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8"/>
              </w:rPr>
              <w:t>Issuance of 45,232 shares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ind w:left="160"/>
              <w:spacing w:after="0" w:line="122" w:lineRule="exact"/>
              <w:rPr>
                <w:sz w:val="20"/>
                <w:szCs w:val="20"/>
                <w:color w:val="auto"/>
              </w:rPr>
            </w:pPr>
            <w:r>
              <w:rPr>
                <w:rFonts w:ascii="Arial" w:cs="Arial" w:eastAsia="Arial" w:hAnsi="Arial"/>
                <w:sz w:val="13"/>
                <w:szCs w:val="13"/>
                <w:color w:val="auto"/>
              </w:rPr>
              <w:t>common stock through</w:t>
            </w: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purchase plan</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3,530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3,530</w:t>
            </w: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3"/>
                <w:szCs w:val="13"/>
                <w:color w:val="auto"/>
                <w:w w:val="96"/>
              </w:rPr>
              <w:t>Purchase of 56,808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60"/>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(5,946)</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20"/>
                <w:szCs w:val="20"/>
                <w:color w:val="auto"/>
              </w:rPr>
            </w:pPr>
            <w:r>
              <w:rPr>
                <w:rFonts w:ascii="Arial" w:cs="Arial" w:eastAsia="Arial" w:hAnsi="Arial"/>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76,041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157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76,198</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Reallocation of capital</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397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3"/>
                <w:szCs w:val="13"/>
                <w:color w:val="auto"/>
                <w:w w:val="94"/>
              </w:rPr>
              <w:t>Dividends ($1.25 per common</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60"/>
              <w:spacing w:after="0"/>
              <w:rPr>
                <w:sz w:val="20"/>
                <w:szCs w:val="20"/>
                <w:color w:val="auto"/>
              </w:rPr>
            </w:pPr>
            <w:r>
              <w:rPr>
                <w:rFonts w:ascii="Arial" w:cs="Arial" w:eastAsia="Arial" w:hAnsi="Arial"/>
                <w:sz w:val="13"/>
                <w:szCs w:val="13"/>
                <w:color w:val="auto"/>
                <w:w w:val="87"/>
              </w:rPr>
              <w:t>share) and other distributions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(127,460)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(127,674)</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9"/>
              </w:rPr>
              <w:t>Dividends ($15.95 per preferred</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3"/>
        </w:trPr>
        <w:tc>
          <w:tcPr>
            <w:tcW w:w="16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Balance, March 31, 2023</w:t>
            </w:r>
          </w:p>
        </w:tc>
        <w:tc>
          <w:tcPr>
            <w:tcW w:w="72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6"/>
              </w:rPr>
              <w:t>88</w:t>
            </w:r>
          </w:p>
        </w:tc>
        <w:tc>
          <w:tcPr>
            <w:tcW w:w="10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(67,304)</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2,084,102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(855,892)</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340</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1,160,687</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Non-cash compensation</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2,133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2,133</w:t>
            </w: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3"/>
                <w:szCs w:val="13"/>
                <w:color w:val="auto"/>
              </w:rPr>
              <w:t>Issuance of 7,126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160"/>
              <w:spacing w:after="0" w:line="122" w:lineRule="exact"/>
              <w:rPr>
                <w:sz w:val="20"/>
                <w:szCs w:val="20"/>
                <w:color w:val="auto"/>
              </w:rPr>
            </w:pPr>
            <w:r>
              <w:rPr>
                <w:rFonts w:ascii="Arial" w:cs="Arial" w:eastAsia="Arial" w:hAnsi="Arial"/>
                <w:sz w:val="13"/>
                <w:szCs w:val="13"/>
                <w:color w:val="auto"/>
                <w:w w:val="89"/>
              </w:rPr>
              <w:t>common stock through stock</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60"/>
              <w:spacing w:after="0"/>
              <w:rPr>
                <w:sz w:val="20"/>
                <w:szCs w:val="20"/>
                <w:color w:val="auto"/>
              </w:rPr>
            </w:pPr>
            <w:r>
              <w:rPr>
                <w:rFonts w:ascii="Arial" w:cs="Arial" w:eastAsia="Arial" w:hAnsi="Arial"/>
                <w:sz w:val="13"/>
                <w:szCs w:val="13"/>
                <w:color w:val="auto"/>
              </w:rPr>
              <w:t>awards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681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9"/>
              </w:rPr>
              <w:t>Exercise of 11,540 shares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options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21"/>
        </w:trPr>
        <w:tc>
          <w:tcPr>
            <w:tcW w:w="1660" w:type="dxa"/>
            <w:vAlign w:val="bottom"/>
          </w:tcPr>
          <w:p>
            <w:pPr>
              <w:spacing w:after="0" w:line="122" w:lineRule="exact"/>
              <w:rPr>
                <w:sz w:val="20"/>
                <w:szCs w:val="20"/>
                <w:color w:val="auto"/>
              </w:rPr>
            </w:pPr>
            <w:r>
              <w:rPr>
                <w:rFonts w:ascii="Arial" w:cs="Arial" w:eastAsia="Arial" w:hAnsi="Arial"/>
                <w:sz w:val="13"/>
                <w:szCs w:val="13"/>
                <w:color w:val="auto"/>
                <w:w w:val="98"/>
              </w:rPr>
              <w:t>Issuance of 34,283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160"/>
              <w:spacing w:after="0" w:line="122" w:lineRule="exact"/>
              <w:rPr>
                <w:sz w:val="20"/>
                <w:szCs w:val="20"/>
                <w:color w:val="auto"/>
              </w:rPr>
            </w:pPr>
            <w:r>
              <w:rPr>
                <w:rFonts w:ascii="Arial" w:cs="Arial" w:eastAsia="Arial" w:hAnsi="Arial"/>
                <w:sz w:val="13"/>
                <w:szCs w:val="13"/>
                <w:color w:val="auto"/>
              </w:rPr>
              <w:t>common stock through</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60"/>
              <w:spacing w:after="0"/>
              <w:rPr>
                <w:sz w:val="20"/>
                <w:szCs w:val="20"/>
                <w:color w:val="auto"/>
              </w:rPr>
            </w:pPr>
            <w:r>
              <w:rPr>
                <w:rFonts w:ascii="Arial" w:cs="Arial" w:eastAsia="Arial" w:hAnsi="Arial"/>
                <w:sz w:val="13"/>
                <w:szCs w:val="13"/>
                <w:color w:val="auto"/>
              </w:rPr>
              <w:t>employee purchase plan</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2,675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2,675</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20"/>
                <w:szCs w:val="20"/>
                <w:color w:val="auto"/>
              </w:rPr>
            </w:pPr>
            <w:r>
              <w:rPr>
                <w:rFonts w:ascii="Arial" w:cs="Arial" w:eastAsia="Arial" w:hAnsi="Arial"/>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130,620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268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130,888</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Dividends/distributions to</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ind w:left="160"/>
              <w:spacing w:after="0" w:line="122" w:lineRule="exact"/>
              <w:rPr>
                <w:sz w:val="20"/>
                <w:szCs w:val="20"/>
                <w:color w:val="auto"/>
              </w:rPr>
            </w:pPr>
            <w:r>
              <w:rPr>
                <w:rFonts w:ascii="Arial" w:cs="Arial" w:eastAsia="Arial" w:hAnsi="Arial"/>
                <w:sz w:val="13"/>
                <w:szCs w:val="13"/>
                <w:color w:val="auto"/>
                <w:w w:val="87"/>
              </w:rPr>
              <w:t>common shareholders ($1.25</w:t>
            </w: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per common 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(127,691)</w:t>
            </w:r>
          </w:p>
        </w:tc>
        <w:tc>
          <w:tcPr>
            <w:tcW w:w="0" w:type="dxa"/>
            <w:vAlign w:val="bottom"/>
          </w:tcPr>
          <w:p>
            <w:pPr>
              <w:spacing w:after="0"/>
              <w:rPr>
                <w:sz w:val="1"/>
                <w:szCs w:val="1"/>
                <w:color w:val="auto"/>
              </w:rPr>
            </w:pPr>
          </w:p>
        </w:tc>
      </w:tr>
      <w:tr>
        <w:trPr>
          <w:trHeight w:val="121"/>
        </w:trPr>
        <w:tc>
          <w:tcPr>
            <w:tcW w:w="1660" w:type="dxa"/>
            <w:vAlign w:val="bottom"/>
          </w:tcPr>
          <w:p>
            <w:pPr>
              <w:spacing w:after="0" w:line="122" w:lineRule="exact"/>
              <w:rPr>
                <w:sz w:val="20"/>
                <w:szCs w:val="20"/>
                <w:color w:val="auto"/>
              </w:rPr>
            </w:pPr>
            <w:r>
              <w:rPr>
                <w:rFonts w:ascii="Arial" w:cs="Arial" w:eastAsia="Arial" w:hAnsi="Arial"/>
                <w:sz w:val="13"/>
                <w:szCs w:val="13"/>
                <w:color w:val="auto"/>
                <w:w w:val="89"/>
              </w:rPr>
              <w:t>Dividends ($15.95 per preferred</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160"/>
              <w:spacing w:after="0"/>
              <w:rPr>
                <w:sz w:val="20"/>
                <w:szCs w:val="20"/>
                <w:color w:val="auto"/>
              </w:rPr>
            </w:pPr>
            <w:r>
              <w:rPr>
                <w:rFonts w:ascii="Arial" w:cs="Arial" w:eastAsia="Arial" w:hAnsi="Arial"/>
                <w:sz w:val="13"/>
                <w:szCs w:val="13"/>
                <w:color w:val="auto"/>
              </w:rPr>
              <w:t>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75"/>
        </w:trPr>
        <w:tc>
          <w:tcPr>
            <w:tcW w:w="1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June 30, 2023</w:t>
            </w:r>
          </w:p>
        </w:tc>
        <w:tc>
          <w:tcPr>
            <w:tcW w:w="72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6"/>
              </w:rPr>
              <w:t>88</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(67,304)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2,090,400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(852,901)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455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1,170,494</w:t>
            </w:r>
          </w:p>
        </w:tc>
        <w:tc>
          <w:tcPr>
            <w:tcW w:w="0" w:type="dxa"/>
            <w:vAlign w:val="bottom"/>
          </w:tcPr>
          <w:p>
            <w:pPr>
              <w:spacing w:after="0"/>
              <w:rPr>
                <w:sz w:val="1"/>
                <w:szCs w:val="1"/>
                <w:color w:val="auto"/>
              </w:rPr>
            </w:pPr>
          </w:p>
        </w:tc>
      </w:tr>
      <w:tr>
        <w:trPr>
          <w:trHeight w:val="161"/>
        </w:trPr>
        <w:tc>
          <w:tcPr>
            <w:tcW w:w="1660" w:type="dxa"/>
            <w:vAlign w:val="bottom"/>
          </w:tcPr>
          <w:p>
            <w:pPr>
              <w:spacing w:after="0"/>
              <w:rPr>
                <w:sz w:val="20"/>
                <w:szCs w:val="20"/>
                <w:color w:val="auto"/>
              </w:rPr>
            </w:pPr>
            <w:r>
              <w:rPr>
                <w:rFonts w:ascii="Arial" w:cs="Arial" w:eastAsia="Arial" w:hAnsi="Arial"/>
                <w:sz w:val="13"/>
                <w:szCs w:val="13"/>
                <w:color w:val="auto"/>
              </w:rPr>
              <w:t>Non-cash compensation</w:t>
            </w:r>
          </w:p>
        </w:tc>
        <w:tc>
          <w:tcPr>
            <w:tcW w:w="7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2,368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2,368</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0"/>
              </w:rPr>
              <w:t>Exercise of 850 shares of stock</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options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3"/>
                <w:szCs w:val="13"/>
                <w:color w:val="auto"/>
                <w:w w:val="98"/>
              </w:rPr>
              <w:t>Issuance of shares 37,407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tcPr>
          <w:p>
            <w:pPr>
              <w:ind w:left="160"/>
              <w:spacing w:after="0" w:line="122" w:lineRule="exact"/>
              <w:rPr>
                <w:sz w:val="20"/>
                <w:szCs w:val="20"/>
                <w:color w:val="auto"/>
              </w:rPr>
            </w:pPr>
            <w:r>
              <w:rPr>
                <w:rFonts w:ascii="Arial" w:cs="Arial" w:eastAsia="Arial" w:hAnsi="Arial"/>
                <w:sz w:val="13"/>
                <w:szCs w:val="13"/>
                <w:color w:val="auto"/>
              </w:rPr>
              <w:t>common stock through</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60"/>
              <w:spacing w:after="0"/>
              <w:rPr>
                <w:sz w:val="20"/>
                <w:szCs w:val="20"/>
                <w:color w:val="auto"/>
              </w:rPr>
            </w:pPr>
            <w:r>
              <w:rPr>
                <w:rFonts w:ascii="Arial" w:cs="Arial" w:eastAsia="Arial" w:hAnsi="Arial"/>
                <w:sz w:val="13"/>
                <w:szCs w:val="13"/>
                <w:color w:val="auto"/>
              </w:rPr>
              <w:t>employee purchase plan</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2,654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2,654</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Purchase of 431 shares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treasury stock</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(643)</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408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140,425</w:t>
            </w: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3"/>
                <w:szCs w:val="13"/>
                <w:color w:val="auto"/>
              </w:rPr>
              <w:t>Dividends/distributions to</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tcPr>
          <w:p>
            <w:pPr>
              <w:ind w:left="160"/>
              <w:spacing w:after="0" w:line="122" w:lineRule="exact"/>
              <w:rPr>
                <w:sz w:val="20"/>
                <w:szCs w:val="20"/>
                <w:color w:val="auto"/>
              </w:rPr>
            </w:pPr>
            <w:r>
              <w:rPr>
                <w:rFonts w:ascii="Arial" w:cs="Arial" w:eastAsia="Arial" w:hAnsi="Arial"/>
                <w:sz w:val="13"/>
                <w:szCs w:val="13"/>
                <w:color w:val="auto"/>
                <w:w w:val="87"/>
              </w:rPr>
              <w:t>common shareholders ($1.25</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60"/>
              <w:spacing w:after="0"/>
              <w:rPr>
                <w:sz w:val="20"/>
                <w:szCs w:val="20"/>
                <w:color w:val="auto"/>
              </w:rPr>
            </w:pPr>
            <w:r>
              <w:rPr>
                <w:rFonts w:ascii="Arial" w:cs="Arial" w:eastAsia="Arial" w:hAnsi="Arial"/>
                <w:sz w:val="13"/>
                <w:szCs w:val="13"/>
                <w:color w:val="auto"/>
              </w:rPr>
              <w:t>per common 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(127,582)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(128,377)</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9"/>
              </w:rPr>
              <w:t>Dividends ($15.95 per preferred</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20"/>
                <w:szCs w:val="20"/>
                <w:color w:val="auto"/>
              </w:rPr>
            </w:pPr>
            <w:r>
              <w:rPr>
                <w:rFonts w:ascii="Arial" w:cs="Arial" w:eastAsia="Arial" w:hAnsi="Arial"/>
                <w:sz w:val="13"/>
                <w:szCs w:val="13"/>
                <w:color w:val="auto"/>
                <w:w w:val="95"/>
              </w:rPr>
              <w:t>Balance, September 30, 2023</w:t>
            </w:r>
          </w:p>
        </w:tc>
        <w:tc>
          <w:tcPr>
            <w:tcW w:w="72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6"/>
              </w:rPr>
              <w:t>88</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(67,347)</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2,095,477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(840,557)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1,186,842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660" w:type="dxa"/>
            <w:vAlign w:val="bottom"/>
          </w:tcPr>
          <w:p>
            <w:pPr>
              <w:spacing w:after="0"/>
              <w:rPr>
                <w:sz w:val="10"/>
                <w:szCs w:val="10"/>
                <w:color w:val="auto"/>
              </w:rPr>
            </w:pPr>
          </w:p>
        </w:tc>
        <w:tc>
          <w:tcPr>
            <w:tcW w:w="720" w:type="dxa"/>
            <w:vAlign w:val="bottom"/>
          </w:tcPr>
          <w:p>
            <w:pPr>
              <w:jc w:val="center"/>
              <w:ind w:left="161"/>
              <w:spacing w:after="0"/>
              <w:rPr>
                <w:sz w:val="20"/>
                <w:szCs w:val="20"/>
                <w:color w:val="auto"/>
              </w:rPr>
            </w:pPr>
            <w:r>
              <w:rPr>
                <w:rFonts w:ascii="Arial" w:cs="Arial" w:eastAsia="Arial" w:hAnsi="Arial"/>
                <w:sz w:val="11"/>
                <w:szCs w:val="11"/>
                <w:b w:val="1"/>
                <w:bCs w:val="1"/>
                <w:color w:val="auto"/>
                <w:w w:val="88"/>
              </w:rPr>
              <w:t>Series AA</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Class A</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Class B</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Treasury</w:t>
            </w:r>
          </w:p>
        </w:tc>
        <w:tc>
          <w:tcPr>
            <w:tcW w:w="200" w:type="dxa"/>
            <w:vAlign w:val="bottom"/>
          </w:tcPr>
          <w:p>
            <w:pPr>
              <w:spacing w:after="0"/>
              <w:rPr>
                <w:sz w:val="10"/>
                <w:szCs w:val="1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Add’l</w:t>
            </w:r>
          </w:p>
        </w:tc>
        <w:tc>
          <w:tcPr>
            <w:tcW w:w="10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Non-controlling</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720" w:type="dxa"/>
            <w:vAlign w:val="bottom"/>
          </w:tcPr>
          <w:p>
            <w:pPr>
              <w:jc w:val="center"/>
              <w:ind w:left="141"/>
              <w:spacing w:after="0" w:line="108" w:lineRule="exact"/>
              <w:rPr>
                <w:sz w:val="20"/>
                <w:szCs w:val="20"/>
                <w:color w:val="auto"/>
              </w:rPr>
            </w:pPr>
            <w:r>
              <w:rPr>
                <w:rFonts w:ascii="Arial" w:cs="Arial" w:eastAsia="Arial" w:hAnsi="Arial"/>
                <w:sz w:val="11"/>
                <w:szCs w:val="11"/>
                <w:b w:val="1"/>
                <w:bCs w:val="1"/>
                <w:color w:val="auto"/>
                <w:w w:val="95"/>
              </w:rPr>
              <w:t>PREF</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41"/>
              <w:spacing w:after="0" w:line="108" w:lineRule="exact"/>
              <w:rPr>
                <w:sz w:val="20"/>
                <w:szCs w:val="20"/>
                <w:color w:val="auto"/>
              </w:rPr>
            </w:pPr>
            <w:r>
              <w:rPr>
                <w:rFonts w:ascii="Arial" w:cs="Arial" w:eastAsia="Arial" w:hAnsi="Arial"/>
                <w:sz w:val="11"/>
                <w:szCs w:val="11"/>
                <w:b w:val="1"/>
                <w:bCs w:val="1"/>
                <w:color w:val="auto"/>
              </w:rPr>
              <w:t>CMN</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41"/>
              <w:spacing w:after="0" w:line="108" w:lineRule="exact"/>
              <w:rPr>
                <w:sz w:val="20"/>
                <w:szCs w:val="20"/>
                <w:color w:val="auto"/>
              </w:rPr>
            </w:pPr>
            <w:r>
              <w:rPr>
                <w:rFonts w:ascii="Arial" w:cs="Arial" w:eastAsia="Arial" w:hAnsi="Arial"/>
                <w:sz w:val="11"/>
                <w:szCs w:val="11"/>
                <w:b w:val="1"/>
                <w:bCs w:val="1"/>
                <w:color w:val="auto"/>
              </w:rPr>
              <w:t>CMN</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4"/>
              </w:rPr>
              <w:t>Paid in</w:t>
            </w:r>
          </w:p>
        </w:tc>
        <w:tc>
          <w:tcPr>
            <w:tcW w:w="10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29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660" w:type="dxa"/>
            <w:vAlign w:val="bottom"/>
          </w:tcPr>
          <w:p>
            <w:pPr>
              <w:spacing w:after="0"/>
              <w:rPr>
                <w:sz w:val="12"/>
                <w:szCs w:val="12"/>
                <w:color w:val="auto"/>
              </w:rPr>
            </w:pPr>
          </w:p>
        </w:tc>
        <w:tc>
          <w:tcPr>
            <w:tcW w:w="720" w:type="dxa"/>
            <w:vAlign w:val="bottom"/>
          </w:tcPr>
          <w:p>
            <w:pPr>
              <w:jc w:val="center"/>
              <w:ind w:left="161"/>
              <w:spacing w:after="0"/>
              <w:rPr>
                <w:sz w:val="20"/>
                <w:szCs w:val="20"/>
                <w:color w:val="auto"/>
              </w:rPr>
            </w:pPr>
            <w:r>
              <w:rPr>
                <w:rFonts w:ascii="Arial" w:cs="Arial" w:eastAsia="Arial" w:hAnsi="Arial"/>
                <w:sz w:val="11"/>
                <w:szCs w:val="11"/>
                <w:b w:val="1"/>
                <w:bCs w:val="1"/>
                <w:color w:val="auto"/>
                <w:w w:val="86"/>
              </w:rPr>
              <w:t>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41"/>
              <w:spacing w:after="0"/>
              <w:rPr>
                <w:sz w:val="20"/>
                <w:szCs w:val="20"/>
                <w:color w:val="auto"/>
              </w:rPr>
            </w:pPr>
            <w:r>
              <w:rPr>
                <w:rFonts w:ascii="Arial" w:cs="Arial" w:eastAsia="Arial" w:hAnsi="Arial"/>
                <w:sz w:val="11"/>
                <w:szCs w:val="11"/>
                <w:b w:val="1"/>
                <w:bCs w:val="1"/>
                <w:color w:val="auto"/>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41"/>
              <w:spacing w:after="0"/>
              <w:rPr>
                <w:sz w:val="20"/>
                <w:szCs w:val="20"/>
                <w:color w:val="auto"/>
              </w:rPr>
            </w:pPr>
            <w:r>
              <w:rPr>
                <w:rFonts w:ascii="Arial" w:cs="Arial" w:eastAsia="Arial" w:hAnsi="Arial"/>
                <w:sz w:val="11"/>
                <w:szCs w:val="11"/>
                <w:b w:val="1"/>
                <w:bCs w:val="1"/>
                <w:color w:val="auto"/>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Income (Loss)</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Pr>
          <w:p>
            <w:pPr>
              <w:spacing w:after="0"/>
              <w:rPr>
                <w:sz w:val="12"/>
                <w:szCs w:val="12"/>
                <w:color w:val="auto"/>
              </w:rPr>
            </w:pPr>
          </w:p>
        </w:tc>
        <w:tc>
          <w:tcPr>
            <w:tcW w:w="1060" w:type="dxa"/>
            <w:vAlign w:val="bottom"/>
            <w:gridSpan w:val="2"/>
          </w:tcPr>
          <w:p>
            <w:pPr>
              <w:ind w:left="240"/>
              <w:spacing w:after="0"/>
              <w:rPr>
                <w:sz w:val="20"/>
                <w:szCs w:val="20"/>
                <w:color w:val="auto"/>
              </w:rPr>
            </w:pPr>
            <w:r>
              <w:rPr>
                <w:rFonts w:ascii="Arial" w:cs="Arial" w:eastAsia="Arial" w:hAnsi="Arial"/>
                <w:sz w:val="11"/>
                <w:szCs w:val="11"/>
                <w:b w:val="1"/>
                <w:bCs w:val="1"/>
                <w:color w:val="auto"/>
              </w:rPr>
              <w:t>interest</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w w:val="96"/>
              </w:rPr>
              <w:t>Balance, December 31, 2021</w:t>
            </w: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2,001,399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(734,415)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1,217,089</w:t>
            </w:r>
          </w:p>
        </w:tc>
        <w:tc>
          <w:tcPr>
            <w:tcW w:w="0" w:type="dxa"/>
            <w:vAlign w:val="bottom"/>
          </w:tcPr>
          <w:p>
            <w:pPr>
              <w:spacing w:after="0"/>
              <w:rPr>
                <w:sz w:val="1"/>
                <w:szCs w:val="1"/>
                <w:color w:val="auto"/>
              </w:rPr>
            </w:pPr>
          </w:p>
        </w:tc>
      </w:tr>
      <w:tr>
        <w:trPr>
          <w:trHeight w:val="168"/>
        </w:trPr>
        <w:tc>
          <w:tcPr>
            <w:tcW w:w="1660" w:type="dxa"/>
            <w:vAlign w:val="bottom"/>
          </w:tcPr>
          <w:p>
            <w:pPr>
              <w:ind w:left="20"/>
              <w:spacing w:after="0"/>
              <w:rPr>
                <w:sz w:val="20"/>
                <w:szCs w:val="20"/>
                <w:color w:val="auto"/>
              </w:rPr>
            </w:pPr>
            <w:r>
              <w:rPr>
                <w:rFonts w:ascii="Arial" w:cs="Arial" w:eastAsia="Arial" w:hAnsi="Arial"/>
                <w:sz w:val="13"/>
                <w:szCs w:val="13"/>
                <w:color w:val="auto"/>
              </w:rPr>
              <w:t>Non-cash compensation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1,405</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Issuance of 241,750 shares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88"/>
              </w:rPr>
              <w:t>common stock through stock</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awards</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30,145</w:t>
            </w: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2" w:lineRule="exact"/>
              <w:rPr>
                <w:sz w:val="20"/>
                <w:szCs w:val="20"/>
                <w:color w:val="auto"/>
              </w:rPr>
            </w:pPr>
            <w:r>
              <w:rPr>
                <w:rFonts w:ascii="Arial" w:cs="Arial" w:eastAsia="Arial" w:hAnsi="Arial"/>
                <w:sz w:val="13"/>
                <w:szCs w:val="13"/>
                <w:color w:val="auto"/>
                <w:w w:val="98"/>
              </w:rPr>
              <w:t>Exercise of 26,190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80"/>
              <w:spacing w:after="0"/>
              <w:rPr>
                <w:sz w:val="20"/>
                <w:szCs w:val="20"/>
                <w:color w:val="auto"/>
              </w:rPr>
            </w:pPr>
            <w:r>
              <w:rPr>
                <w:rFonts w:ascii="Arial" w:cs="Arial" w:eastAsia="Arial" w:hAnsi="Arial"/>
                <w:sz w:val="13"/>
                <w:szCs w:val="13"/>
                <w:color w:val="auto"/>
              </w:rPr>
              <w:t>stock options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Issuance of 36,347 shares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common stock through</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purchase plan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3,589</w:t>
            </w: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2" w:lineRule="exact"/>
              <w:rPr>
                <w:sz w:val="20"/>
                <w:szCs w:val="20"/>
                <w:color w:val="auto"/>
              </w:rPr>
            </w:pPr>
            <w:r>
              <w:rPr>
                <w:rFonts w:ascii="Arial" w:cs="Arial" w:eastAsia="Arial" w:hAnsi="Arial"/>
                <w:sz w:val="13"/>
                <w:szCs w:val="13"/>
                <w:color w:val="auto"/>
                <w:w w:val="95"/>
              </w:rPr>
              <w:t>Purchase of 95,091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80"/>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(10,446)</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68"/>
        </w:trPr>
        <w:tc>
          <w:tcPr>
            <w:tcW w:w="16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92,151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92,151</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Dividends/distributions to</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86"/>
              </w:rPr>
              <w:t>common shareholders ($1.10</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 common share)</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(111,602)</w:t>
            </w: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2" w:lineRule="exact"/>
              <w:rPr>
                <w:sz w:val="20"/>
                <w:szCs w:val="20"/>
                <w:color w:val="auto"/>
              </w:rPr>
            </w:pPr>
            <w:r>
              <w:rPr>
                <w:rFonts w:ascii="Arial" w:cs="Arial" w:eastAsia="Arial" w:hAnsi="Arial"/>
                <w:sz w:val="13"/>
                <w:szCs w:val="13"/>
                <w:color w:val="auto"/>
                <w:w w:val="88"/>
              </w:rPr>
              <w:t>Dividends ($15.95 per preferred</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180"/>
              <w:spacing w:after="0"/>
              <w:rPr>
                <w:sz w:val="20"/>
                <w:szCs w:val="20"/>
                <w:color w:val="auto"/>
              </w:rPr>
            </w:pPr>
            <w:r>
              <w:rPr>
                <w:rFonts w:ascii="Arial" w:cs="Arial" w:eastAsia="Arial" w:hAnsi="Arial"/>
                <w:sz w:val="13"/>
                <w:szCs w:val="13"/>
                <w:color w:val="auto"/>
              </w:rPr>
              <w:t>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76"/>
        </w:trPr>
        <w:tc>
          <w:tcPr>
            <w:tcW w:w="16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March 31, 2022</w:t>
            </w:r>
          </w:p>
        </w:tc>
        <w:tc>
          <w:tcPr>
            <w:tcW w:w="72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(61,298)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2,037,845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(753,957)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1,223,861</w:t>
            </w:r>
          </w:p>
        </w:tc>
        <w:tc>
          <w:tcPr>
            <w:tcW w:w="0" w:type="dxa"/>
            <w:vAlign w:val="bottom"/>
          </w:tcPr>
          <w:p>
            <w:pPr>
              <w:spacing w:after="0"/>
              <w:rPr>
                <w:sz w:val="1"/>
                <w:szCs w:val="1"/>
                <w:color w:val="auto"/>
              </w:rPr>
            </w:pPr>
          </w:p>
        </w:tc>
      </w:tr>
      <w:tr>
        <w:trPr>
          <w:trHeight w:val="161"/>
        </w:trPr>
        <w:tc>
          <w:tcPr>
            <w:tcW w:w="1660" w:type="dxa"/>
            <w:vAlign w:val="bottom"/>
          </w:tcPr>
          <w:p>
            <w:pPr>
              <w:ind w:left="20"/>
              <w:spacing w:after="0" w:line="141" w:lineRule="exact"/>
              <w:rPr>
                <w:sz w:val="20"/>
                <w:szCs w:val="20"/>
                <w:color w:val="auto"/>
              </w:rPr>
            </w:pPr>
            <w:r>
              <w:rPr>
                <w:rFonts w:ascii="Arial" w:cs="Arial" w:eastAsia="Arial" w:hAnsi="Arial"/>
                <w:sz w:val="13"/>
                <w:szCs w:val="13"/>
                <w:color w:val="auto"/>
              </w:rPr>
              <w:t>Non-cash compensation</w:t>
            </w:r>
          </w:p>
        </w:tc>
        <w:tc>
          <w:tcPr>
            <w:tcW w:w="7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1,356</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7,197 shares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88"/>
              </w:rPr>
              <w:t>common stock through stock</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awards</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2" w:lineRule="exact"/>
              <w:rPr>
                <w:sz w:val="20"/>
                <w:szCs w:val="20"/>
                <w:color w:val="auto"/>
              </w:rPr>
            </w:pPr>
            <w:r>
              <w:rPr>
                <w:rFonts w:ascii="Arial" w:cs="Arial" w:eastAsia="Arial" w:hAnsi="Arial"/>
                <w:sz w:val="13"/>
                <w:szCs w:val="13"/>
                <w:color w:val="auto"/>
                <w:w w:val="98"/>
              </w:rPr>
              <w:t>Exercise of 13,131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80"/>
              <w:spacing w:after="0"/>
              <w:rPr>
                <w:sz w:val="20"/>
                <w:szCs w:val="20"/>
                <w:color w:val="auto"/>
              </w:rPr>
            </w:pPr>
            <w:r>
              <w:rPr>
                <w:rFonts w:ascii="Arial" w:cs="Arial" w:eastAsia="Arial" w:hAnsi="Arial"/>
                <w:sz w:val="13"/>
                <w:szCs w:val="13"/>
                <w:color w:val="auto"/>
              </w:rPr>
              <w:t>stock options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Issuance of 32,172 shares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common stock through</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purchase plan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2,406</w:t>
            </w:r>
          </w:p>
        </w:tc>
        <w:tc>
          <w:tcPr>
            <w:tcW w:w="0" w:type="dxa"/>
            <w:vAlign w:val="bottom"/>
          </w:tcPr>
          <w:p>
            <w:pPr>
              <w:spacing w:after="0"/>
              <w:rPr>
                <w:sz w:val="1"/>
                <w:szCs w:val="1"/>
                <w:color w:val="auto"/>
              </w:rPr>
            </w:pPr>
          </w:p>
        </w:tc>
      </w:tr>
      <w:tr>
        <w:trPr>
          <w:trHeight w:val="168"/>
        </w:trPr>
        <w:tc>
          <w:tcPr>
            <w:tcW w:w="166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134,205</w:t>
            </w:r>
          </w:p>
        </w:tc>
        <w:tc>
          <w:tcPr>
            <w:tcW w:w="0" w:type="dxa"/>
            <w:vAlign w:val="bottom"/>
          </w:tcPr>
          <w:p>
            <w:pPr>
              <w:spacing w:after="0"/>
              <w:rPr>
                <w:sz w:val="1"/>
                <w:szCs w:val="1"/>
                <w:color w:val="auto"/>
              </w:rPr>
            </w:pPr>
          </w:p>
        </w:tc>
      </w:tr>
      <w:tr>
        <w:trPr>
          <w:trHeight w:val="121"/>
        </w:trPr>
        <w:tc>
          <w:tcPr>
            <w:tcW w:w="1660" w:type="dxa"/>
            <w:vAlign w:val="bottom"/>
          </w:tcPr>
          <w:p>
            <w:pPr>
              <w:ind w:left="20"/>
              <w:spacing w:after="0" w:line="122" w:lineRule="exact"/>
              <w:rPr>
                <w:sz w:val="20"/>
                <w:szCs w:val="20"/>
                <w:color w:val="auto"/>
              </w:rPr>
            </w:pPr>
            <w:r>
              <w:rPr>
                <w:rFonts w:ascii="Arial" w:cs="Arial" w:eastAsia="Arial" w:hAnsi="Arial"/>
                <w:sz w:val="13"/>
                <w:szCs w:val="13"/>
                <w:color w:val="auto"/>
              </w:rPr>
              <w:t>Dividends/distributions to</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60" w:type="dxa"/>
            <w:vAlign w:val="bottom"/>
          </w:tcPr>
          <w:p>
            <w:pPr>
              <w:ind w:left="180"/>
              <w:spacing w:after="0" w:line="134" w:lineRule="exact"/>
              <w:rPr>
                <w:sz w:val="20"/>
                <w:szCs w:val="20"/>
                <w:color w:val="auto"/>
              </w:rPr>
            </w:pPr>
            <w:r>
              <w:rPr>
                <w:rFonts w:ascii="Arial" w:cs="Arial" w:eastAsia="Arial" w:hAnsi="Arial"/>
                <w:sz w:val="13"/>
                <w:szCs w:val="13"/>
                <w:color w:val="auto"/>
                <w:w w:val="86"/>
              </w:rPr>
              <w:t>common shareholders ($1.20</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60" w:type="dxa"/>
            <w:vAlign w:val="bottom"/>
          </w:tcPr>
          <w:p>
            <w:pPr>
              <w:ind w:left="180"/>
              <w:spacing w:after="0"/>
              <w:rPr>
                <w:sz w:val="20"/>
                <w:szCs w:val="20"/>
                <w:color w:val="auto"/>
              </w:rPr>
            </w:pPr>
            <w:r>
              <w:rPr>
                <w:rFonts w:ascii="Arial" w:cs="Arial" w:eastAsia="Arial" w:hAnsi="Arial"/>
                <w:sz w:val="13"/>
                <w:szCs w:val="13"/>
                <w:color w:val="auto"/>
              </w:rPr>
              <w:t>per common share)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(121,808)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(121,808)</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Dividends ($15.95 per preferred</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2"/>
        </w:trPr>
        <w:tc>
          <w:tcPr>
            <w:tcW w:w="166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Balance, June 30, 2022</w:t>
            </w:r>
          </w:p>
        </w:tc>
        <w:tc>
          <w:tcPr>
            <w:tcW w:w="7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(61,298)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2,042,427</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486</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(741,651)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1,240,066</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Non-cash compensation</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4,283</w:t>
            </w:r>
          </w:p>
        </w:tc>
        <w:tc>
          <w:tcPr>
            <w:tcW w:w="0" w:type="dxa"/>
            <w:vAlign w:val="bottom"/>
          </w:tcPr>
          <w:p>
            <w:pPr>
              <w:spacing w:after="0"/>
              <w:rPr>
                <w:sz w:val="1"/>
                <w:szCs w:val="1"/>
                <w:color w:val="auto"/>
              </w:rPr>
            </w:pPr>
          </w:p>
        </w:tc>
      </w:tr>
      <w:tr>
        <w:trPr>
          <w:trHeight w:val="121"/>
        </w:trPr>
        <w:tc>
          <w:tcPr>
            <w:tcW w:w="1660" w:type="dxa"/>
            <w:vAlign w:val="bottom"/>
          </w:tcPr>
          <w:p>
            <w:pPr>
              <w:ind w:left="20"/>
              <w:spacing w:after="0" w:line="122" w:lineRule="exact"/>
              <w:rPr>
                <w:sz w:val="20"/>
                <w:szCs w:val="20"/>
                <w:color w:val="auto"/>
              </w:rPr>
            </w:pPr>
            <w:r>
              <w:rPr>
                <w:rFonts w:ascii="Arial" w:cs="Arial" w:eastAsia="Arial" w:hAnsi="Arial"/>
                <w:sz w:val="13"/>
                <w:szCs w:val="13"/>
                <w:color w:val="auto"/>
                <w:w w:val="94"/>
              </w:rPr>
              <w:t>Exercise of 114,440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80"/>
              <w:spacing w:after="0"/>
              <w:rPr>
                <w:sz w:val="20"/>
                <w:szCs w:val="20"/>
                <w:color w:val="auto"/>
              </w:rPr>
            </w:pPr>
            <w:r>
              <w:rPr>
                <w:rFonts w:ascii="Arial" w:cs="Arial" w:eastAsia="Arial" w:hAnsi="Arial"/>
                <w:sz w:val="13"/>
                <w:szCs w:val="13"/>
                <w:color w:val="auto"/>
              </w:rPr>
              <w:t>stock options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4,945</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Issuance of shares 35,016 of</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common stock through</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purchase plan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w:t>
            </w:r>
          </w:p>
        </w:tc>
        <w:tc>
          <w:tcPr>
            <w:tcW w:w="0" w:type="dxa"/>
            <w:vAlign w:val="bottom"/>
          </w:tcPr>
          <w:p>
            <w:pPr>
              <w:spacing w:after="0"/>
              <w:rPr>
                <w:sz w:val="1"/>
                <w:szCs w:val="1"/>
                <w:color w:val="auto"/>
              </w:rPr>
            </w:pPr>
          </w:p>
        </w:tc>
      </w:tr>
      <w:tr>
        <w:trPr>
          <w:trHeight w:val="121"/>
        </w:trPr>
        <w:tc>
          <w:tcPr>
            <w:tcW w:w="1660" w:type="dxa"/>
            <w:vAlign w:val="bottom"/>
          </w:tcPr>
          <w:p>
            <w:pPr>
              <w:ind w:left="20"/>
              <w:spacing w:after="0" w:line="122" w:lineRule="exact"/>
              <w:rPr>
                <w:sz w:val="20"/>
                <w:szCs w:val="20"/>
                <w:color w:val="auto"/>
              </w:rPr>
            </w:pPr>
            <w:r>
              <w:rPr>
                <w:rFonts w:ascii="Arial" w:cs="Arial" w:eastAsia="Arial" w:hAnsi="Arial"/>
                <w:sz w:val="13"/>
                <w:szCs w:val="13"/>
                <w:color w:val="auto"/>
              </w:rPr>
              <w:t>Purchase of 588 shares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180"/>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(1,401)</w:t>
            </w:r>
          </w:p>
        </w:tc>
        <w:tc>
          <w:tcPr>
            <w:tcW w:w="0" w:type="dxa"/>
            <w:vAlign w:val="bottom"/>
          </w:tcPr>
          <w:p>
            <w:pPr>
              <w:spacing w:after="0"/>
              <w:rPr>
                <w:sz w:val="1"/>
                <w:szCs w:val="1"/>
                <w:color w:val="auto"/>
              </w:rPr>
            </w:pPr>
          </w:p>
        </w:tc>
      </w:tr>
      <w:tr>
        <w:trPr>
          <w:trHeight w:val="168"/>
        </w:trPr>
        <w:tc>
          <w:tcPr>
            <w:tcW w:w="16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146,188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146,188</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Dividends/distributions to</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86"/>
              </w:rPr>
              <w:t>common shareholders ($1.20</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 common share)</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(122,100)</w:t>
            </w:r>
          </w:p>
        </w:tc>
        <w:tc>
          <w:tcPr>
            <w:tcW w:w="0" w:type="dxa"/>
            <w:vAlign w:val="bottom"/>
          </w:tcPr>
          <w:p>
            <w:pPr>
              <w:spacing w:after="0"/>
              <w:rPr>
                <w:sz w:val="1"/>
                <w:szCs w:val="1"/>
                <w:color w:val="auto"/>
              </w:rPr>
            </w:pPr>
          </w:p>
        </w:tc>
      </w:tr>
      <w:tr>
        <w:trPr>
          <w:trHeight w:val="121"/>
        </w:trPr>
        <w:tc>
          <w:tcPr>
            <w:tcW w:w="1660" w:type="dxa"/>
            <w:vAlign w:val="bottom"/>
          </w:tcPr>
          <w:p>
            <w:pPr>
              <w:ind w:left="20"/>
              <w:spacing w:after="0" w:line="122" w:lineRule="exact"/>
              <w:rPr>
                <w:sz w:val="20"/>
                <w:szCs w:val="20"/>
                <w:color w:val="auto"/>
              </w:rPr>
            </w:pPr>
            <w:r>
              <w:rPr>
                <w:rFonts w:ascii="Arial" w:cs="Arial" w:eastAsia="Arial" w:hAnsi="Arial"/>
                <w:sz w:val="13"/>
                <w:szCs w:val="13"/>
                <w:color w:val="auto"/>
                <w:w w:val="88"/>
              </w:rPr>
              <w:t>Dividends ($15.95 per preferred</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180"/>
              <w:spacing w:after="0"/>
              <w:rPr>
                <w:sz w:val="20"/>
                <w:szCs w:val="20"/>
                <w:color w:val="auto"/>
              </w:rPr>
            </w:pPr>
            <w:r>
              <w:rPr>
                <w:rFonts w:ascii="Arial" w:cs="Arial" w:eastAsia="Arial" w:hAnsi="Arial"/>
                <w:sz w:val="13"/>
                <w:szCs w:val="13"/>
                <w:color w:val="auto"/>
              </w:rPr>
              <w:t>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94"/>
        </w:trPr>
        <w:tc>
          <w:tcPr>
            <w:tcW w:w="166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w w:val="94"/>
              </w:rPr>
              <w:t>Balance, September 30, 2022</w:t>
            </w:r>
          </w:p>
        </w:tc>
        <w:tc>
          <w:tcPr>
            <w:tcW w:w="72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2,054,110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(717,654)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1,274,285</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Arial" w:cs="Arial" w:eastAsia="Arial" w:hAnsi="Arial"/>
          <w:sz w:val="13"/>
          <w:szCs w:val="13"/>
          <w:b w:val="1"/>
          <w:bCs w:val="1"/>
          <w:color w:val="auto"/>
        </w:rPr>
        <w:t>Nine Months Ended</w:t>
      </w:r>
    </w:p>
    <w:p>
      <w:pPr>
        <w:jc w:val="center"/>
        <w:ind w:left="8420"/>
        <w:spacing w:after="0"/>
        <w:rPr>
          <w:sz w:val="20"/>
          <w:szCs w:val="20"/>
          <w:color w:val="auto"/>
        </w:rPr>
      </w:pPr>
      <w:r>
        <w:rPr>
          <w:rFonts w:ascii="Arial" w:cs="Arial" w:eastAsia="Arial" w:hAnsi="Arial"/>
          <w:sz w:val="13"/>
          <w:szCs w:val="13"/>
          <w:b w:val="1"/>
          <w:bCs w:val="1"/>
          <w:color w:val="auto"/>
        </w:rPr>
        <w:t>September 30,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84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2022</w:t>
            </w:r>
          </w:p>
        </w:tc>
      </w:tr>
      <w:tr>
        <w:trPr>
          <w:trHeight w:val="161"/>
        </w:trPr>
        <w:tc>
          <w:tcPr>
            <w:tcW w:w="84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flows from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347,511</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372,544</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222,919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202,210</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14,331</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4,527</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Gain on disposition of assets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Loss on extinguishment of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Equity in earnings of investee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(2,655)</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Deferred tax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1,851</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Provision for doubtful accounts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5,868</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4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820"/>
              <w:spacing w:after="0"/>
              <w:rPr>
                <w:sz w:val="20"/>
                <w:szCs w:val="20"/>
                <w:color w:val="auto"/>
              </w:rPr>
            </w:pPr>
            <w:r>
              <w:rPr>
                <w:rFonts w:ascii="Arial" w:cs="Arial" w:eastAsia="Arial" w:hAnsi="Arial"/>
                <w:sz w:val="13"/>
                <w:szCs w:val="13"/>
                <w:color w:val="auto"/>
              </w:rPr>
              <w:t>Receivables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(33,755)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(29,510)</w:t>
            </w:r>
          </w:p>
        </w:tc>
      </w:tr>
      <w:tr>
        <w:trPr>
          <w:trHeight w:val="183"/>
        </w:trPr>
        <w:tc>
          <w:tcPr>
            <w:tcW w:w="84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Prepaid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(2,681)</w:t>
            </w:r>
          </w:p>
        </w:tc>
      </w:tr>
      <w:tr>
        <w:trPr>
          <w:trHeight w:val="168"/>
        </w:trPr>
        <w:tc>
          <w:tcPr>
            <w:tcW w:w="8440" w:type="dxa"/>
            <w:vAlign w:val="bottom"/>
          </w:tcPr>
          <w:p>
            <w:pPr>
              <w:ind w:left="820"/>
              <w:spacing w:after="0"/>
              <w:rPr>
                <w:sz w:val="20"/>
                <w:szCs w:val="20"/>
                <w:color w:val="auto"/>
              </w:rPr>
            </w:pPr>
            <w:r>
              <w:rPr>
                <w:rFonts w:ascii="Arial" w:cs="Arial" w:eastAsia="Arial" w:hAnsi="Arial"/>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3,510</w:t>
            </w:r>
          </w:p>
        </w:tc>
      </w:tr>
      <w:tr>
        <w:trPr>
          <w:trHeight w:val="183"/>
        </w:trPr>
        <w:tc>
          <w:tcPr>
            <w:tcW w:w="84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(Decrease) increase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820"/>
              <w:spacing w:after="0"/>
              <w:rPr>
                <w:sz w:val="20"/>
                <w:szCs w:val="20"/>
                <w:color w:val="auto"/>
              </w:rPr>
            </w:pPr>
            <w:r>
              <w:rPr>
                <w:rFonts w:ascii="Arial" w:cs="Arial" w:eastAsia="Arial" w:hAnsi="Arial"/>
                <w:sz w:val="13"/>
                <w:szCs w:val="13"/>
                <w:color w:val="auto"/>
              </w:rPr>
              <w:t>Trade accounts payable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(895)</w:t>
            </w:r>
          </w:p>
        </w:tc>
      </w:tr>
      <w:tr>
        <w:trPr>
          <w:trHeight w:val="183"/>
        </w:trPr>
        <w:tc>
          <w:tcPr>
            <w:tcW w:w="84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Accrued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(12,773)</w:t>
            </w:r>
          </w:p>
        </w:tc>
      </w:tr>
      <w:tr>
        <w:trPr>
          <w:trHeight w:val="168"/>
        </w:trPr>
        <w:tc>
          <w:tcPr>
            <w:tcW w:w="8440" w:type="dxa"/>
            <w:vAlign w:val="bottom"/>
          </w:tcPr>
          <w:p>
            <w:pPr>
              <w:ind w:left="820"/>
              <w:spacing w:after="0"/>
              <w:rPr>
                <w:sz w:val="20"/>
                <w:szCs w:val="20"/>
                <w:color w:val="auto"/>
              </w:rPr>
            </w:pPr>
            <w:r>
              <w:rPr>
                <w:rFonts w:ascii="Arial" w:cs="Arial" w:eastAsia="Arial" w:hAnsi="Arial"/>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(25,838)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(18,881)</w:t>
            </w:r>
          </w:p>
        </w:tc>
      </w:tr>
      <w:tr>
        <w:trPr>
          <w:trHeight w:val="183"/>
        </w:trPr>
        <w:tc>
          <w:tcPr>
            <w:tcW w:w="84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Other liabilities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1,649</w:t>
            </w:r>
          </w:p>
        </w:tc>
      </w:tr>
      <w:tr>
        <w:trPr>
          <w:trHeight w:val="163"/>
        </w:trPr>
        <w:tc>
          <w:tcPr>
            <w:tcW w:w="8440" w:type="dxa"/>
            <w:vAlign w:val="bottom"/>
            <w:tcBorders>
              <w:bottom w:val="single" w:sz="8" w:color="CCEEFF"/>
            </w:tcBorders>
          </w:tcPr>
          <w:p>
            <w:pPr>
              <w:ind w:left="1140"/>
              <w:spacing w:after="0"/>
              <w:rPr>
                <w:sz w:val="20"/>
                <w:szCs w:val="20"/>
                <w:color w:val="auto"/>
              </w:rPr>
            </w:pPr>
            <w:r>
              <w:rPr>
                <w:rFonts w:ascii="Arial" w:cs="Arial" w:eastAsia="Arial" w:hAnsi="Arial"/>
                <w:sz w:val="13"/>
                <w:szCs w:val="13"/>
                <w:color w:val="auto"/>
              </w:rPr>
              <w:t>Net cash provided by operating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529,420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537,105</w:t>
            </w:r>
          </w:p>
        </w:tc>
      </w:tr>
      <w:tr>
        <w:trPr>
          <w:trHeight w:val="162"/>
        </w:trPr>
        <w:tc>
          <w:tcPr>
            <w:tcW w:w="84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Cash flows from 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Acquisitions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6"/>
              </w:rPr>
              <w:t>(120,324)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(287,860)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 expenditures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(132,152)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(116,808)</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from disposition of assets and investments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6,489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2,146</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Decrease in notes receivable</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63"/>
        </w:trPr>
        <w:tc>
          <w:tcPr>
            <w:tcW w:w="8440" w:type="dxa"/>
            <w:vAlign w:val="bottom"/>
            <w:tcBorders>
              <w:bottom w:val="single" w:sz="8" w:color="CCEEFF"/>
            </w:tcBorders>
          </w:tcPr>
          <w:p>
            <w:pPr>
              <w:ind w:left="1140"/>
              <w:spacing w:after="0"/>
              <w:rPr>
                <w:sz w:val="20"/>
                <w:szCs w:val="20"/>
                <w:color w:val="auto"/>
              </w:rPr>
            </w:pPr>
            <w:r>
              <w:rPr>
                <w:rFonts w:ascii="Arial" w:cs="Arial" w:eastAsia="Arial" w:hAnsi="Arial"/>
                <w:sz w:val="13"/>
                <w:szCs w:val="13"/>
                <w:color w:val="auto"/>
              </w:rPr>
              <w:t>Net cash used in investing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(245,925)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(402,464)</w:t>
            </w:r>
          </w:p>
        </w:tc>
      </w:tr>
      <w:tr>
        <w:trPr>
          <w:trHeight w:val="162"/>
        </w:trPr>
        <w:tc>
          <w:tcPr>
            <w:tcW w:w="84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Cash flows from financing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Cash used for purchase of treasury stock</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(5,989)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(10,506)</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proceeds from issuance of common stock</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15,301</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Principal payments on long-term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(273)</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Payments on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6"/>
              </w:rPr>
              <w:t>(243,000)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(575,000)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333,000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140,000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(74,900)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senior credit facility term loans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350,000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Debt issuance costs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Distributions to non-controlling interest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(1,019)</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Dividends/distributions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(382,853)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(355,783)</w:t>
            </w:r>
          </w:p>
        </w:tc>
      </w:tr>
      <w:tr>
        <w:trPr>
          <w:trHeight w:val="163"/>
        </w:trPr>
        <w:tc>
          <w:tcPr>
            <w:tcW w:w="8440" w:type="dxa"/>
            <w:vAlign w:val="bottom"/>
            <w:tcBorders>
              <w:bottom w:val="single" w:sz="8" w:color="CCEEFF"/>
            </w:tcBorders>
          </w:tcPr>
          <w:p>
            <w:pPr>
              <w:ind w:left="1140"/>
              <w:spacing w:after="0"/>
              <w:rPr>
                <w:sz w:val="20"/>
                <w:szCs w:val="20"/>
                <w:color w:val="auto"/>
              </w:rPr>
            </w:pPr>
            <w:r>
              <w:rPr>
                <w:rFonts w:ascii="Arial" w:cs="Arial" w:eastAsia="Arial" w:hAnsi="Arial"/>
                <w:sz w:val="13"/>
                <w:szCs w:val="13"/>
                <w:color w:val="auto"/>
              </w:rPr>
              <w:t>Net cash used in financing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(296,736)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(154,842)</w:t>
            </w:r>
          </w:p>
        </w:tc>
      </w:tr>
      <w:tr>
        <w:trPr>
          <w:trHeight w:val="175"/>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Effect of exchange rate changes in cash and cash equivalents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r>
      <w:tr>
        <w:trPr>
          <w:trHeight w:val="161"/>
        </w:trPr>
        <w:tc>
          <w:tcPr>
            <w:tcW w:w="8440" w:type="dxa"/>
            <w:vAlign w:val="bottom"/>
          </w:tcPr>
          <w:p>
            <w:pPr>
              <w:ind w:left="1140"/>
              <w:spacing w:after="0"/>
              <w:rPr>
                <w:sz w:val="20"/>
                <w:szCs w:val="20"/>
                <w:color w:val="auto"/>
              </w:rPr>
            </w:pPr>
            <w:r>
              <w:rPr>
                <w:rFonts w:ascii="Arial" w:cs="Arial" w:eastAsia="Arial" w:hAnsi="Arial"/>
                <w:sz w:val="13"/>
                <w:szCs w:val="13"/>
                <w:color w:val="auto"/>
              </w:rPr>
              <w:t>Net decrease in cash and cash equivalents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(13,224)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(20,433)</w:t>
            </w:r>
          </w:p>
        </w:tc>
      </w:tr>
      <w:tr>
        <w:trPr>
          <w:trHeight w:val="177"/>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and cash equivalents at beginning of period</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52,619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99,788</w:t>
            </w:r>
          </w:p>
        </w:tc>
      </w:tr>
      <w:tr>
        <w:trPr>
          <w:trHeight w:val="176"/>
        </w:trPr>
        <w:tc>
          <w:tcPr>
            <w:tcW w:w="8440" w:type="dxa"/>
            <w:vAlign w:val="bottom"/>
          </w:tcPr>
          <w:p>
            <w:pPr>
              <w:ind w:left="200"/>
              <w:spacing w:after="0"/>
              <w:rPr>
                <w:sz w:val="20"/>
                <w:szCs w:val="20"/>
                <w:color w:val="auto"/>
              </w:rPr>
            </w:pPr>
            <w:r>
              <w:rPr>
                <w:rFonts w:ascii="Arial" w:cs="Arial" w:eastAsia="Arial" w:hAnsi="Arial"/>
                <w:sz w:val="13"/>
                <w:szCs w:val="13"/>
                <w:color w:val="auto"/>
              </w:rPr>
              <w:t>Cash and cash equivalents at end of period</w:t>
            </w:r>
          </w:p>
        </w:tc>
        <w:tc>
          <w:tcPr>
            <w:tcW w:w="78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39,395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79,355</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84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Supplemental disclosures of cash flow information:</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6"/>
        </w:trPr>
        <w:tc>
          <w:tcPr>
            <w:tcW w:w="844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78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125,117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84,611</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4"/>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Cash paid for foreign, state and federal income taxes</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9,093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2022 Combined Form 10-K. Subsequent events, if any, are evaluated through the date on which the financial statements are issued.</w:t>
      </w:r>
    </w:p>
    <w:p>
      <w:pPr>
        <w:spacing w:after="0" w:line="30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Advertising revenues</w:t>
      </w:r>
      <w:r>
        <w:rPr>
          <w:rFonts w:ascii="Arial" w:cs="Arial" w:eastAsia="Arial" w:hAnsi="Arial"/>
          <w:sz w:val="18"/>
          <w:szCs w:val="18"/>
          <w:color w:val="auto"/>
        </w:rPr>
        <w:t>: The majority of our revenues are derived from contracts for advertising space on billboard, logo and transit displays. Contracts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 not meet the criteria of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are accounted for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 copy.</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for production contracts is recognized under ASC 606. Contract revenues for production services are recognized upon satisfaction of the contract which is typically less than one week.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 by source for the three and nine months ended September 30, 2023 and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484,268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471,450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1,384,721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1,337,015</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60,137</w:t>
            </w: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37,904</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36,308</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108,382</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99,478</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542,609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1,555,078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1,496,630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September 30, 2023 and 2022, we had operating lease costs of $80,550 and $77,472, respectively, and variable lease costs of $16,111 and $15,365, respectively. During the nine months ended September 30, 2023 and 2022, we had operating lease costs of $239,636 and $229,674, respectively, and variable lease costs of $44,639 and $43,240, respectively. These operating lease costs are recorded in direct advertising expenses (exclusive of depreciation and amortization). For the three months ended September 30, 2023 and 2022, we recorded a gain of $68 and $106, respectively, in gain on disposition of assets related to the amendment and termination of lease agreements. For the nine months ended September 30, 2023 and 2022, we recorded a gain of $260 and $576, respectively, in gain on disposition of assets related to the amendment and termination of lease agreements. Cash payments of $282,725 and $255,436 were made reducing our operating lease liabilities for the nine months ended September 30, 2023 and 2022, respectively, and are included in cash flows provided by operating activities in the Condensed Consolidated Statements of Cash Flows.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$2,523 and $1,943 in direct advertising expenses (exclusive of depreciation and amortization) for these agreements during the three months ended September 30, 2023 and 2022, respectively. We recorded $7,532 and $5,494 in direct advertising expenses (exclusive of depreciation and amortization) for these agreements during the nine months ended September 30, 2023 and 2022, respectively.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leases have a weighted-average remaining lease term of 12.6 years. The weighted-average discount rate of our operating leases is 5.0%. Also, during the periods ended September 30, 2023 and 2022, we obtained $17,906 and $37,518, respectively, of leased assets in exchange for new operating lease liabilities, which includes liabilities obtained through acquisitions.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is a summary of the maturities of our operating lease liabilities as of September 30, 2023:</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45,881</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238,648</w:t>
            </w:r>
          </w:p>
        </w:tc>
      </w:tr>
      <w:tr>
        <w:trPr>
          <w:trHeight w:val="229"/>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189,678</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163,143</w:t>
            </w: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139,640</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983,094</w:t>
            </w:r>
          </w:p>
        </w:tc>
      </w:tr>
      <w:tr>
        <w:trPr>
          <w:trHeight w:val="223"/>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1,760,084</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(496,919)</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1,263,165</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September 30, 2023 and 2022, $713 of amortization expense for each period and $125 and $135 of interest expense relating to our financing lease liabilities were recorded in depreciation and amortization and interest expense, respectively, in the Condensed Consolidated Statements of Income and Comprehensive Income. During the nine months ended September 30, 2023 and 2022, $2,140 of amortization expense for each period and $382 and $412 of interest expense relating to our financing lease liabilities were recorded in depreciation and amortization and interest expense, respectively, in the Condensed Consolidated Statements of Income and Comprehensive Income. Cash payments of $998 were made reducing our financing lease liabilities for each of the nine months ended September 30, 2023 and 2022 and are included in cash flows used in financing activities in the Condensed Consolidated Statements of Cash Flows. Our financing leases have a weighted-average remaining lease term of 4.2 years and a weighted-average discount rate of 3.1%.</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Due to our election not to reassess conclusions about lease identification as part of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September 30, 2023 and 2022, non-lease variable transit payments were $22,023 and $22,019,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2023 and 2022, non-lease variable transit payments were $62,661 and $63,538, respectively. These transit expenses are recorded in direct advertising expenses (exclusive of depreciation and amortization) on the Condensed Consolidated Statements of Income and Comprehensive Income.</w:t>
      </w:r>
    </w:p>
    <w:p>
      <w:pPr>
        <w:spacing w:after="0" w:line="29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17"/>
          <w:szCs w:val="17"/>
          <w:color w:val="auto"/>
        </w:rPr>
        <w:t>Lamar Advertising’s 1996 Equity Incentive Plan, as amended, (the “Incentive Plan”) has reserved 17.5 million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22,500 shares of its Class A common stock during the nine months ended September 30, 2023. At September 30, 2023 a total of 1,726,676 shares were available for future grant.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Stock Purchase Plan. </w:t>
      </w:r>
      <w:r>
        <w:rPr>
          <w:rFonts w:ascii="Arial" w:cs="Arial" w:eastAsia="Arial" w:hAnsi="Arial"/>
          <w:sz w:val="18"/>
          <w:szCs w:val="18"/>
          <w:color w:val="auto"/>
        </w:rPr>
        <w:t>On May 30, 2019, our shareholders approved Lamar Advertising’s 2019 Employee Stock Purchase Plan (the “2019 ESPP”).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available under the 2019 ESPP was automatically increased by 87,327 shares on January 1, 2023 pursuant to the automatic increase provisions of the 2019 ESPP.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2019 ESPP share activity for the nine months ended September 30,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340" w:type="dxa"/>
            <w:vAlign w:val="bottom"/>
          </w:tcPr>
          <w:p>
            <w:pPr>
              <w:jc w:val="right"/>
              <w:ind w:right="374"/>
              <w:spacing w:after="0"/>
              <w:rPr>
                <w:sz w:val="20"/>
                <w:szCs w:val="20"/>
                <w:color w:val="auto"/>
              </w:rPr>
            </w:pPr>
            <w:r>
              <w:rPr>
                <w:rFonts w:ascii="Arial" w:cs="Arial" w:eastAsia="Arial" w:hAnsi="Arial"/>
                <w:sz w:val="14"/>
                <w:szCs w:val="14"/>
                <w:b w:val="1"/>
                <w:bCs w:val="1"/>
                <w:color w:val="auto"/>
              </w:rPr>
              <w:t>Shares</w:t>
            </w:r>
          </w:p>
        </w:tc>
      </w:tr>
      <w:tr>
        <w:trPr>
          <w:trHeight w:val="25"/>
        </w:trPr>
        <w:tc>
          <w:tcPr>
            <w:tcW w:w="98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future purchases, January 1, 2023</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301,971</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Additional shares reserved under 2019 ESPP</w:t>
            </w:r>
          </w:p>
        </w:tc>
        <w:tc>
          <w:tcPr>
            <w:tcW w:w="1340" w:type="dxa"/>
            <w:vAlign w:val="bottom"/>
          </w:tcPr>
          <w:p>
            <w:pPr>
              <w:jc w:val="right"/>
              <w:spacing w:after="0"/>
              <w:rPr>
                <w:sz w:val="20"/>
                <w:szCs w:val="20"/>
                <w:color w:val="auto"/>
              </w:rPr>
            </w:pPr>
            <w:r>
              <w:rPr>
                <w:rFonts w:ascii="Arial" w:cs="Arial" w:eastAsia="Arial" w:hAnsi="Arial"/>
                <w:sz w:val="18"/>
                <w:szCs w:val="18"/>
                <w:color w:val="auto"/>
              </w:rPr>
              <w:t>87,327</w:t>
            </w: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(116,922)</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Available for future purchases, September 30, 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272,376</w:t>
            </w:r>
          </w:p>
        </w:tc>
      </w:tr>
      <w:tr>
        <w:trPr>
          <w:trHeight w:val="20"/>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Performance-based stock compensation. </w:t>
      </w:r>
      <w:r>
        <w:rPr>
          <w:rFonts w:ascii="Arial" w:cs="Arial" w:eastAsia="Arial" w:hAnsi="Arial"/>
          <w:sz w:val="18"/>
          <w:szCs w:val="18"/>
          <w:color w:val="auto"/>
        </w:rPr>
        <w:t>Unrestricted shares of our Class A common stock may be awarded to key officers, employees and directors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Incentive Plan. The number of shares to be issued, if any, will be dependent on the level of achievement of performance measures for key officers and employees, as determined by the Company’s Compensation Committee based on our 2023 results. Any shares issued based on the achievement of performance goals will be issued in the first quarter of 2024. The shares subject to these awards can range from a minimum of 0% to a maximum of 100% of the target number of shares depending on the level at which the goals are attained. For the three months ended September 30, 2023 and 2022, the Company recorded $1,589 and $3,830, respectively, as stock-based compensation expense related to performance-based awards. For the nine months ended September 30, 2023 and 2022, the Company recorded $8,034 and $9,789, respectively, as stock-based compensation expense related to performance-based awards.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LTIP Units</w:t>
      </w:r>
      <w:r>
        <w:rPr>
          <w:rFonts w:ascii="Arial" w:cs="Arial" w:eastAsia="Arial" w:hAnsi="Arial"/>
          <w:sz w:val="17"/>
          <w:szCs w:val="17"/>
          <w:color w:val="auto"/>
        </w:rPr>
        <w:t>. In addition to performance-based stock compensation, the Company may issue LTIP Units of Lamar Advertising Limited Partnership (the</w:t>
      </w:r>
      <w:r>
        <w:rPr>
          <w:rFonts w:ascii="Arial" w:cs="Arial" w:eastAsia="Arial" w:hAnsi="Arial"/>
          <w:sz w:val="17"/>
          <w:szCs w:val="17"/>
          <w:i w:val="1"/>
          <w:iCs w:val="1"/>
          <w:color w:val="auto"/>
        </w:rPr>
        <w:t xml:space="preserve"> </w:t>
      </w:r>
      <w:r>
        <w:rPr>
          <w:rFonts w:ascii="Arial" w:cs="Arial" w:eastAsia="Arial" w:hAnsi="Arial"/>
          <w:sz w:val="17"/>
          <w:szCs w:val="17"/>
          <w:color w:val="auto"/>
        </w:rPr>
        <w:t>"OP"), a subsidiary of the Company, to certain officers, employees and directors under the Incentive Plan of the Company. Such LTIP Units are subject to vesting and forfeiture conditions based on performance criteria approved by the Compensation Committee, which mirrors the performance criteria applicable to the Company's performance-based stock compensation, as described above.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the September 30, 2023, the OP issued a total of 176,000 LTIP Units to the Company’s executive officers, of which 88,000 LTIP units have vested. For the three and nine months ended September 30, 2023, the Company recorded $1,147 and $4,050, respectively, as stock-based compensation expense related to these LTIP Units.</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Restricted stock compensation. </w:t>
      </w:r>
      <w:r>
        <w:rPr>
          <w:rFonts w:ascii="Arial" w:cs="Arial" w:eastAsia="Arial" w:hAnsi="Arial"/>
          <w:sz w:val="18"/>
          <w:szCs w:val="18"/>
          <w:color w:val="auto"/>
        </w:rPr>
        <w:t>Annually, each non-employee director automatically receives a restricted stock award of our Class A common stock upon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or re-election. The awards vest 50% on grant date and 50% on the last day of the directors' one year term. For the three months ended September 30, 2023 and 2022, the Company recorded $67 and $73, respectively, in stock-based compensation expense related to these awards. For the nine months ended September 30, 2023 and 2022, the Company recorded $587 and $502, respectively, in stock-based compensation expense related to these awards.</w:t>
      </w:r>
    </w:p>
    <w:p>
      <w:pPr>
        <w:spacing w:after="0" w:line="29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advertising expenses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208,272</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187,992</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3,984</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10,633</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10,234</w:t>
            </w:r>
          </w:p>
        </w:tc>
      </w:tr>
      <w:tr>
        <w:trPr>
          <w:trHeight w:val="223"/>
        </w:trPr>
        <w:tc>
          <w:tcPr>
            <w:tcW w:w="5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222,919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202,210</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at September 30, 2023 and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140" w:type="dxa"/>
            <w:vAlign w:val="bottom"/>
          </w:tcPr>
          <w:p>
            <w:pPr>
              <w:spacing w:after="0"/>
              <w:rPr>
                <w:sz w:val="16"/>
                <w:szCs w:val="16"/>
                <w:color w:val="auto"/>
              </w:rPr>
            </w:pPr>
          </w:p>
        </w:tc>
        <w:tc>
          <w:tcPr>
            <w:tcW w:w="272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560" w:type="dxa"/>
            <w:vAlign w:val="bottom"/>
            <w:gridSpan w:val="3"/>
          </w:tcPr>
          <w:p>
            <w:pPr>
              <w:jc w:val="center"/>
              <w:ind w:right="150"/>
              <w:spacing w:after="0" w:line="155" w:lineRule="exact"/>
              <w:rPr>
                <w:sz w:val="20"/>
                <w:szCs w:val="20"/>
                <w:color w:val="auto"/>
              </w:rPr>
            </w:pPr>
            <w:r>
              <w:rPr>
                <w:rFonts w:ascii="Arial" w:cs="Arial" w:eastAsia="Arial" w:hAnsi="Arial"/>
                <w:sz w:val="14"/>
                <w:szCs w:val="14"/>
                <w:b w:val="1"/>
                <w:bCs w:val="1"/>
                <w:color w:val="auto"/>
                <w:w w:val="96"/>
              </w:rPr>
              <w:t>Life</w:t>
            </w:r>
          </w:p>
        </w:tc>
        <w:tc>
          <w:tcPr>
            <w:tcW w:w="13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97"/>
        </w:trPr>
        <w:tc>
          <w:tcPr>
            <w:tcW w:w="420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2"/>
              </w:rPr>
              <w:t>(Years)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4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Customer lists and contracts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7—10  $</w:t>
            </w:r>
          </w:p>
        </w:tc>
        <w:tc>
          <w:tcPr>
            <w:tcW w:w="1180" w:type="dxa"/>
            <w:vAlign w:val="bottom"/>
          </w:tcPr>
          <w:p>
            <w:pPr>
              <w:jc w:val="right"/>
              <w:spacing w:after="0"/>
              <w:rPr>
                <w:sz w:val="20"/>
                <w:szCs w:val="20"/>
                <w:color w:val="auto"/>
              </w:rPr>
            </w:pPr>
            <w:r>
              <w:rPr>
                <w:rFonts w:ascii="Arial" w:cs="Arial" w:eastAsia="Arial" w:hAnsi="Arial"/>
                <w:sz w:val="18"/>
                <w:szCs w:val="18"/>
                <w:color w:val="auto"/>
              </w:rPr>
              <w:t>729,648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634,086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720,051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614,840</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3—15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66,249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71,599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Site locations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2,945,955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1,862,990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2,864,854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1,781,164</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2—15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40,392</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3,799,849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2,604,482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3,708,668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2,502,043</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2,288,749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2,288,805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Asset Retirement Obligations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390,442</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Additions to asset retirement obligations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4,127</w:t>
            </w: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Revision in estimates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5,358</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397,041</w:t>
            </w: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Distribution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September 30, 2023 and December 31, 2022, Lamar Media was permitted under the terms of its outstanding notes to make transfers to Lamar Advertising in the form of cash dividends, loans or advances in amounts up to $4,352,231 and $4,187,593,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2023, Lamar Media’s senior credit facility allows it to make transfers to Lamar Advertising in any taxable year up to the amount of Lamar Advertising’s taxable income (without any deduction for dividends paid). In addition, as of September 30, 2023,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September 30, 2023, the total debt ratio was less than 7.0 to 1 and Lamar Media’s secured debt ratio was less than 4.5 to 1, and the available cumulative credit was $3,102,710.</w:t>
      </w:r>
    </w:p>
    <w:p>
      <w:pPr>
        <w:spacing w:after="0" w:line="30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and nine months ended September 30, 2023 or 2022.</w:t>
      </w:r>
    </w:p>
    <w:p>
      <w:pPr>
        <w:spacing w:after="0" w:line="292"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at September 30, 2023 and 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2023</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29"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30"/>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1,075,243</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246,660</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594,804</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tcPr>
          <w:p>
            <w:pPr>
              <w:ind w:left="20"/>
              <w:spacing w:after="0"/>
              <w:rPr>
                <w:sz w:val="20"/>
                <w:szCs w:val="20"/>
                <w:color w:val="auto"/>
              </w:rPr>
            </w:pPr>
            <w:r>
              <w:rPr>
                <w:rFonts w:ascii="Arial" w:cs="Arial" w:eastAsia="Arial" w:hAnsi="Arial"/>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543,582</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543,623</w:t>
            </w: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6880" w:type="dxa"/>
            <w:vAlign w:val="bottom"/>
          </w:tcPr>
          <w:p>
            <w:pPr>
              <w:ind w:left="20"/>
              <w:spacing w:after="0"/>
              <w:rPr>
                <w:sz w:val="20"/>
                <w:szCs w:val="20"/>
                <w:color w:val="auto"/>
              </w:rPr>
            </w:pPr>
            <w:r>
              <w:rPr>
                <w:rFonts w:ascii="Arial" w:cs="Arial" w:eastAsia="Arial" w:hAnsi="Arial"/>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396,063</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3,432,486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3,401,705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(247,053)</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3,184,993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3,154,652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44"/>
        </w:trPr>
        <w:tc>
          <w:tcPr>
            <w:tcW w:w="7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5"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993,970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985,799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249,407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594,000</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3 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543,018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542,978</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4 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395,590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3,345,420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3,312,805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(249,785)</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3,095,042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3,063,020</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senior credit facility, as established by the Fourth Amended and Restated Credit Agreement (the “senior credit facility”), consists of (i) a $750,000 senior secured revolving credit facility which will mature on July 31, 2028, subject to certain conditions (see description of Amendment No. 4 below) (the “revolving credit facility”), (ii) a $600,000 senior secured Term B loan facility (the “Term B loans”) which will mature on February 6, 2027, (iii) a $350,000 senior secured Term A loan facility (the "Term A loans") which will mature on February 6, 2025, and (iv)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Term SOFR plus 1.50%. Term B loans bearing interest at a rate based on the Adjusted Base Rate bear interest at a rate per annum equal to the Adjusted Base Rate plus 0.50%.</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29, 2022, Lamar Media entered into Amendment No. 2 (the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will mature on February 6, 2025 with no required amortization payments prior to maturity and bear interest at rates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bear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The entire amount of the Term A loans will be payable at maturity. Proceeds from the Term A loans were used to repay outstanding balances on the revolving credit facility and a portion of the outstanding balance on the Accounts Receivable Securitization Program.</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2023, Lamar Media entered into Amendment No. 3 (the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$750,000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will all accrued and unpaid interest on such revolving loans, will be due and payable.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there were $135,000 in borrowings outstanding under the revolving credit facility. Availability under the revolving credit facility is reduced by the amount of any letters of credit outstanding. Lamar Media had $8,682 in letters of credit outstanding as of September 30, 2023 resulting in $606,318 of availability under its revolving credit facility. Revolving credit loans may be requested under the revolving credit facility at any time prior to its maturity.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terms of Lamar Media’s senior credit facility and the indentures relating to Lamar Media’s outstanding notes restrict, among other things, the ability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and Lamar Media to:</w:t>
      </w:r>
    </w:p>
    <w:p>
      <w:pPr>
        <w:spacing w:after="0" w:line="4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there was $247,100 outstanding aggregate borrowings under the Accounts Receivable Securitization Program. Lamar Media had no additional availability for borrowing under the Accounts Receivable Securitization Program as of September 30, 2023. The commitment fees based on the amount of unused commitments under the Accounts Receivable Securitization Program were immaterial during the nine months ended September 30, 2023.</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5/8%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On February 23, 2023, the Board of Directors authorized the extension of the repurchase program through September 30, 2024. There were no repurchases under the program as of September 30, 2023.</w:t>
      </w:r>
    </w:p>
    <w:p>
      <w:pPr>
        <w:spacing w:after="0" w:line="295"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2023 and December 31, 2022,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$3,130,384 which does not exceed the carrying amount of $3,432,486 as of September 30, 2023. The majority of the fair value is determined using observed prices of publicly traded debt (level 1 in the fair value hierarchy) and the remaining is valued based on quoted prices for similar debt (level 2 in the fair value hierarchy).</w:t>
      </w:r>
    </w:p>
    <w:p>
      <w:pPr>
        <w:spacing w:after="0" w:line="272"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New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which provides guidance on the recognition and measurement of contract assets and contract liabilities acquired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At the acquisition date, the acquirer should account for the related revenue contracts as if the acquirer had originated the contracts. The guidance also provides certain practical expedients for acquirers when recognizing and measuring acquired contract assets and contract liabilities from revenue contracts in a business combination. This guidance is effective for public entities as of December 15, 2022. The adoption of this guidance did not have a material impact on the Company's consolidated financial statements.</w:t>
      </w:r>
    </w:p>
    <w:p>
      <w:pPr>
        <w:spacing w:after="0" w:line="300"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Dividends/Distributions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September 30, 2023 and 2022, the Company declared and paid cash distributions in an aggregate amount of $127,582 or $1.25 per share and $122,100 or $1.20 per share, respectively. During the nine months ended September 30, 2023 and 2022, the Company declared and paid cash distributions in an aggregate amount of $382,580 or $3.75 per share and $355,510 or $3.50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nine months ended September 30, 2023 and 2022, the Company paid cash dividend distributions to holders of its Series AA Preferred Stock in an aggregate amount of $91 or $15.95 per share and $273 or $47.85 per share for each period, respectively.</w:t>
      </w:r>
    </w:p>
    <w:p>
      <w:pPr>
        <w:spacing w:after="0" w:line="290"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Information about Geographic Areas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from external customers attributable to foreign countries totaled $21,684 and $21,721 for the nine months ended September 30, 2023 and 2022, respectively. Net carrying value of long-lived assets located in foreign countries totaled $13,235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$11,763 as of September 30, 2023 and December 31, 2022, respectively. All other revenues from external customers and long-lived assets relate to domestic operations.</w:t>
      </w:r>
    </w:p>
    <w:p>
      <w:pPr>
        <w:spacing w:after="0" w:line="278"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Sales Agreement. </w:t>
      </w:r>
      <w:r>
        <w:rPr>
          <w:rFonts w:ascii="Arial" w:cs="Arial" w:eastAsia="Arial" w:hAnsi="Arial"/>
          <w:sz w:val="18"/>
          <w:szCs w:val="18"/>
          <w:color w:val="auto"/>
        </w:rPr>
        <w:t>On June 21, 2021, the Company entered into an equity distribution agreement (the "2021 Sales Agreement") with J.P. Morgan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no shares of our Class A common stock have been sold under the 2021 Sales Agreement and accordingly $400,000 remained available to be sold under the 2021 Sales Agreement as of September 30,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Shelf Registration. </w:t>
      </w:r>
      <w:r>
        <w:rPr>
          <w:rFonts w:ascii="Arial" w:cs="Arial" w:eastAsia="Arial" w:hAnsi="Arial"/>
          <w:sz w:val="18"/>
          <w:szCs w:val="18"/>
          <w:color w:val="auto"/>
        </w:rPr>
        <w:t>On June 21, 2021, the Company filed an automatically effective shelf registration statement that allows Lamar Advertising to offer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 an indeterminate amount of additional shares of its Class A common stock. During the nine months ended September 30, 2023 and the year ended December 31, 2022, the Company did not issue any shares under this shelf registration.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On March 16, 2020, the Company’s Board of Directors authorized the repurchase of up to $250,000 of the Company’s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February 23, 2023, the Board of Directors authorized the extension of the repurchase program through September 30, 2024. There were no repurchases under the program as of September 30,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52,119</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Arial" w:cs="Arial" w:eastAsia="Arial" w:hAnsi="Arial"/>
                <w:sz w:val="16"/>
                <w:szCs w:val="16"/>
                <w:color w:val="auto"/>
              </w:rPr>
              <w:t>Receivables, net of allowance for doubtful accounts of $12,220 and $11,418 in 2023 and 2022,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310,170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285,039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26,894</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377,666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364,052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4,236,573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4,109,146</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(2,691,274)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(2,609,447)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property, plant and equipment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1,545,299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1,499,699</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 of use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1,320,925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1,271,631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right of use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14,037</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2,025,062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2,025,117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1,206,158</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79,831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77,778</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6,555,579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6,458,472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Arial" w:cs="Arial" w:eastAsia="Arial" w:hAnsi="Arial"/>
                <w:sz w:val="16"/>
                <w:szCs w:val="16"/>
                <w:color w:val="auto"/>
              </w:rPr>
              <w:t>Trade 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17,592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19,643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Current maturities of long-term debt, net of deferred financing costs of $440 and $593 in 2023 and 2022, respectively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249,785</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Arial" w:cs="Arial" w:eastAsia="Arial" w:hAnsi="Arial"/>
                <w:sz w:val="16"/>
                <w:szCs w:val="16"/>
                <w:color w:val="auto"/>
              </w:rPr>
              <w:t>Current operating lease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184,620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205,838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financing lease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86,766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108,724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131,847</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680,716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717,168</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deferred financing costs of $30,341 and $32,022 in 2023 and 2022, respectively</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3,154,652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3,063,020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1,078,545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1,035,655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15,945</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9,651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390,442</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39,090</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5,375,956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5,270,971</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7"/>
              </w:rPr>
              <w:t>Common stock, par value $0.01, 3,000 shares authorized, 100 shares issued and outstanding at 2023 and 2022</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Additional paid-in-capital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3,165,983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3,132,178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comprehensive loss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(1,985,527)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(1,944,018)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1,179,623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1,187,501</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6,555,579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6,458,472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542,609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1,555,078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1,496,630</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w w:val="93"/>
              </w:rPr>
              <w:t>Direct advertising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175,188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515,403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493,463</w:t>
            </w: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9"/>
              </w:rPr>
              <w:t>General and administrative expenses (exclusive of depreciation and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260,923</w:t>
            </w:r>
          </w:p>
        </w:tc>
        <w:tc>
          <w:tcPr>
            <w:tcW w:w="0" w:type="dxa"/>
            <w:vAlign w:val="bottom"/>
          </w:tcPr>
          <w:p>
            <w:pPr>
              <w:spacing w:after="0"/>
              <w:rPr>
                <w:sz w:val="1"/>
                <w:szCs w:val="1"/>
                <w:color w:val="auto"/>
              </w:rPr>
            </w:pP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73,694</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202,210</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354,339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1,028,300</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188,270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484,107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468,330</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130,163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89,824</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of investee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86,427</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381,903</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139,919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347,651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371,157</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attributable to non-controlling interest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income attributable to controlling interest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139,511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144,924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346,818</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371,157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980" w:type="dxa"/>
            <w:vAlign w:val="bottom"/>
            <w:vMerge w:val="restart"/>
          </w:tcPr>
          <w:p>
            <w:pPr>
              <w:jc w:val="center"/>
              <w:ind w:left="216"/>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980" w:type="dxa"/>
            <w:vAlign w:val="bottom"/>
          </w:tcPr>
          <w:p>
            <w:pPr>
              <w:jc w:val="center"/>
              <w:ind w:left="236"/>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3,132,178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1,187,501</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23,447</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Reallocation of capital</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76,334</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(133,620)</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3,154,609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1,153,041</w:t>
            </w:r>
          </w:p>
        </w:tc>
        <w:tc>
          <w:tcPr>
            <w:tcW w:w="0" w:type="dxa"/>
            <w:vAlign w:val="bottom"/>
          </w:tcPr>
          <w:p>
            <w:pPr>
              <w:spacing w:after="0"/>
              <w:rPr>
                <w:sz w:val="1"/>
                <w:szCs w:val="1"/>
                <w:color w:val="auto"/>
              </w:rPr>
            </w:pPr>
          </w:p>
        </w:tc>
      </w:tr>
      <w:tr>
        <w:trPr>
          <w:trHeight w:val="223"/>
        </w:trPr>
        <w:tc>
          <w:tcPr>
            <w:tcW w:w="28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130,729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130,997</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(127,692)</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June 30, 2023</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3,160,907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(1,998,057)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1,163,047</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140,562</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(128,419)</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2023</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3,165,983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1,179,623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860" w:type="dxa"/>
            <w:vAlign w:val="bottom"/>
          </w:tcPr>
          <w:p>
            <w:pPr>
              <w:spacing w:after="0"/>
              <w:rPr>
                <w:sz w:val="24"/>
                <w:szCs w:val="24"/>
                <w:color w:val="auto"/>
              </w:rPr>
            </w:pPr>
          </w:p>
        </w:tc>
        <w:tc>
          <w:tcPr>
            <w:tcW w:w="980" w:type="dxa"/>
            <w:vAlign w:val="bottom"/>
            <w:vMerge w:val="restart"/>
          </w:tcPr>
          <w:p>
            <w:pPr>
              <w:jc w:val="center"/>
              <w:ind w:left="216"/>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980" w:type="dxa"/>
            <w:vAlign w:val="bottom"/>
          </w:tcPr>
          <w:p>
            <w:pPr>
              <w:jc w:val="center"/>
              <w:ind w:left="236"/>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2021</w:t>
            </w: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3,071,905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(1,864,414)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1,208,346</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36,447</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(122,047)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(122,047)</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Balance, March 31, 2022</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3,108,352</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(1,894,174)</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1,215,347</w:t>
            </w:r>
          </w:p>
        </w:tc>
        <w:tc>
          <w:tcPr>
            <w:tcW w:w="0" w:type="dxa"/>
            <w:vAlign w:val="bottom"/>
          </w:tcPr>
          <w:p>
            <w:pPr>
              <w:spacing w:after="0"/>
              <w:rPr>
                <w:sz w:val="1"/>
                <w:szCs w:val="1"/>
                <w:color w:val="auto"/>
              </w:rPr>
            </w:pPr>
          </w:p>
        </w:tc>
      </w:tr>
      <w:tr>
        <w:trPr>
          <w:trHeight w:val="223"/>
        </w:trPr>
        <w:tc>
          <w:tcPr>
            <w:tcW w:w="2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134,315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(121,809)</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2022</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3,112,934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(1,881,668)</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1,231,752</w:t>
            </w:r>
          </w:p>
        </w:tc>
        <w:tc>
          <w:tcPr>
            <w:tcW w:w="0" w:type="dxa"/>
            <w:vAlign w:val="bottom"/>
          </w:tcPr>
          <w:p>
            <w:pPr>
              <w:spacing w:after="0"/>
              <w:rPr>
                <w:sz w:val="1"/>
                <w:szCs w:val="1"/>
                <w:color w:val="auto"/>
              </w:rPr>
            </w:pPr>
          </w:p>
        </w:tc>
      </w:tr>
      <w:tr>
        <w:trPr>
          <w:trHeight w:val="223"/>
        </w:trPr>
        <w:tc>
          <w:tcPr>
            <w:tcW w:w="28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11,683</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146,325</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(122,159)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Balance, September 30, 2022</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3,124,617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(1,857,502)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1,266,200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84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1"/>
        </w:trPr>
        <w:tc>
          <w:tcPr>
            <w:tcW w:w="84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flows from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347,893</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372,927</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222,919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202,210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Non-cash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14,331</w:t>
            </w:r>
          </w:p>
        </w:tc>
        <w:tc>
          <w:tcPr>
            <w:tcW w:w="0" w:type="dxa"/>
            <w:vAlign w:val="bottom"/>
          </w:tcPr>
          <w:p>
            <w:pPr>
              <w:spacing w:after="0"/>
              <w:rPr>
                <w:sz w:val="1"/>
                <w:szCs w:val="1"/>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4,527</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Gain on disposition of assets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0" w:type="dxa"/>
            <w:vAlign w:val="bottom"/>
          </w:tcPr>
          <w:p>
            <w:pPr>
              <w:spacing w:after="0"/>
              <w:rPr>
                <w:sz w:val="1"/>
                <w:szCs w:val="1"/>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Loss on extinguishment of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Equity in earnings of investee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(2,655)</w:t>
            </w:r>
          </w:p>
        </w:tc>
        <w:tc>
          <w:tcPr>
            <w:tcW w:w="0" w:type="dxa"/>
            <w:vAlign w:val="bottom"/>
          </w:tcPr>
          <w:p>
            <w:pPr>
              <w:spacing w:after="0"/>
              <w:rPr>
                <w:sz w:val="1"/>
                <w:szCs w:val="1"/>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Deferred tax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1,851</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Provision for doubtful accounts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5,868</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660"/>
              <w:spacing w:after="0"/>
              <w:rPr>
                <w:sz w:val="20"/>
                <w:szCs w:val="20"/>
                <w:color w:val="auto"/>
              </w:rPr>
            </w:pPr>
            <w:r>
              <w:rPr>
                <w:rFonts w:ascii="Arial" w:cs="Arial" w:eastAsia="Arial" w:hAnsi="Arial"/>
                <w:sz w:val="13"/>
                <w:szCs w:val="13"/>
                <w:color w:val="auto"/>
              </w:rPr>
              <w:t>Receivables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(33,755)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(29,510)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Prepaid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(2,681)</w:t>
            </w:r>
          </w:p>
        </w:tc>
        <w:tc>
          <w:tcPr>
            <w:tcW w:w="0" w:type="dxa"/>
            <w:vAlign w:val="bottom"/>
          </w:tcPr>
          <w:p>
            <w:pPr>
              <w:spacing w:after="0"/>
              <w:rPr>
                <w:sz w:val="1"/>
                <w:szCs w:val="1"/>
                <w:color w:val="auto"/>
              </w:rPr>
            </w:pPr>
          </w:p>
        </w:tc>
      </w:tr>
      <w:tr>
        <w:trPr>
          <w:trHeight w:val="168"/>
        </w:trPr>
        <w:tc>
          <w:tcPr>
            <w:tcW w:w="8440" w:type="dxa"/>
            <w:vAlign w:val="bottom"/>
          </w:tcPr>
          <w:p>
            <w:pPr>
              <w:ind w:left="660"/>
              <w:spacing w:after="0"/>
              <w:rPr>
                <w:sz w:val="20"/>
                <w:szCs w:val="20"/>
                <w:color w:val="auto"/>
              </w:rPr>
            </w:pPr>
            <w:r>
              <w:rPr>
                <w:rFonts w:ascii="Arial" w:cs="Arial" w:eastAsia="Arial" w:hAnsi="Arial"/>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3,510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660"/>
              <w:spacing w:after="0"/>
              <w:rPr>
                <w:sz w:val="20"/>
                <w:szCs w:val="20"/>
                <w:color w:val="auto"/>
              </w:rPr>
            </w:pPr>
            <w:r>
              <w:rPr>
                <w:rFonts w:ascii="Arial" w:cs="Arial" w:eastAsia="Arial" w:hAnsi="Arial"/>
                <w:sz w:val="13"/>
                <w:szCs w:val="13"/>
                <w:color w:val="auto"/>
              </w:rPr>
              <w:t>Trade accounts payable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(895)</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Accrued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(12,773)</w:t>
            </w:r>
          </w:p>
        </w:tc>
        <w:tc>
          <w:tcPr>
            <w:tcW w:w="0" w:type="dxa"/>
            <w:vAlign w:val="bottom"/>
          </w:tcPr>
          <w:p>
            <w:pPr>
              <w:spacing w:after="0"/>
              <w:rPr>
                <w:sz w:val="1"/>
                <w:szCs w:val="1"/>
                <w:color w:val="auto"/>
              </w:rPr>
            </w:pPr>
          </w:p>
        </w:tc>
      </w:tr>
      <w:tr>
        <w:trPr>
          <w:trHeight w:val="168"/>
        </w:trPr>
        <w:tc>
          <w:tcPr>
            <w:tcW w:w="8440" w:type="dxa"/>
            <w:vAlign w:val="bottom"/>
          </w:tcPr>
          <w:p>
            <w:pPr>
              <w:ind w:left="660"/>
              <w:spacing w:after="0"/>
              <w:rPr>
                <w:sz w:val="20"/>
                <w:szCs w:val="20"/>
                <w:color w:val="auto"/>
              </w:rPr>
            </w:pPr>
            <w:r>
              <w:rPr>
                <w:rFonts w:ascii="Arial" w:cs="Arial" w:eastAsia="Arial" w:hAnsi="Arial"/>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(25,838)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(18,881)</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Other liabilities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(18,026)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(36,419)</w:t>
            </w:r>
          </w:p>
        </w:tc>
        <w:tc>
          <w:tcPr>
            <w:tcW w:w="0" w:type="dxa"/>
            <w:vAlign w:val="bottom"/>
          </w:tcPr>
          <w:p>
            <w:pPr>
              <w:spacing w:after="0"/>
              <w:rPr>
                <w:sz w:val="1"/>
                <w:szCs w:val="1"/>
                <w:color w:val="auto"/>
              </w:rPr>
            </w:pPr>
          </w:p>
        </w:tc>
      </w:tr>
      <w:tr>
        <w:trPr>
          <w:trHeight w:val="162"/>
        </w:trPr>
        <w:tc>
          <w:tcPr>
            <w:tcW w:w="8440" w:type="dxa"/>
            <w:vAlign w:val="bottom"/>
            <w:tcBorders>
              <w:bottom w:val="single" w:sz="8" w:color="CCEEFF"/>
            </w:tcBorders>
          </w:tcPr>
          <w:p>
            <w:pPr>
              <w:ind w:left="980"/>
              <w:spacing w:after="0" w:line="141" w:lineRule="exact"/>
              <w:rPr>
                <w:sz w:val="20"/>
                <w:szCs w:val="20"/>
                <w:color w:val="auto"/>
              </w:rPr>
            </w:pPr>
            <w:r>
              <w:rPr>
                <w:rFonts w:ascii="Arial" w:cs="Arial" w:eastAsia="Arial" w:hAnsi="Arial"/>
                <w:sz w:val="13"/>
                <w:szCs w:val="13"/>
                <w:color w:val="auto"/>
              </w:rPr>
              <w:t>Net cash provided by operating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504,727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499,420</w:t>
            </w: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Cash flows from 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Acquisitions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6"/>
              </w:rPr>
              <w:t>(120,324)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(287,860)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 expenditures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(132,152)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(116,808)</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from disposition of assets and investments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6,489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2,146</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Decrease in notes receivable</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980"/>
              <w:spacing w:after="0" w:line="141" w:lineRule="exact"/>
              <w:rPr>
                <w:sz w:val="20"/>
                <w:szCs w:val="20"/>
                <w:color w:val="auto"/>
              </w:rPr>
            </w:pPr>
            <w:r>
              <w:rPr>
                <w:rFonts w:ascii="Arial" w:cs="Arial" w:eastAsia="Arial" w:hAnsi="Arial"/>
                <w:sz w:val="13"/>
                <w:szCs w:val="13"/>
                <w:color w:val="auto"/>
              </w:rPr>
              <w:t>Net cash used in investing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(245,925)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(402,464)</w:t>
            </w: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Cash flows from financing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Principal payments on long-term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Payments on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6"/>
              </w:rPr>
              <w:t>(243,000)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(575,000)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333,000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140,000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(74,900)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(115,000)</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senior credit facility term loans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350,000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Debt issuance costs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Distributions to non-controlling interest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Contributions from parent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52,712</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Dividend to parent</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(388,569)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(366,015)</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980"/>
              <w:spacing w:after="0" w:line="147" w:lineRule="exact"/>
              <w:rPr>
                <w:sz w:val="20"/>
                <w:szCs w:val="20"/>
                <w:color w:val="auto"/>
              </w:rPr>
            </w:pPr>
            <w:r>
              <w:rPr>
                <w:rFonts w:ascii="Arial" w:cs="Arial" w:eastAsia="Arial" w:hAnsi="Arial"/>
                <w:sz w:val="13"/>
                <w:szCs w:val="13"/>
                <w:color w:val="auto"/>
              </w:rPr>
              <w:t>Net cash used in financing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(272,043)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(117,157)</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200"/>
              <w:spacing w:after="0" w:line="141" w:lineRule="exact"/>
              <w:rPr>
                <w:sz w:val="20"/>
                <w:szCs w:val="20"/>
                <w:color w:val="auto"/>
              </w:rPr>
            </w:pPr>
            <w:r>
              <w:rPr>
                <w:rFonts w:ascii="Arial" w:cs="Arial" w:eastAsia="Arial" w:hAnsi="Arial"/>
                <w:sz w:val="13"/>
                <w:szCs w:val="13"/>
                <w:color w:val="auto"/>
              </w:rPr>
              <w:t>Effect of exchange rate changes in cash and cash equivalents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980"/>
              <w:spacing w:after="0" w:line="147" w:lineRule="exact"/>
              <w:rPr>
                <w:sz w:val="20"/>
                <w:szCs w:val="20"/>
                <w:color w:val="auto"/>
              </w:rPr>
            </w:pPr>
            <w:r>
              <w:rPr>
                <w:rFonts w:ascii="Arial" w:cs="Arial" w:eastAsia="Arial" w:hAnsi="Arial"/>
                <w:sz w:val="13"/>
                <w:szCs w:val="13"/>
                <w:color w:val="auto"/>
              </w:rPr>
              <w:t>Net decrease in cash and cash equivalents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(13,224)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(20,433)</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Cash and cash equivalents at beginning of period</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99,288</w:t>
            </w:r>
          </w:p>
        </w:tc>
        <w:tc>
          <w:tcPr>
            <w:tcW w:w="0" w:type="dxa"/>
            <w:vAlign w:val="bottom"/>
          </w:tcPr>
          <w:p>
            <w:pPr>
              <w:spacing w:after="0"/>
              <w:rPr>
                <w:sz w:val="1"/>
                <w:szCs w:val="1"/>
                <w:color w:val="auto"/>
              </w:rPr>
            </w:pPr>
          </w:p>
        </w:tc>
      </w:tr>
      <w:tr>
        <w:trPr>
          <w:trHeight w:val="194"/>
        </w:trPr>
        <w:tc>
          <w:tcPr>
            <w:tcW w:w="8440" w:type="dxa"/>
            <w:vAlign w:val="bottom"/>
            <w:tcBorders>
              <w:bottom w:val="single" w:sz="8" w:color="CCEEFF"/>
            </w:tcBorders>
            <w:shd w:val="clear" w:color="auto" w:fill="CCEEFF"/>
          </w:tcPr>
          <w:p>
            <w:pPr>
              <w:ind w:left="200"/>
              <w:spacing w:after="0" w:line="147" w:lineRule="exact"/>
              <w:rPr>
                <w:sz w:val="20"/>
                <w:szCs w:val="20"/>
                <w:color w:val="auto"/>
              </w:rPr>
            </w:pPr>
            <w:r>
              <w:rPr>
                <w:rFonts w:ascii="Arial" w:cs="Arial" w:eastAsia="Arial" w:hAnsi="Arial"/>
                <w:sz w:val="13"/>
                <w:szCs w:val="13"/>
                <w:color w:val="auto"/>
              </w:rPr>
              <w:t>Cash and cash equivalents at end of period</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38,895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78,855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disclosures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4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Cash paid for interest</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125,117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84,611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3"/>
                <w:szCs w:val="13"/>
                <w:color w:val="auto"/>
              </w:rPr>
              <w:t>Cash paid for foreign, state and federal income taxes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40" w:type="dxa"/>
            <w:vAlign w:val="bottom"/>
            <w:vMerge w:val="continue"/>
          </w:tcPr>
          <w:p>
            <w:pPr>
              <w:spacing w:after="0"/>
              <w:rPr>
                <w:sz w:val="13"/>
                <w:szCs w:val="13"/>
                <w:color w:val="auto"/>
              </w:rPr>
            </w:pPr>
          </w:p>
        </w:tc>
        <w:tc>
          <w:tcPr>
            <w:tcW w:w="78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9,093</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8,254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31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2022 Combined Form 10-K.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notes are not provided for the accompanying condensed consolidated financial statements as the information in notes 1, 2, 3, 4, 5, 6, 7, 8, 10, 11, 12, 14 and 15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9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September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Lamar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rPr>
              <w:t>Media 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1,528,064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3,203,025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3,219,961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4,626,686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(5,135,647)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4,656,483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6,404,387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(5,135,647)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43,355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369,875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267,486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3,153,315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3,476,928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1,846,727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4,557,660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(4,548,706)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4,656,483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6,404,387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(5,135,647)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26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Balance Sheet as of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6"/>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287,556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364,052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1,483,395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1,499,699</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1,252,414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1,271,631</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3,214,284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3,231,275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4,514,221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325,052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250,056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(4,997,514)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91,815</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4,554,050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6,311,812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(4,997,514)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6,458,472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249,407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249,785</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205,838</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261,545</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23,360</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421,569</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272,239</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717,168</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3,061,385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3,063,020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1,035,655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281,804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418,163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301,957</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(546,796)</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455,128</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3,366,549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1,866,752</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584,466</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(546,796)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5,270,971</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1,187,501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4,445,060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(4,450,718)</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1,187,501</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4,554,050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6,311,812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(4,997,514)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6,458,472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September 30, 2023</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60" w:type="dxa"/>
            <w:vAlign w:val="bottom"/>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6"/>
        </w:trPr>
        <w:tc>
          <w:tcPr>
            <w:tcW w:w="4180" w:type="dxa"/>
            <w:vAlign w:val="bottom"/>
          </w:tcPr>
          <w:p>
            <w:pPr>
              <w:ind w:left="1300"/>
              <w:spacing w:after="0"/>
              <w:rPr>
                <w:sz w:val="20"/>
                <w:szCs w:val="20"/>
                <w:color w:val="auto"/>
              </w:rPr>
            </w:pPr>
            <w:r>
              <w:rPr>
                <w:rFonts w:ascii="Arial" w:cs="Arial" w:eastAsia="Arial" w:hAnsi="Arial"/>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542,609</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line="230" w:lineRule="exact"/>
              <w:rPr>
                <w:sz w:val="20"/>
                <w:szCs w:val="20"/>
                <w:color w:val="auto"/>
              </w:rPr>
            </w:pPr>
            <w:r>
              <w:rPr>
                <w:rFonts w:ascii="Arial" w:cs="Arial" w:eastAsia="Arial" w:hAnsi="Arial"/>
                <w:sz w:val="17"/>
                <w:szCs w:val="17"/>
                <w:color w:val="auto"/>
              </w:rPr>
              <w:t>Direct advertising expenses</w:t>
            </w:r>
            <w:r>
              <w:rPr>
                <w:rFonts w:ascii="Arial" w:cs="Arial" w:eastAsia="Arial" w:hAnsi="Arial"/>
                <w:sz w:val="26"/>
                <w:szCs w:val="26"/>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175,188</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line="230" w:lineRule="exact"/>
              <w:rPr>
                <w:sz w:val="20"/>
                <w:szCs w:val="20"/>
                <w:color w:val="auto"/>
              </w:rPr>
            </w:pPr>
            <w:r>
              <w:rPr>
                <w:rFonts w:ascii="Arial" w:cs="Arial" w:eastAsia="Arial" w:hAnsi="Arial"/>
                <w:sz w:val="17"/>
                <w:szCs w:val="17"/>
                <w:color w:val="auto"/>
              </w:rPr>
              <w:t>General and administrative expenses</w:t>
            </w:r>
            <w:r>
              <w:rPr>
                <w:rFonts w:ascii="Arial" w:cs="Arial" w:eastAsia="Arial" w:hAnsi="Arial"/>
                <w:sz w:val="26"/>
                <w:szCs w:val="26"/>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81,284</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line="230" w:lineRule="exact"/>
              <w:rPr>
                <w:sz w:val="20"/>
                <w:szCs w:val="20"/>
                <w:color w:val="auto"/>
              </w:rPr>
            </w:pPr>
            <w:r>
              <w:rPr>
                <w:rFonts w:ascii="Arial" w:cs="Arial" w:eastAsia="Arial" w:hAnsi="Arial"/>
                <w:sz w:val="17"/>
                <w:szCs w:val="17"/>
                <w:color w:val="auto"/>
              </w:rPr>
              <w:t>Corporate expenses</w:t>
            </w:r>
            <w:r>
              <w:rPr>
                <w:rFonts w:ascii="Arial" w:cs="Arial" w:eastAsia="Arial" w:hAnsi="Arial"/>
                <w:sz w:val="26"/>
                <w:szCs w:val="26"/>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24,110</w:t>
            </w:r>
          </w:p>
        </w:tc>
        <w:tc>
          <w:tcPr>
            <w:tcW w:w="0" w:type="dxa"/>
            <w:vAlign w:val="bottom"/>
          </w:tcPr>
          <w:p>
            <w:pPr>
              <w:spacing w:after="0"/>
              <w:rPr>
                <w:sz w:val="1"/>
                <w:szCs w:val="1"/>
                <w:color w:val="auto"/>
              </w:rPr>
            </w:pPr>
          </w:p>
        </w:tc>
      </w:tr>
      <w:tr>
        <w:trPr>
          <w:trHeight w:val="229"/>
        </w:trPr>
        <w:tc>
          <w:tcPr>
            <w:tcW w:w="4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74,636</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344,071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354,339</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188,270</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44,449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140,154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189,292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(181,237)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144,405</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Income tax expense (benefit)</w:t>
            </w:r>
            <w:r>
              <w:rPr>
                <w:rFonts w:ascii="Arial" w:cs="Arial" w:eastAsia="Arial" w:hAnsi="Arial"/>
                <w:sz w:val="26"/>
                <w:szCs w:val="26"/>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140,154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185,369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(181,237)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140,562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185,247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(181,237)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140,154</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shd w:val="clear" w:color="auto" w:fill="CCEEFF"/>
          </w:tcPr>
          <w:p>
            <w:pPr>
              <w:ind w:left="680"/>
              <w:spacing w:after="0" w:line="196" w:lineRule="exact"/>
              <w:rPr>
                <w:sz w:val="20"/>
                <w:szCs w:val="20"/>
                <w:color w:val="auto"/>
              </w:rPr>
            </w:pPr>
            <w:r>
              <w:rPr>
                <w:rFonts w:ascii="Arial" w:cs="Arial" w:eastAsia="Arial" w:hAnsi="Arial"/>
                <w:sz w:val="18"/>
                <w:szCs w:val="18"/>
                <w:b w:val="1"/>
                <w:bCs w:val="1"/>
                <w:color w:val="auto"/>
              </w:rPr>
              <w:t>Statement of Comprehensive Income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140,154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185,369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(181,237)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140,562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140,154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185,369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(181,237)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139,919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55"/>
        </w:trPr>
        <w:tc>
          <w:tcPr>
            <w:tcW w:w="4180" w:type="dxa"/>
            <w:vAlign w:val="bottom"/>
          </w:tcPr>
          <w:p>
            <w:pPr>
              <w:ind w:left="20"/>
              <w:spacing w:after="0" w:line="156" w:lineRule="exact"/>
              <w:rPr>
                <w:sz w:val="20"/>
                <w:szCs w:val="20"/>
                <w:color w:val="auto"/>
              </w:rPr>
            </w:pPr>
            <w:r>
              <w:rPr>
                <w:rFonts w:ascii="Arial" w:cs="Arial" w:eastAsia="Arial" w:hAnsi="Arial"/>
                <w:sz w:val="18"/>
                <w:szCs w:val="18"/>
                <w:color w:val="auto"/>
                <w:w w:val="94"/>
              </w:rPr>
              <w:t>Comprehensive income (loss) attributable to controlling</w:t>
            </w:r>
          </w:p>
        </w:tc>
        <w:tc>
          <w:tcPr>
            <w:tcW w:w="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140,154</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185,247</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(181,237)</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139,511</w:t>
            </w:r>
          </w:p>
        </w:tc>
        <w:tc>
          <w:tcPr>
            <w:tcW w:w="0" w:type="dxa"/>
            <w:vAlign w:val="bottom"/>
          </w:tcPr>
          <w:p>
            <w:pPr>
              <w:spacing w:after="0"/>
              <w:rPr>
                <w:sz w:val="1"/>
                <w:szCs w:val="1"/>
                <w:color w:val="auto"/>
              </w:rPr>
            </w:pPr>
          </w:p>
        </w:tc>
      </w:tr>
      <w:tr>
        <w:trPr>
          <w:trHeight w:val="221"/>
        </w:trPr>
        <w:tc>
          <w:tcPr>
            <w:tcW w:w="41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48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right"/>
        <w:ind w:right="476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60" w:type="dxa"/>
            <w:vAlign w:val="bottom"/>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6"/>
        </w:trPr>
        <w:tc>
          <w:tcPr>
            <w:tcW w:w="4280" w:type="dxa"/>
            <w:vAlign w:val="bottom"/>
          </w:tcPr>
          <w:p>
            <w:pPr>
              <w:ind w:left="136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527,390</w:t>
            </w: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line="230" w:lineRule="exact"/>
              <w:rPr>
                <w:sz w:val="20"/>
                <w:szCs w:val="20"/>
                <w:color w:val="auto"/>
              </w:rPr>
            </w:pPr>
            <w:r>
              <w:rPr>
                <w:rFonts w:ascii="Arial" w:cs="Arial" w:eastAsia="Arial" w:hAnsi="Arial"/>
                <w:sz w:val="17"/>
                <w:szCs w:val="17"/>
                <w:color w:val="auto"/>
              </w:rPr>
              <w:t>Direct advertising expenses</w:t>
            </w:r>
            <w:r>
              <w:rPr>
                <w:rFonts w:ascii="Arial" w:cs="Arial" w:eastAsia="Arial" w:hAnsi="Arial"/>
                <w:sz w:val="26"/>
                <w:szCs w:val="26"/>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168,968</w:t>
            </w:r>
          </w:p>
        </w:tc>
        <w:tc>
          <w:tcPr>
            <w:tcW w:w="0" w:type="dxa"/>
            <w:vAlign w:val="bottom"/>
          </w:tcPr>
          <w:p>
            <w:pPr>
              <w:spacing w:after="0"/>
              <w:rPr>
                <w:sz w:val="1"/>
                <w:szCs w:val="1"/>
                <w:color w:val="auto"/>
              </w:rPr>
            </w:pPr>
          </w:p>
        </w:tc>
      </w:tr>
      <w:tr>
        <w:trPr>
          <w:trHeight w:val="229"/>
        </w:trPr>
        <w:tc>
          <w:tcPr>
            <w:tcW w:w="4280" w:type="dxa"/>
            <w:vAlign w:val="bottom"/>
          </w:tcPr>
          <w:p>
            <w:pPr>
              <w:ind w:left="180"/>
              <w:spacing w:after="0" w:line="230" w:lineRule="exact"/>
              <w:rPr>
                <w:sz w:val="20"/>
                <w:szCs w:val="20"/>
                <w:color w:val="auto"/>
              </w:rPr>
            </w:pPr>
            <w:r>
              <w:rPr>
                <w:rFonts w:ascii="Arial" w:cs="Arial" w:eastAsia="Arial" w:hAnsi="Arial"/>
                <w:sz w:val="17"/>
                <w:szCs w:val="17"/>
                <w:color w:val="auto"/>
              </w:rPr>
              <w:t>General and administrative expenses</w:t>
            </w:r>
            <w:r>
              <w:rPr>
                <w:rFonts w:ascii="Arial" w:cs="Arial" w:eastAsia="Arial" w:hAnsi="Arial"/>
                <w:sz w:val="26"/>
                <w:szCs w:val="26"/>
                <w:color w:val="auto"/>
                <w:vertAlign w:val="superscript"/>
              </w:rPr>
              <w:t>(1)</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87,181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line="230" w:lineRule="exact"/>
              <w:rPr>
                <w:sz w:val="20"/>
                <w:szCs w:val="20"/>
                <w:color w:val="auto"/>
              </w:rPr>
            </w:pPr>
            <w:r>
              <w:rPr>
                <w:rFonts w:ascii="Arial" w:cs="Arial" w:eastAsia="Arial" w:hAnsi="Arial"/>
                <w:sz w:val="17"/>
                <w:szCs w:val="17"/>
                <w:color w:val="auto"/>
              </w:rPr>
              <w:t>Corporate expenses</w:t>
            </w:r>
            <w:r>
              <w:rPr>
                <w:rFonts w:ascii="Arial" w:cs="Arial" w:eastAsia="Arial" w:hAnsi="Arial"/>
                <w:sz w:val="26"/>
                <w:szCs w:val="26"/>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24,337</w:t>
            </w:r>
          </w:p>
        </w:tc>
        <w:tc>
          <w:tcPr>
            <w:tcW w:w="0" w:type="dxa"/>
            <w:vAlign w:val="bottom"/>
          </w:tcPr>
          <w:p>
            <w:pPr>
              <w:spacing w:after="0"/>
              <w:rPr>
                <w:sz w:val="1"/>
                <w:szCs w:val="1"/>
                <w:color w:val="auto"/>
              </w:rPr>
            </w:pPr>
          </w:p>
        </w:tc>
      </w:tr>
      <w:tr>
        <w:trPr>
          <w:trHeight w:val="229"/>
        </w:trPr>
        <w:tc>
          <w:tcPr>
            <w:tcW w:w="42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65,833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335,806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346,266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181,124</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33,297</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Equity in earnings of investee</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149,381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7"/>
                <w:szCs w:val="17"/>
                <w:color w:val="auto"/>
              </w:rPr>
              <w:t>Income tax expense</w:t>
            </w:r>
            <w:r>
              <w:rPr>
                <w:rFonts w:ascii="Arial" w:cs="Arial" w:eastAsia="Arial" w:hAnsi="Arial"/>
                <w:sz w:val="26"/>
                <w:szCs w:val="26"/>
                <w:color w:val="auto"/>
                <w:vertAlign w:val="superscript"/>
              </w:rPr>
              <w:t>(2)</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21"/>
        </w:trPr>
        <w:tc>
          <w:tcPr>
            <w:tcW w:w="42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146,325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178,833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(178,405)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146,325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740"/>
              <w:spacing w:after="0"/>
              <w:rPr>
                <w:sz w:val="20"/>
                <w:szCs w:val="20"/>
                <w:color w:val="auto"/>
              </w:rPr>
            </w:pPr>
            <w:r>
              <w:rPr>
                <w:rFonts w:ascii="Arial" w:cs="Arial" w:eastAsia="Arial" w:hAnsi="Arial"/>
                <w:sz w:val="18"/>
                <w:szCs w:val="18"/>
                <w:b w:val="1"/>
                <w:bCs w:val="1"/>
                <w:color w:val="auto"/>
              </w:rPr>
              <w:t>Statement of Comprehensive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2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1,555,078</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80"/>
              <w:spacing w:after="0" w:line="230" w:lineRule="exact"/>
              <w:rPr>
                <w:sz w:val="20"/>
                <w:szCs w:val="20"/>
                <w:color w:val="auto"/>
              </w:rPr>
            </w:pPr>
            <w:r>
              <w:rPr>
                <w:rFonts w:ascii="Arial" w:cs="Arial" w:eastAsia="Arial" w:hAnsi="Arial"/>
                <w:sz w:val="17"/>
                <w:szCs w:val="17"/>
                <w:color w:val="auto"/>
              </w:rPr>
              <w:t>Direct advertising expenses</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515,403</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line="230" w:lineRule="exact"/>
              <w:rPr>
                <w:sz w:val="20"/>
                <w:szCs w:val="20"/>
                <w:color w:val="auto"/>
              </w:rPr>
            </w:pPr>
            <w:r>
              <w:rPr>
                <w:rFonts w:ascii="Arial" w:cs="Arial" w:eastAsia="Arial" w:hAnsi="Arial"/>
                <w:sz w:val="17"/>
                <w:szCs w:val="17"/>
                <w:color w:val="auto"/>
              </w:rPr>
              <w:t>General and administrative expenses</w:t>
            </w:r>
            <w:r>
              <w:rPr>
                <w:rFonts w:ascii="Arial" w:cs="Arial" w:eastAsia="Arial" w:hAnsi="Arial"/>
                <w:sz w:val="26"/>
                <w:szCs w:val="26"/>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250,839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256,944</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line="230" w:lineRule="exact"/>
              <w:rPr>
                <w:sz w:val="20"/>
                <w:szCs w:val="20"/>
                <w:color w:val="auto"/>
              </w:rPr>
            </w:pPr>
            <w:r>
              <w:rPr>
                <w:rFonts w:ascii="Arial" w:cs="Arial" w:eastAsia="Arial" w:hAnsi="Arial"/>
                <w:sz w:val="17"/>
                <w:szCs w:val="17"/>
                <w:color w:val="auto"/>
              </w:rPr>
              <w:t>Corporate expenses</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80,948</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219,839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222,919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disposition of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1,039,312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1,070,971</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484,107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(466,361)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466,361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119,186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128,604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347,060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488,736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(466,361)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356,714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Income tax expense</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347,060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480,045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(466,361)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347,893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347,060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479,788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(466,361)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347,060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347,060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480,045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(466,361)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347,893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347,060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480,045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(466,361)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347,651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155"/>
        </w:trPr>
        <w:tc>
          <w:tcPr>
            <w:tcW w:w="4240" w:type="dxa"/>
            <w:vAlign w:val="bottom"/>
          </w:tcPr>
          <w:p>
            <w:pPr>
              <w:ind w:left="20"/>
              <w:spacing w:after="0" w:line="156" w:lineRule="exact"/>
              <w:rPr>
                <w:sz w:val="20"/>
                <w:szCs w:val="20"/>
                <w:color w:val="auto"/>
              </w:rPr>
            </w:pPr>
            <w:r>
              <w:rPr>
                <w:rFonts w:ascii="Arial" w:cs="Arial" w:eastAsia="Arial" w:hAnsi="Arial"/>
                <w:sz w:val="18"/>
                <w:szCs w:val="18"/>
                <w:color w:val="auto"/>
                <w:w w:val="95"/>
              </w:rPr>
              <w:t>Comprehensive income (loss) attributable to controlling</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347,060</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479,788</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(13,669)</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(466,361)</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346,818</w:t>
            </w:r>
          </w:p>
        </w:tc>
        <w:tc>
          <w:tcPr>
            <w:tcW w:w="0" w:type="dxa"/>
            <w:vAlign w:val="bottom"/>
          </w:tcPr>
          <w:p>
            <w:pPr>
              <w:spacing w:after="0"/>
              <w:rPr>
                <w:sz w:val="1"/>
                <w:szCs w:val="1"/>
                <w:color w:val="auto"/>
              </w:rPr>
            </w:pPr>
          </w:p>
        </w:tc>
      </w:tr>
      <w:tr>
        <w:trPr>
          <w:trHeight w:val="221"/>
        </w:trPr>
        <w:tc>
          <w:tcPr>
            <w:tcW w:w="42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2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1,496,630</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7"/>
                <w:szCs w:val="17"/>
                <w:color w:val="auto"/>
              </w:rPr>
              <w:t>Direct advertising expenses</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493,463</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Arial" w:cs="Arial" w:eastAsia="Arial" w:hAnsi="Arial"/>
                <w:sz w:val="17"/>
                <w:szCs w:val="17"/>
                <w:color w:val="auto"/>
              </w:rPr>
              <w:t>General and administrative expenses</w:t>
            </w:r>
            <w:r>
              <w:rPr>
                <w:rFonts w:ascii="Arial" w:cs="Arial" w:eastAsia="Arial" w:hAnsi="Arial"/>
                <w:sz w:val="26"/>
                <w:szCs w:val="26"/>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255,546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260,923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7"/>
                <w:szCs w:val="17"/>
                <w:color w:val="auto"/>
              </w:rPr>
              <w:t>Corporate expenses</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73,694</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202,210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996,311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1,028,300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468,330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(459,799)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459,799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of investee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(459,799)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381,903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Arial" w:cs="Arial" w:eastAsia="Arial" w:hAnsi="Arial"/>
                <w:sz w:val="17"/>
                <w:szCs w:val="17"/>
                <w:color w:val="auto"/>
              </w:rPr>
              <w:t>Income tax expense (benefit)</w:t>
            </w:r>
            <w:r>
              <w:rPr>
                <w:rFonts w:ascii="Arial" w:cs="Arial" w:eastAsia="Arial" w:hAnsi="Arial"/>
                <w:sz w:val="26"/>
                <w:szCs w:val="26"/>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00"/>
              <w:spacing w:after="0"/>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371,157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Nine Months Ended September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392,347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640,356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(488,455)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504,727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w w:val="94"/>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 in notes receivable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(Increase) decrease in intercompany notes receivable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(135,708)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(241,930)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135,708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on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financing leases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rPr>
              <w:t>Payment on accounts receivable securitization</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program</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received from accounts receivable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securitization program</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loan (payments) proceeds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(to) from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Contributions from (to)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tcPr>
          <w:p>
            <w:pPr>
              <w:ind w:left="280"/>
              <w:spacing w:after="0" w:line="156" w:lineRule="exact"/>
              <w:rPr>
                <w:sz w:val="20"/>
                <w:szCs w:val="20"/>
                <w:color w:val="auto"/>
              </w:rPr>
            </w:pPr>
            <w:r>
              <w:rPr>
                <w:rFonts w:ascii="Arial" w:cs="Arial" w:eastAsia="Arial" w:hAnsi="Arial"/>
                <w:sz w:val="18"/>
                <w:szCs w:val="18"/>
                <w:color w:val="auto"/>
                <w:w w:val="97"/>
              </w:rPr>
              <w:t>Effect of exchange rate changes in cash and cash</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32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Nine Months Ended September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60"/>
              <w:spacing w:after="0"/>
              <w:rPr>
                <w:sz w:val="20"/>
                <w:szCs w:val="20"/>
                <w:color w:val="auto"/>
              </w:rPr>
            </w:pPr>
            <w:r>
              <w:rPr>
                <w:rFonts w:ascii="Arial" w:cs="Arial" w:eastAsia="Arial" w:hAnsi="Arial"/>
                <w:sz w:val="18"/>
                <w:szCs w:val="18"/>
                <w:color w:val="auto"/>
                <w:w w:val="93"/>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391,078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611,985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(472,917)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499,420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4"/>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2"/>
              </w:rPr>
              <w:t>Decrease (increase)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notes receivable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4"/>
              </w:rPr>
              <w:t>Net cash (used in) provided by investing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(273,702)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(399,392)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on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financing leases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rPr>
              <w:t>Payment on accounts receivable securitization</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program</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received from accounts receivable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securitization program</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rPr>
              <w:t>Proceeds received from senior credit facility term</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Intercompany loan (payments) proceeds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(472,917)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4"/>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(139,631)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(214,532)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199,215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80"/>
              <w:spacing w:after="0" w:line="156" w:lineRule="exact"/>
              <w:rPr>
                <w:sz w:val="20"/>
                <w:szCs w:val="20"/>
                <w:color w:val="auto"/>
              </w:rPr>
            </w:pPr>
            <w:r>
              <w:rPr>
                <w:rFonts w:ascii="Arial" w:cs="Arial" w:eastAsia="Arial" w:hAnsi="Arial"/>
                <w:sz w:val="18"/>
                <w:szCs w:val="18"/>
                <w:color w:val="auto"/>
                <w:w w:val="97"/>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equivalents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w w:val="97"/>
              </w:rPr>
              <w:t>Net (decrease) increase in cash and cash equivalents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33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2022 Combined Form 10-K filed on February 24, 2023, and as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consolidated financial condition and results of operations of the Company for the three and nine months ended September 30, 2023 and 2022. This discussion should be read in conjunction with the condensed consolidated financial statements of the Company and the related notes thereto.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w:t>
      </w:r>
      <w:r>
        <w:rPr>
          <w:rFonts w:ascii="Arial" w:cs="Arial" w:eastAsia="Arial" w:hAnsi="Arial"/>
          <w:sz w:val="17"/>
          <w:szCs w:val="17"/>
          <w:i w:val="1"/>
          <w:iCs w:val="1"/>
          <w:color w:val="auto"/>
        </w:rPr>
        <w:t>Sources of Cash</w:t>
      </w:r>
      <w:r>
        <w:rPr>
          <w:rFonts w:ascii="Arial" w:cs="Arial" w:eastAsia="Arial" w:hAnsi="Arial"/>
          <w:sz w:val="17"/>
          <w:szCs w:val="17"/>
          <w:color w:val="auto"/>
        </w:rPr>
        <w:t>” for more information.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nine months ended September 30, 2023, the Company completed multiple acquisitions for a total cash purchase price of approximately $120.3 million. See </w:t>
      </w:r>
      <w:r>
        <w:rPr>
          <w:rFonts w:ascii="Arial" w:cs="Arial" w:eastAsia="Arial" w:hAnsi="Arial"/>
          <w:sz w:val="18"/>
          <w:szCs w:val="18"/>
          <w:i w:val="1"/>
          <w:iCs w:val="1"/>
          <w:color w:val="auto"/>
        </w:rPr>
        <w:t>Uses of Cash – Acquisitions</w:t>
      </w:r>
      <w:r>
        <w:rPr>
          <w:rFonts w:ascii="Arial" w:cs="Arial" w:eastAsia="Arial" w:hAnsi="Arial"/>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nine months ended September 30, 2023 and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1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capital expenditures: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Billboard — traditional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11,658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40,619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30,388</w:t>
            </w: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 digital</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59,598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61,172</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Logos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9,639</w:t>
            </w: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5,102</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equipment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10,261</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7,486</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132,152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116,808</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equity in earnings (loss) of investees, loss (gain) on extinguishment of debt and investments, stock-based compensation, depreciation and amortization, loss (gain) on disposition of assets and investments, transaction expenses and capitalized contract fulfillment costs, net.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define AFFO as FFO before (i) straight-line income and expense; (ii) capitalized contract fulfillment costs, net (iii) stock-based compensation expense;</w:t>
      </w:r>
    </w:p>
    <w:p>
      <w:pPr>
        <w:spacing w:after="0" w:line="4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non-cash portion of tax expense (benefit); (v) non-real estate related depreciation and amortization; (vi) amortization of deferred financing costs;</w:t>
      </w:r>
    </w:p>
    <w:p>
      <w:pPr>
        <w:spacing w:after="0" w:line="20" w:lineRule="exact"/>
        <w:rPr>
          <w:rFonts w:ascii="Arial" w:cs="Arial" w:eastAsia="Arial" w:hAnsi="Arial"/>
          <w:sz w:val="17"/>
          <w:szCs w:val="17"/>
          <w:color w:val="auto"/>
        </w:rPr>
      </w:pPr>
    </w:p>
    <w:p>
      <w:pPr>
        <w:ind w:firstLine="8"/>
        <w:spacing w:after="0" w:line="260" w:lineRule="auto"/>
        <w:tabs>
          <w:tab w:leader="none" w:pos="3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on extinguishment of debt; (viii) transaction expenses; (ix) non-recurring infrequent or unusual losses (gains); (x) less maintenance capital expenditures; and (xi) an adjustment for unconsolidated affiliates and non-controlling interest.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4" w:lineRule="exact"/>
        <w:rPr>
          <w:sz w:val="20"/>
          <w:szCs w:val="20"/>
          <w:color w:val="auto"/>
        </w:rPr>
      </w:pPr>
    </w:p>
    <w:p>
      <w:pPr>
        <w:jc w:val="both"/>
        <w:ind w:firstLine="8"/>
        <w:spacing w:after="0" w:line="252" w:lineRule="auto"/>
        <w:tabs>
          <w:tab w:leader="none" w:pos="2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$58.4 million or 3.9% to $1.56 billion for the nine months ended September 30, 2023 from $1.50 billion for the same period in 2022. This increase was primarily attributable to an increase in billboard net revenues of $47.7 million and an increase in transit net revenues of $8.9 million over the same period in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2023, there was a $29.7 million increase in net revenues as compared to acquisition-adjusted net revenue for the nine months ended September 30, 2022, which represents an increase of 1.9%. See "Reconciliations" below. The $29.7 million increase in revenue is primarily due to an increase of $19.6 million in billboard net revenues as well as an increase in transit net revenues of $8.3 million over the same period in 2022.</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$25.2 million, or 3.0%, to $853.7 million for the nine months ended September 30, 2023 from $828.5 million for the same period in 2022. The $25.2 million increase over the prior year is comprised of a $27.0 million increase in total direct, general and administrative and corporate expenses (excluding stock-based compensation and transaction expenses) primarily related to the operations of our outdoor advertising assets, as well as a $2.0 million increase in stock-based compensation, offset by a $3.8 million decrease in transaction expenses related to acquisitions and the write-off of deferred offering costs.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$20.7 million to $222.9 million for the nine months ended September 30, 2023 as compared to $202.2 million for the same period in 2022, primarily related to acquisitions and capital expenditures completed during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the Company recognized a gain on disposition of assets of $5.2 million primarily resulting from transactions related to the sale of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$15.8 million to $483.7 million for the nine months ended September 30, 2023 as compared to $467.9 million for the same period in 2022.</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increased $40.3 million for the nine months ended September 30, 2023 to $130.2 million as compared to $89.8 million for the nine months ended September 30, 2022 primarily due to the increase in interest rates on the Accounts Receivable Securitization Program and senior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investee was $1.3 million and $2.7 million for the nine months ended September 30, 2023 and 2022,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increase in interest expense, resulted in a $25.2 million decrease in net income before income taxes. The effective tax rate for the nine months ended September 30, 2023 was 2.5%,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nine months ended September 30, 2023 of $347.5 million, as compared to net income of $372.5 million for the same period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2021 have contributed to our net revenue results for the periods presented, we provide 2022 acquisition-adjusted net revenue, which adjusts our 2022 net revenue for the nine months ended September 30, 2022 by adding to or subtracting from it the net revenue generated by the acquired or divested assets prior to our acquisition or divestiture of these assets for the same time frame that those assets were owned in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2022 reported net revenue to 2022 acquisition-adjusted net revenue for the nine months ended September 30, as well as a comparison of 2022 acquisition-adjusted net revenue to 2023 reported net revenue for the nine months ended September 30, are provided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5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6"/>
          </w:tcPr>
          <w:p>
            <w:pPr>
              <w:jc w:val="right"/>
              <w:ind w:right="85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1,555,078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1,496,630</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28,706</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1,555,078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1,525,336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7"/>
                <w:szCs w:val="17"/>
                <w:color w:val="auto"/>
              </w:rPr>
            </w:pPr>
          </w:p>
        </w:tc>
        <w:tc>
          <w:tcPr>
            <w:tcW w:w="1220" w:type="dxa"/>
            <w:vAlign w:val="bottom"/>
          </w:tcPr>
          <w:p>
            <w:pPr>
              <w:jc w:val="right"/>
              <w:ind w:right="97"/>
              <w:spacing w:after="0"/>
              <w:rPr>
                <w:sz w:val="20"/>
                <w:szCs w:val="20"/>
                <w:color w:val="auto"/>
              </w:rPr>
            </w:pPr>
            <w:r>
              <w:rPr>
                <w:rFonts w:ascii="Arial" w:cs="Arial" w:eastAsia="Arial" w:hAnsi="Arial"/>
                <w:sz w:val="14"/>
                <w:szCs w:val="14"/>
                <w:b w:val="1"/>
                <w:bCs w:val="1"/>
                <w:color w:val="auto"/>
                <w:w w:val="90"/>
              </w:rPr>
              <w:t>Percent Increase</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Increase (Decrease)</w:t>
            </w:r>
          </w:p>
        </w:tc>
        <w:tc>
          <w:tcPr>
            <w:tcW w:w="100" w:type="dxa"/>
            <w:vAlign w:val="bottom"/>
          </w:tcPr>
          <w:p>
            <w:pPr>
              <w:spacing w:after="0"/>
              <w:rPr>
                <w:sz w:val="17"/>
                <w:szCs w:val="17"/>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372,544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Equity in earnings of investee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222,919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202,210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685,804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nine months ended September 30, 2023 increased 4.6% to $717.6 million. The increase in adjusted EBITDA was primarily attributable to an increase in our gross margin (net revenue less direct advertising expense, exclusive of depreciation and amortization and capitalized contract fulfillment costs, net) of $36.8 million, offset by an increase in total general and administrative and corporate expenses of $5.0 million, excluding the impact of stock-based compensation expense and transaction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Arial" w:cs="Arial" w:eastAsia="Arial" w:hAnsi="Arial"/>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213,925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8"/>
                <w:szCs w:val="18"/>
                <w:color w:val="auto"/>
              </w:rPr>
              <w:t>AFFO</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547,255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555,189</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FFO for the nine months ended September 30, 2023 decreased from $561.8 million in 2022 to $554.2 million for the same period in 2023, a decrease of 1.4%. AFFO for the nine months ended September 30, 2023 decreased 1.4% to $547.3 million as compared to $555.2 million for the same period in 2022. The decrease in AFFO was primarily attributable to an increase in our interest expense of $40.3 million and an increase in total general and administrative and corporate expenses (excluding the effect of stock-based compensation expense and transaction expenses), offset by an increase in our gross margin (net revenue less direct advertising expense, exclusive of depreciation and amortization and capitalized contract fulfillment costs, net).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$15.2 million or 2.9% to $542.6 million for the three months ended September 30, 2023 from $527.4 million for the same period in 2022. This increase was primarily attributable to an increase in billboard net revenues of $12.8 million and an increase in transit net revenues of $1.6 million over the same period in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2023, there was a $8.5 million increase in net revenues as compared to acquisition-adjusted net revenue for the three months ended September 30, 2022, which represents an increase of 1.6%. See "Reconciliations" below. The $8.5 million increase in revenue is primarily due to an increase of $5.4 million in billboard net revenues as well as an increase in transit net revenues of $2.3 million over the same period in 2022.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$0.1 million to $280.7 million for the three months ended September 30, 2023 from $280.6 million for the same period in 2022. The $0.1 million increase over the prior year is comprised of a $1.4 million increase in total direct, general and administrative and corporate expenses (excluding stock-based compensation and transaction expenses) primarily related to the operations of our outdoor advertising assets, offset by a $1.2 million decrease in stock-based compensation.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increased $8.8 million to $74.6 million for the three months ended September 30, 2023 as compared to $65.8 million for the same period in 2022, primarily related to acquisitions and capital expenditures completed during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2023, the Company recognized a gain on disposition of assets of $0.9 million primarily resulting from transactions related to the sale of billboard locations and displays.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$7.1 million to $188.1 million for the three months ended September 30, 2023 as compared to $181.0 million for the same period in 2022.</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expense increased $11.5 million for the three months ended September 30, 2023 to $45.1 million as compared to $33.5 million for the three months ended September 30, 2022 primarily due to the increase in interest rates on the Accounts Receivable Securitization Program and senior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investee was $0.7 million and $1.6 million for the three months ended September 30, 2023 and 2022,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increase in interest expense, resulted in a $5.0 million decrease in net income before income taxes. The effective tax rate for the three months ended September 30, 2023 was 2.7%,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September 30, 2023 of $140.4 million, as compared to net income of $146.2 million for the same period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2021 have contributed to our net revenue results for the periods presented, we provide 2022 acquisition-adjusted net revenue, which adjusts our 2022 net revenue for the three months ended September 30, 2022 by adding to or subtracting from it the net revenue generated by the acquired or divested assets prior to our acquisition or divestiture of these assets for the same time frame that those assets were owned in the three months ended September 30, 2023.</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2022 reported net revenue to 2022 acquisition-adjusted net revenue for the three months ended September 30, as well as a comparison of 2022 acquisition-adjusted net revenue to 2023 reported net revenue for the three months ended September 30, are provided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5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194"/>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542,609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527,390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6,733</w:t>
            </w:r>
          </w:p>
        </w:tc>
      </w:tr>
      <w:tr>
        <w:trPr>
          <w:trHeight w:val="248"/>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534,123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Arial" w:cs="Arial" w:eastAsia="Arial" w:hAnsi="Arial"/>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Equity in earnings of investee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74,636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September 30, 2023 increased 5.8% to $265.7 million. The increase in adjusted EBITDA was primarily attributable to an increase in our gross margin (net revenue less direct advertising expense, exclusive of depreciation and amortization and capitalized contract fulfillment costs, net) of $9.7 million and a decrease in total general and administrative and corporate expenses of $4.8 million, excluding the impact of stock-based compensation expense and transaction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6"/>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1"/>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7"/>
                <w:szCs w:val="17"/>
                <w:color w:val="auto"/>
              </w:rPr>
            </w:pPr>
          </w:p>
        </w:tc>
        <w:tc>
          <w:tcPr>
            <w:tcW w:w="1400" w:type="dxa"/>
            <w:vAlign w:val="bottom"/>
          </w:tcPr>
          <w:p>
            <w:pPr>
              <w:jc w:val="right"/>
              <w:ind w:right="102"/>
              <w:spacing w:after="0"/>
              <w:rPr>
                <w:sz w:val="20"/>
                <w:szCs w:val="20"/>
                <w:color w:val="auto"/>
              </w:rPr>
            </w:pPr>
            <w:r>
              <w:rPr>
                <w:rFonts w:ascii="Arial" w:cs="Arial" w:eastAsia="Arial" w:hAnsi="Arial"/>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(Decrease)</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8"/>
                <w:szCs w:val="18"/>
                <w:color w:val="auto"/>
              </w:rPr>
              <w:t>AFFO</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208,784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206,388</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FFO for the three months ended September 30, 2023 increased from $207.9 million in 2022 to $210.0 million for the same period in 2023, an increase of 1.0%. AFFO for the three months ended September 30, 2023 increased 1.2% to $208.8 million as compared to $206.4 million for the same period in 2022. The increase in AFFO was primarily attributable to an increase in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(net revenue less direct advertising expense, exclusive of depreciation and amortization and capitalized contract fulfillment costs, net) and a decrease in total general and administrative and corporate expenses (excluding the effect of stock-based compensation and transaction expenses), offset by an increase in interest expense of $11.5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Total Liquidity. </w:t>
      </w:r>
      <w:r>
        <w:rPr>
          <w:rFonts w:ascii="Arial" w:cs="Arial" w:eastAsia="Arial" w:hAnsi="Arial"/>
          <w:sz w:val="18"/>
          <w:szCs w:val="18"/>
          <w:color w:val="auto"/>
        </w:rPr>
        <w:t>As of September 30, 2023 we had $645.7 million of total liquidity, which is comprised of $39.4 million in cash and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$606.3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and December 31, 2022, the Company had a working capital deficit of $312.1 million and $361.5 million, respectively. The decrease in working capital deficit of $49.4 million is primarily due to an increase in receivables and decreases in current operating lease liabilities and payroll related accrued expenses.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Cash Generated by Operations</w:t>
      </w:r>
      <w:r>
        <w:rPr>
          <w:rFonts w:ascii="Arial" w:cs="Arial" w:eastAsia="Arial" w:hAnsi="Arial"/>
          <w:sz w:val="16"/>
          <w:szCs w:val="16"/>
          <w:color w:val="auto"/>
        </w:rPr>
        <w:t>. For the nine months ended September 30, 2023 and 2022, our cash provided by operating activities was $529.4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$537.1 million, respectively. The decrease in cash provided by operating activities for the nine months ended September 30, 2023 over the same period in 2022 primarily relates to an increase in operating expenses (excluding stock-based compensation, gain on disposition of assets, and depreciation and amortization) of $23.2 million and an increase in interest expense of $40.3 million, offset by an increase in revenues of $58.4 million. We expect to generate cash flows from operations during 2023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Accounts Receivable Securitization Program. </w:t>
      </w:r>
      <w:r>
        <w:rPr>
          <w:rFonts w:ascii="Arial" w:cs="Arial" w:eastAsia="Arial" w:hAnsi="Arial"/>
          <w:sz w:val="18"/>
          <w:szCs w:val="18"/>
          <w:color w:val="auto"/>
        </w:rPr>
        <w:t>On June 24, 2022, Lamar Media and the Special Purpose Subsidiaries entered into the Sixth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there was $247.1 million in outstanding aggregate borrowings under the Accounts Receivable Securitization Program. Lamar Media had no additional availability under the Accounts Receivable Securitization Program as of September 30, 2023. The Accounts Receivable Securitization Program will mature on July 21, 2025.</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“At-the-Market” Offering Program. </w:t>
      </w:r>
      <w:r>
        <w:rPr>
          <w:rFonts w:ascii="Arial" w:cs="Arial" w:eastAsia="Arial" w:hAnsi="Arial"/>
          <w:sz w:val="16"/>
          <w:szCs w:val="16"/>
          <w:color w:val="auto"/>
        </w:rPr>
        <w:t>On June 21, 2021, the Company entered into an equity distribution agreement (the "2021 Sales Agreement"), with J.P.</w:t>
      </w:r>
      <w:r>
        <w:rPr>
          <w:rFonts w:ascii="Arial" w:cs="Arial" w:eastAsia="Arial" w:hAnsi="Arial"/>
          <w:sz w:val="16"/>
          <w:szCs w:val="16"/>
          <w:i w:val="1"/>
          <w:iCs w:val="1"/>
          <w:color w:val="auto"/>
        </w:rPr>
        <w:t xml:space="preserve"> </w:t>
      </w:r>
      <w:r>
        <w:rPr>
          <w:rFonts w:ascii="Arial" w:cs="Arial" w:eastAsia="Arial" w:hAnsi="Arial"/>
          <w:sz w:val="16"/>
          <w:szCs w:val="16"/>
          <w:color w:val="auto"/>
        </w:rPr>
        <w:t>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September 30, 2023.</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Shelf Registration Statement</w:t>
      </w:r>
      <w:r>
        <w:rPr>
          <w:rFonts w:ascii="Arial" w:cs="Arial" w:eastAsia="Arial" w:hAnsi="Arial"/>
          <w:sz w:val="18"/>
          <w:szCs w:val="18"/>
          <w:b w:val="1"/>
          <w:bCs w:val="1"/>
          <w:color w:val="222222"/>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21, 2021, the Company filed a new automatically effective shelf registration statement that allows Lamar</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to offer and sell an indeterminate amount of additional shares of its Class A common stock. During the nine months ended September 30, 2023 and the year ended December 31, 2022, the Company did not issue any shares under either shelf registration.</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February 6, 2020, Lamar Media entered into a Fourth Amended and Restated Credit Agreement (the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senior credit facility, as established by the Fourth Amended and Restated Credit Agreement (the “senior credit facility”), consists of (i) a $750.0 million senior secured revolving credit facility which will mature on July 31, 2028, subject to certain conditions (see description of Amendment No. 4 below) (the “revolving credit facility”), (ii) a $600.0 million senior secured Term B loan facility (the “Term B loans”) which will mature on February 6, 2027, (iii) a $350.0 million senior secured Term A loan facility (the "Term A loans") which will mature on February 6, 2025, and (iv)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8"/>
          <w:szCs w:val="18"/>
          <w:i w:val="1"/>
          <w:iCs w:val="1"/>
          <w:color w:val="auto"/>
        </w:rPr>
        <w:t>“Restrictions under Senior Credit Facility”</w:t>
      </w:r>
      <w:r>
        <w:rPr>
          <w:rFonts w:ascii="Arial" w:cs="Arial" w:eastAsia="Arial" w:hAnsi="Arial"/>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 B loans bear interest at rates based on Term SOFR plus a credit spread adjustment of 0.10% (Term SOFR plus such credit spread adjustment, the "Adjusted Term SOFR Rate”) or the Adjusted Base Rate, at Lamar Media’s option. Term B loans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will mature on February 6, 2025 and bear interest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bear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to time to time, one or more new incremental revolving facilities on the terms, and subject to the conditions, set forth therein.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the aggregate balance outstanding under the senior credit facility was $1.09 billion, consisting of $600.0 million in Term B loans aggregate principal balance, $350.0 million in Term A loans aggregate principal balance and $135.0 million outstanding borrowings under our revolving credit facility. Lamar Media had approximately $606.3 million of unused capacity under the revolving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internally generated cash flow are general economic conditions, specific economic conditions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where the Company conducts its business and overall spending on advertising by advertisers. We expect to generate cash flows from operations during 2023 in excess of our cash needs for operations, capital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expenditures and dividends, as described herein, and we believe we have sufficient liquidity with cash on hand and availability under our revolving credit facility to meet our operating cash needs for the next twelve months.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 to $2.0 billion of indebtedness under the senior credit facility;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September 30, 2023 we were, and currently, we are, in compliance with all such tests under the senior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Cash – Accounts Receivable Securitization Program</w:t>
      </w:r>
      <w:r>
        <w:rPr>
          <w:rFonts w:ascii="Arial" w:cs="Arial" w:eastAsia="Arial" w:hAnsi="Arial"/>
          <w:sz w:val="18"/>
          <w:szCs w:val="18"/>
          <w:color w:val="auto"/>
        </w:rPr>
        <w:t>)) to EBITDA, as defined below, for the period of four consecutive fiscal quarters then ended,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or equal to 4.5 to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84" w:lineRule="auto"/>
        <w:tabs>
          <w:tab w:leader="none" w:pos="2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senior credit facility, “net income” means for any period, the consolidated net income (or loss) of Lamar Advertising, us, and our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$132.2 million for the nine months ended September 30, 2023.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2023 total capital expenditures to be between approximately $180.0 million and $185.0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nine months ended September 30, 2023, the Company completed acquisitions for an aggregate purchase price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$120.3 million, which were financed using available cash on hand and borrowings on the Accounts Receivable Securitization Program and senior credit facility.</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February 23, 2023, the Company's Board of Directors declared a quarterly cash dividend of $1.25 per share, paid on March 31, 2023 to its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of record of its Class A common stock and Class B common stock on March 17, 2023. On May 10, 2023, the Company's Board of Directors declared a quarterly cash dividend of $1.25 per share, paid on June 30, 2023 to its stockholders of record of its Class A common stock and Class B common stock on June 19, 2023. On August 29, 2023, the Company's Board of Directors declared a quarterly cash dividend of $1.25 per share, paid on September 29, 2023 to its stockholders of record of its Class A common stock and Class B common stock on September 18, 2023. Subject to approval of the Company's Board of Directors, the Company expects aggregate quarterly distributions to stockholders in 2023 will be $5.00 per share of common stock, including the dividends paid on March 31, 2023, June 30, 2023 and September 29, 2023.</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Stock and Debt Repurchasing Program. </w:t>
      </w:r>
      <w:r>
        <w:rPr>
          <w:rFonts w:ascii="Arial" w:cs="Arial" w:eastAsia="Arial" w:hAnsi="Arial"/>
          <w:sz w:val="18"/>
          <w:szCs w:val="18"/>
          <w:color w:val="auto"/>
        </w:rPr>
        <w:t>On March 16, 2020, the Company’s Board of Directors authorized the repurchase of up to $250.0 million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February 23, 2023, the Board of Directors authorized the extension of the repurchase program through September 30, 2024. There were no repurchases under the program as of September 30, 2023. The Company’s management may opt not to make any repurchases under the program, or may make aggregate purchases less than the total amount authorized.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expected material cash requirements for the twelve months following September 30, 2023 and thereafter are comprised of contractual obligations, required annual distributions and other opportunistic expenditures.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Debt and Contractual Obligations. </w:t>
      </w:r>
      <w:r>
        <w:rPr>
          <w:rFonts w:ascii="Arial" w:cs="Arial" w:eastAsia="Arial" w:hAnsi="Arial"/>
          <w:sz w:val="18"/>
          <w:szCs w:val="18"/>
          <w:color w:val="auto"/>
        </w:rPr>
        <w:t>The following table summarizes our future debt maturities, interest payment obligations, and contractual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required payments under operating and financing leases as of September 30, 2023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Arial" w:cs="Arial" w:eastAsia="Arial" w:hAnsi="Arial"/>
                <w:sz w:val="14"/>
                <w:szCs w:val="14"/>
                <w:b w:val="1"/>
                <w:bCs w:val="1"/>
                <w:color w:val="auto"/>
              </w:rPr>
              <w:t>Thereafter</w:t>
            </w:r>
          </w:p>
        </w:tc>
      </w:tr>
      <w:tr>
        <w:trPr>
          <w:trHeight w:val="25"/>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Debt maturities</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3,154.7</w:t>
            </w:r>
          </w:p>
        </w:tc>
      </w:tr>
      <w:tr>
        <w:trPr>
          <w:trHeight w:val="230"/>
        </w:trPr>
        <w:tc>
          <w:tcPr>
            <w:tcW w:w="8480" w:type="dxa"/>
            <w:vAlign w:val="bottom"/>
          </w:tcPr>
          <w:p>
            <w:pPr>
              <w:ind w:left="20"/>
              <w:spacing w:after="0" w:line="230" w:lineRule="exact"/>
              <w:rPr>
                <w:sz w:val="20"/>
                <w:szCs w:val="20"/>
                <w:color w:val="auto"/>
              </w:rPr>
            </w:pPr>
            <w:r>
              <w:rPr>
                <w:rFonts w:ascii="Arial" w:cs="Arial" w:eastAsia="Arial" w:hAnsi="Arial"/>
                <w:sz w:val="17"/>
                <w:szCs w:val="17"/>
                <w:color w:val="auto"/>
              </w:rPr>
              <w:t>Interest obligations on long-term debt</w:t>
            </w:r>
            <w:r>
              <w:rPr>
                <w:rFonts w:ascii="Arial" w:cs="Arial" w:eastAsia="Arial" w:hAnsi="Arial"/>
                <w:sz w:val="26"/>
                <w:szCs w:val="26"/>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557.9</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obligations, including operating and financing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1,695.5</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5,408.1</w:t>
            </w: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Debt maturities assume there is no refinancing prior to the existing maturity date.</w:t>
      </w:r>
    </w:p>
    <w:p>
      <w:pPr>
        <w:spacing w:after="0" w:line="22" w:lineRule="exact"/>
        <w:rPr>
          <w:rFonts w:ascii="Arial" w:cs="Arial" w:eastAsia="Arial" w:hAnsi="Arial"/>
          <w:sz w:val="16"/>
          <w:szCs w:val="16"/>
          <w:color w:val="auto"/>
        </w:rPr>
      </w:pPr>
    </w:p>
    <w:p>
      <w:pPr>
        <w:ind w:left="360" w:hanging="352"/>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Interest rates on our variable rate instruments assume rates at the September 2023 levels.</w:t>
      </w:r>
    </w:p>
    <w:p>
      <w:pPr>
        <w:spacing w:after="0" w:line="2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Required Annual Distributions</w:t>
      </w:r>
      <w:r>
        <w:rPr>
          <w:rFonts w:ascii="Arial" w:cs="Arial" w:eastAsia="Arial" w:hAnsi="Arial"/>
          <w:sz w:val="17"/>
          <w:szCs w:val="17"/>
          <w:color w:val="auto"/>
        </w:rPr>
        <w:t>. As a REIT, the Company must annually distribute to its stockholders an amount equal to at least 90% of its REIT taxable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(determined before the deduction for distributed earnings and excluding any net capital gain). On February 23, 2023, the Company's Board of Directors declared a quarterly cash dividend of $1.25 per share, paid on March 31, 2023 to its stockholders of record of its Class A common stock and Class B common stock on March 17, 2023. On May 10, 2023, the Company's Board of Directors declared a quarterly cash dividend of $1.25 per share, paid on June 30, 2023 to its stockholders of record of its Class A common stock and Class B common stock on June 19, 2023. On August 29, 2023, the Company's Board of Directors declared a quarterly cash dividend of $1.25 per share, paid on September 29, 2023 to its stockholders of record of its Class A common stock and Class B common stock on September 18, 2023. Subject to approval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Board of Directors, the Company expects aggregate quarterly distributions to stockholders in 2023 will be $5.00 per share of common stock, including the dividends paid on March 31, 2023, June 30, 2023 and September 29, 2023.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Opportunistic Expenditures</w:t>
      </w:r>
      <w:r>
        <w:rPr>
          <w:rFonts w:ascii="Arial" w:cs="Arial" w:eastAsia="Arial" w:hAnsi="Arial"/>
          <w:sz w:val="18"/>
          <w:szCs w:val="18"/>
          <w:color w:val="auto"/>
        </w:rPr>
        <w:t>. As part of our capital allocation strategy, we plan to continue to allocate our available capital among investment alternatives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flows provided by operating activities decreased $7.7 million from $537.1 million for the nine months ended September 30, 2022 to $529.4 million for the nine months ended September 30, 2023, primarily resulting from an increase in operating expenses (excluding stock-based compensation, gain on disposition of assets, and depreciation and amortization) of $23.2 million and an increase in interest expense of $40.3 million, offset by an increase in revenues of $58.4 million, as compared to the same period in 2022.</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used in investing activities decreased $156.5 million from $402.5 million for the nine months ended September 30, 2022 to $245.9 million for the nine months ended September 30, 2023 primarily due to a net decrease in the amount of assets acquired through acquisitions, investments and capital expenditures of $152.2 million, as compared to the same period in 2022.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cash flows used in financing activities were $296.7 million for the nine months ended September 30, 2023 as compared to $154.8 million for the nine months ended September 30, 2022. The cash flows used in financing activities of $296.7 million for the nine months ended September 30, 2023 is primarily due to cash paid for dividends and distributions offset by net borrowings on the senior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2022 Combined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and Regulatory Update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12, "New Accounting Pronouncements" to our condensed consolidated financial statements included in Part 1, Item 1 of this report for a discussion of our Accounting Standards and Regulatory Update.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consolidated financial condition and results of operations of Lamar Media for the three and nine months ended September 30, 2023 and 2022. This discussion should be read in conjunction with the consolidated financial statements of Lamar Media and the related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$58.4 million or 3.9% to $1.56 billion for the nine months ended September 30, 2023 from $1.50 billion for the same period in 2022. This increase was primarily attributable to an increase in billboard net revenues of $47.7 million and an increase in transit net revenues of $8.9 million over the same period in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2023, there was a $29.7 million increase in net revenues as compared to acquisition-adjusted net revenue for the nine months ended September 30, 2022, which represents an increase of 1.9%. See "Reconciliations" below. The $29.7 million increase in revenue is primarily due to an increase of $19.6 million in billboard net revenues as well as an increase in transit net revenues of $8.3 million over the same period in 2022.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exclusive of depreciation and amortization and gain on disposition of assets, increased $25.2 million, or 3.0% to $853.3 million for the nine months ended September 30, 2023 from $828.1 million for the same period in 2022.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$25.2 million increase over the prior year is comprised of a $27.0 million increase in total direct, general and administrative and corporate expenses (excluding stock-based compensation and transaction expenses) primarily related to the operations of our outdoor advertising assets, as well as a $2.0 million increase in stock-based compensation, offset by a $3.8 million decrease in transaction expenses related to acquisitions and the write-off of deferred offering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$20.7 million to $222.9 million for the nine months ended September 30, 2023 as compared to $202.2 million for the same period in 2022, primarily related to acquisitions and capital expenditures completed during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Lamar Media recognized a gain on disposition of assets of $5.2 million, primarily resulting from transactions related to the sale of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$15.8 million to $484.1 million for the nine months ended September 30, 2023 as compared to $468.3 million for the same period in 2022.</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increased $40.3 million for the nine months ended September 30, 2023 to $130.2 million as compared to $89.8 million for the nine months ended September 30, 2022 primarily due to the increase in interest rates on the Accounts Receivable Securitization Program and senior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investee was $1.3 million and $2.7 million for the nine months ended September 30, 2023 and 2022,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increase in interest expense, resulted in a $25.2 million decrease in net income before income taxes. The effective tax rate for the nine months ended September 30, 2023 was 2.5%,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nine months ended September 30, 2023 of $347.9 million, as compared to net income of $372.9 million for the same period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2021 have contributed to our net revenue results for the periods presented, we provide 2022 acquisition-adjusted net revenue, which adjusts our 2022 net revenue for the nine months ended September 30, 2022 by adding to or subtracting from it the net revenue generated by the acquired or divested assets prior to our acquisition or divestiture of these assets for the same time frame that those assets were owned in the nine months ended September 30, 2023.</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2022 reported net revenue to 2022 acquisition-adjusted net revenue for the nine months ended September 30, as well as a comparison of 2022 acquisition-adjusted net revenue to 2023 reported net revenue for the nine months ended September 30, are provided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5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194"/>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1,555,078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1,496,630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28,706</w:t>
            </w:r>
          </w:p>
        </w:tc>
      </w:tr>
      <w:tr>
        <w:trPr>
          <w:trHeight w:val="248"/>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1,555,078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1,525,336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 Increase</w:t>
            </w:r>
          </w:p>
        </w:tc>
      </w:tr>
      <w:tr>
        <w:trPr>
          <w:trHeight w:val="196"/>
        </w:trPr>
        <w:tc>
          <w:tcPr>
            <w:tcW w:w="55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222,919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20,709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48"/>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nine months ended September 30, 2023 increased 4.6% to $717.9 million. The increase in adjusted EBITDA was primarily attributable to an increase in our gross margin (net revenue less direct advertising expense, exclusive of depreciation and amortization and capitalized contract fulfillment costs, net) of $36.8 million, offset by an increase in total general and administrative and corporate expenses of $5.0 million, excluding the impact of stock-based compensation expense and transaction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7"/>
                <w:szCs w:val="17"/>
                <w:color w:val="auto"/>
              </w:rPr>
            </w:pPr>
          </w:p>
        </w:tc>
        <w:tc>
          <w:tcPr>
            <w:tcW w:w="146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 Increase</w:t>
            </w:r>
          </w:p>
        </w:tc>
      </w:tr>
      <w:tr>
        <w:trPr>
          <w:trHeight w:val="196"/>
        </w:trPr>
        <w:tc>
          <w:tcPr>
            <w:tcW w:w="5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213,925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20,761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60" w:type="dxa"/>
            <w:vAlign w:val="bottom"/>
          </w:tcPr>
          <w:p>
            <w:pPr>
              <w:ind w:left="18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547,637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FFO for the nine months ended September 30, 2023 decreased from $562.2 million in 2022 to $554.5 million for the same period in 2023, a decrease of 1.4%. AFFO for the nine months ended September 30, 2023 decreased 1.4% to $547.6 million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compared to $555.6 million for the same period in 2022. The decrease in AFFO was primarily attributable to an increase in our interest expense of $40.3 million and an increase in total general and administrative and corporate expenses (excluding the effect of stock-based compensation expense and transaction expenses), offset by an increase in our gross margin (net revenue less direct advertising expense, exclusive of depreciation and amortization and capitalized contract fulfillment costs, net).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$15.2 million or 2.9% to $542.6 million for the three months ended September 30, 2023 from $527.4 million for the same period in 2022. This increase was primarily attributable to an increase in billboard net revenues of $12.8 million and an increase in transit net revenues of $1.6 million over the same period in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2023, there was a $8.5 million increase in net revenues as compared to acquisition-adjusted net revenue for the three months ended September 30, 2022, which represents an increase of 1.6%. See "Reconciliations" below. The $8.5 million increase in revenue is primarily due to an increase of $5.4 million in billboard net revenues as well as an increase in transit net revenues of $2.3 million over the same period in 2022.</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operating expenses, exclusive of depreciation and amortization and gain on disposition of assets, increased $0.1 million, to $280.6 million for the three months ended September 30, 2023 from $280.5 million for the same period in 2022. The $0.1 million increase over the prior year is comprised of a $1.4 million increase in total direct, general and administrative and corporate expenses (excluding stock-based compensation and transaction expenses) primarily related to the operations of our outdoor advertising assets, offset by a $1.2 million decrease in stock-based compensation.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increased $8.8 million to $74.6 million for the three months ended September 30, 2023 as compared to $65.8 million for the same period in 2022, primarily related to acquisitions and capital expenditures completed during 2022.</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September 30, 2023, Lamar Media recognized a gain on disposition of assets of $0.9 million, primarily resulting from transactions related to the sale of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$7.1 million to $188.3 million for the three months ended September 30, 2023 as compared to $181.1 million for the same period in 2022.</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expense increased $11.5 million for the three months ended September 30, 2023 to $45.1 million as compared to $33.5 million for the three months ended September 30, 2022 primarily due to the increase in interest rates on the Accounts Receivable Securitization Program and senior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investee was $0.7 million and $1.6 million for the three months ended September 30, 2023 and 2022,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increase in interest expense, resulted in a $5.0 million decrease in net income before income taxes. The effective tax rate for the three months ended September 30, 2023 was 2.7%,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three months ended September 30, 2023 of $140.6 million, as compared to net income of $146.3 million for the same period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2021 have contributed to our net revenue results for the periods presented, we provide 2022 acquisition-adjusted net revenue, which adjusts our 2022 net revenue for the three months ended September 30, 2022 by adding to or subtracting from it the net revenue generated by the acquired or divested assets prior to our acquisition or divestiture of these assets for the same time frame that those assets were owned in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2022 reported net revenue to 2022 acquisition-adjusted net revenue for the three months ended September 30, as well as a comparison of 2022 acquisition-adjusted net revenue to 2023 reported net revenue for the three months ended September 30, are provided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5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6"/>
          </w:tcPr>
          <w:p>
            <w:pPr>
              <w:jc w:val="right"/>
              <w:ind w:right="8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542,609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527,390</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542,609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534,123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Amount of Increase</w:t>
            </w:r>
          </w:p>
        </w:tc>
        <w:tc>
          <w:tcPr>
            <w:tcW w:w="132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w w:val="96"/>
              </w:rPr>
              <w:t>Percent Increase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7"/>
                <w:szCs w:val="17"/>
                <w:color w:val="auto"/>
              </w:rPr>
            </w:pPr>
          </w:p>
        </w:tc>
        <w:tc>
          <w:tcPr>
            <w:tcW w:w="1140" w:type="dxa"/>
            <w:vAlign w:val="bottom"/>
          </w:tcPr>
          <w:p>
            <w:pPr>
              <w:jc w:val="right"/>
              <w:ind w:right="31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September 30, 2023 increased 5.8% to $265.8 million. The increase in adjusted EBITDA was primarily attributable to an increase in our gross margin (net revenue less direct advertising expense, exclusive of depreciation and amortization and capitalized contract fulfillment costs, net) of $9.7 million and a decrease in total general and administrative and corporate expenses of $4.8 million, excluding the impact of stock-based compensation expense and transaction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208,921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FFO for the three months ended September 30, 2023 increased from $208.0 million in 2022 to $210.2 million for the same period in 2023, an increase of 1.0%. AFFO for the three months ended September 30, 2023 increased 1.2% to $208.9 million as compared to $206.5 million for the same period in 2022. The increase in AFFO was primarily attributable to an increase in our gross margin (net revenue less direct advertising expense, exclusive of depreciation and amortization and capitalized contract fulfillment costs, net) and a decrease in total general and administrative and corporate expenses (excluding the effect of stock-based compensation and transaction expenses), offset by an increase in interest expense of $11.5 million.</w:t>
      </w:r>
    </w:p>
    <w:p>
      <w:pPr>
        <w:spacing w:after="0" w:line="265" w:lineRule="exact"/>
        <w:rPr>
          <w:sz w:val="20"/>
          <w:szCs w:val="20"/>
          <w:color w:val="auto"/>
        </w:rPr>
      </w:pPr>
    </w:p>
    <w:p>
      <w:pPr>
        <w:ind w:right="39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Lamar Advertising Company and Lamar Media Corp.</w:t>
      </w:r>
    </w:p>
    <w:p>
      <w:pPr>
        <w:jc w:val="both"/>
        <w:spacing w:after="0" w:line="286" w:lineRule="auto"/>
        <w:rPr>
          <w:sz w:val="20"/>
          <w:szCs w:val="20"/>
          <w:color w:val="auto"/>
        </w:rPr>
      </w:pPr>
      <w:r>
        <w:rPr>
          <w:rFonts w:ascii="Arial" w:cs="Arial" w:eastAsia="Arial" w:hAnsi="Arial"/>
          <w:sz w:val="17"/>
          <w:szCs w:val="17"/>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September 30, 2023, and should be read in conjunction with Note 10 of the Notes to the Company’s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2023 there was approximately $1.33 billion of indebtedness outstanding under the senior credit facility and the Accounts Receivable Securitization Program, or approximately 38.8% of the Company’s outstanding long-term debt on that date, bearing interest at variable rates. The aggregate interest expense for 2023 with respect to borrowings under the senior credit facility and the Accounts Receivable Securitization Program was $60.7 million, and the weighted average interest rate applicable to these borrowings during 2023 was 6.3%. Assuming that the weighted average interest rate was 200 basis points higher (that is 8.3% rather than 6.3%), then the Company’s 2023 interest expense would have increased by approximately $18.9 million for the nine months ended September 30, 2023.</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variable rate and fixed rate indebtedness. In addition, the Company has the capability under the senior credit facility to fix the interest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6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72"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combined Annual Report on Form 10-K for the year ended December 31, 2022,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2022.</w:t>
      </w:r>
    </w:p>
    <w:p>
      <w:pPr>
        <w:spacing w:after="0" w:line="291" w:lineRule="exact"/>
        <w:rPr>
          <w:sz w:val="20"/>
          <w:szCs w:val="20"/>
          <w:color w:val="auto"/>
        </w:rPr>
      </w:pPr>
    </w:p>
    <w:p>
      <w:pPr>
        <w:ind w:right="40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60" w:type="dxa"/>
            <w:vAlign w:val="bottom"/>
            <w:gridSpan w:val="20"/>
            <w:vMerge w:val="restart"/>
          </w:tcPr>
          <w:p>
            <w:pPr>
              <w:ind w:left="21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660" w:type="dxa"/>
            <w:vAlign w:val="bottom"/>
            <w:gridSpan w:val="2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60" w:type="dxa"/>
            <w:vAlign w:val="bottom"/>
            <w:tcBorders>
              <w:top w:val="single" w:sz="8" w:color="auto"/>
            </w:tcBorders>
            <w:gridSpan w:val="22"/>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5"/>
              </w:rPr>
            </w:pPr>
            <w:hyperlink r:id="rId73">
              <w:r>
                <w:rPr>
                  <w:rFonts w:ascii="Arial" w:cs="Arial" w:eastAsia="Arial" w:hAnsi="Arial"/>
                  <w:sz w:val="18"/>
                  <w:szCs w:val="18"/>
                  <w:color w:val="0000FF"/>
                  <w:w w:val="95"/>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(File No. 1-36756) filed on November 19, 2014 and incorporated herein by reference.</w:t>
              </w:r>
            </w:hyperlink>
          </w:p>
        </w:tc>
        <w:tc>
          <w:tcPr>
            <w:tcW w:w="386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K (File No. 1-36756) filed on November 19, 2014 and incorporated herein by reference.</w:t>
              </w:r>
            </w:hyperlink>
          </w:p>
        </w:tc>
        <w:tc>
          <w:tcPr>
            <w:tcW w:w="34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8"/>
              </w:rPr>
            </w:pPr>
            <w:hyperlink r:id="rId75">
              <w:r>
                <w:rPr>
                  <w:rFonts w:ascii="Arial" w:cs="Arial" w:eastAsia="Arial" w:hAnsi="Arial"/>
                  <w:sz w:val="18"/>
                  <w:szCs w:val="18"/>
                  <w:color w:val="0000FF"/>
                  <w:w w:val="98"/>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75">
              <w:r>
                <w:rPr>
                  <w:rFonts w:ascii="Arial" w:cs="Arial" w:eastAsia="Arial" w:hAnsi="Arial"/>
                  <w:sz w:val="18"/>
                  <w:szCs w:val="18"/>
                  <w:color w:val="0000FF"/>
                  <w:w w:val="89"/>
                </w:rPr>
                <w:t>incorporated herein by reference.</w:t>
              </w:r>
            </w:hyperlink>
          </w:p>
        </w:tc>
        <w:tc>
          <w:tcPr>
            <w:tcW w:w="756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5"/>
              </w:rPr>
            </w:pPr>
            <w:hyperlink r:id="rId76">
              <w:r>
                <w:rPr>
                  <w:rFonts w:ascii="Arial" w:cs="Arial" w:eastAsia="Arial" w:hAnsi="Arial"/>
                  <w:sz w:val="18"/>
                  <w:szCs w:val="18"/>
                  <w:color w:val="0000FF"/>
                  <w:w w:val="95"/>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Current Report on Form 8-K (File No. 1-36756) filed on November 19, 2014 and incorporated herein by reference.</w:t>
              </w:r>
            </w:hyperlink>
          </w:p>
        </w:tc>
        <w:tc>
          <w:tcPr>
            <w:tcW w:w="156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the period ended September 30, 1999 (File No. 1-12407) filed on November 12, 1999 and incorporated herein by reference.</w:t>
              </w:r>
            </w:hyperlink>
          </w:p>
        </w:tc>
        <w:tc>
          <w:tcPr>
            <w:tcW w:w="10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Amendment No. 4, dated as of July 31, 2023 to the Fourth Amended and Restated Credit Agreement dated February 6, 2020, by and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among Lamar Media, as Borrower, the Company, Lamar Media's subsidiary guarantors party thereto, JPMorgan Chase Bank, N.A., as</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bottom w:val="single" w:sz="8" w:color="0000FF"/>
            </w:tcBorders>
            <w:gridSpan w:val="14"/>
          </w:tcPr>
          <w:p>
            <w:pPr>
              <w:spacing w:after="0" w:line="156"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Administrative Agent and certain lenders from time to time party thereto. Previously filed as Exhibit 10.1 to the Company's Current</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20" w:type="dxa"/>
            <w:vAlign w:val="bottom"/>
            <w:gridSpan w:val="20"/>
          </w:tcPr>
          <w:p>
            <w:pPr>
              <w:spacing w:after="0" w:line="169" w:lineRule="exact"/>
              <w:rPr>
                <w:rFonts w:ascii="Arial" w:cs="Arial" w:eastAsia="Arial" w:hAnsi="Arial"/>
                <w:sz w:val="18"/>
                <w:szCs w:val="18"/>
                <w:color w:val="0000FF"/>
              </w:rPr>
            </w:pPr>
            <w:hyperlink r:id="rId78">
              <w:r>
                <w:rPr>
                  <w:rFonts w:ascii="Arial" w:cs="Arial" w:eastAsia="Arial" w:hAnsi="Arial"/>
                  <w:sz w:val="18"/>
                  <w:szCs w:val="18"/>
                  <w:color w:val="0000FF"/>
                </w:rPr>
                <w:t>Report on Form 8-K (File No. 1-36756) filed on August 2, 2023 and incorporated herein by reference.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340" w:type="dxa"/>
            <w:vAlign w:val="bottom"/>
            <w:gridSpan w:val="4"/>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FF"/>
                <w:w w:val="96"/>
              </w:rPr>
              <w:t>Certification of the Chief Executive Officer of the Company and Lamar Media pursuant to Securities Exchange Act Rules 13a-14(a)</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0"/>
              </w:rPr>
              <w:t>and 15d-14(a) as adopted pursuant to Section 302 of the Sarbanes-Oxley Act of 2002. Filed herewith.</w:t>
            </w:r>
          </w:p>
        </w:tc>
        <w:tc>
          <w:tcPr>
            <w:tcW w:w="264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FF"/>
                <w:w w:val="93"/>
              </w:rPr>
              <w:t>Certification of the Chief Financial Officer of the Company and Lamar Media pursuant to Securities Exchange Act Rules 13a-14(a) and</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0"/>
              </w:rPr>
              <w:t>15d-14(a) as adopted pursuant to Section 302 of the Sarbanes-Oxley Act of 2002. Filed herewith.</w:t>
            </w:r>
          </w:p>
        </w:tc>
        <w:tc>
          <w:tcPr>
            <w:tcW w:w="2900" w:type="dxa"/>
            <w:vAlign w:val="bottom"/>
            <w:tcBorders>
              <w:top w:val="single" w:sz="8" w:color="0000FF"/>
            </w:tcBorders>
            <w:gridSpan w:val="10"/>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FF"/>
              </w:rPr>
              <w:t>Certification pursuant to 18 U.S.C. Section 1350 as adopted pursuant to Section 906 of the Sarbanes-Oxley Act of 2002. Filed</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herewith.</w:t>
            </w: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380" w:hanging="879"/>
        <w:spacing w:after="0" w:line="254" w:lineRule="auto"/>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September 30, 2023,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99" w:lineRule="exact"/>
        <w:rPr>
          <w:sz w:val="20"/>
          <w:szCs w:val="20"/>
          <w:color w:val="auto"/>
        </w:rPr>
      </w:pPr>
    </w:p>
    <w:p>
      <w:pPr>
        <w:ind w:left="1380" w:hanging="879"/>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Date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8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Arial" w:cs="Arial" w:eastAsia="Arial" w:hAnsi="Arial"/>
          <w:sz w:val="18"/>
          <w:szCs w:val="18"/>
          <w:color w:val="auto"/>
        </w:rPr>
        <w:t>DATED: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Arial" w:cs="Arial" w:eastAsia="Arial" w:hAnsi="Arial"/>
          <w:sz w:val="18"/>
          <w:szCs w:val="18"/>
          <w:color w:val="auto"/>
        </w:rPr>
        <w:t>DATED: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17"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1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564"/>
        <w:spacing w:after="0" w:line="263" w:lineRule="auto"/>
        <w:tabs>
          <w:tab w:leader="none" w:pos="12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240"/>
          </w:cols>
          <w:pgMar w:left="320" w:top="121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17"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564"/>
        <w:spacing w:after="0" w:line="263" w:lineRule="auto"/>
        <w:tabs>
          <w:tab w:leader="none" w:pos="12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121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September 30, 2023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49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Reilly</w:t>
            </w:r>
          </w:p>
        </w:tc>
      </w:tr>
      <w:tr>
        <w:trPr>
          <w:trHeight w:val="222"/>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Arial" w:cs="Arial" w:eastAsia="Arial" w:hAnsi="Arial"/>
                <w:sz w:val="18"/>
                <w:szCs w:val="18"/>
                <w:color w:val="auto"/>
              </w:rPr>
              <w:t>Date: November 2, 2023</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Johnson</w:t>
            </w:r>
          </w:p>
        </w:tc>
      </w:tr>
      <w:tr>
        <w:trPr>
          <w:trHeight w:val="222"/>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4"/>
    </w:lvl>
  </w:abstractNum>
  <w:abstractNum w:abstractNumId="7">
    <w:nsid w:val="2443A858"/>
    <w:multiLevelType w:val="hybridMultilevel"/>
    <w:lvl w:ilvl="0">
      <w:lvlJc w:val="left"/>
      <w:lvlText w:val="%1."/>
      <w:numFmt w:val="decimal"/>
      <w:start w:val="5"/>
    </w:lvl>
  </w:abstractNum>
  <w:abstractNum w:abstractNumId="8">
    <w:nsid w:val="2D1D5AE9"/>
    <w:multiLevelType w:val="hybridMultilevel"/>
    <w:lvl w:ilvl="0">
      <w:lvlJc w:val="left"/>
      <w:lvlText w:val="%1."/>
      <w:numFmt w:val="decimal"/>
      <w:start w:val="6"/>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1."/>
      <w:numFmt w:val="decimal"/>
      <w:start w:val="10"/>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1"/>
    </w:lvl>
  </w:abstractNum>
  <w:abstractNum w:abstractNumId="15">
    <w:nsid w:val="189A769B"/>
    <w:multiLevelType w:val="hybridMultilevel"/>
    <w:lvl w:ilvl="0">
      <w:lvlJc w:val="left"/>
      <w:lvlText w:val="%1."/>
      <w:numFmt w:val="decimal"/>
      <w:start w:val="12"/>
    </w:lvl>
  </w:abstractNum>
  <w:abstractNum w:abstractNumId="16">
    <w:nsid w:val="54E49EB4"/>
    <w:multiLevelType w:val="hybridMultilevel"/>
    <w:lvl w:ilvl="0">
      <w:lvlJc w:val="left"/>
      <w:lvlText w:val="%1."/>
      <w:numFmt w:val="decimal"/>
      <w:start w:val="13"/>
    </w:lvl>
  </w:abstractNum>
  <w:abstractNum w:abstractNumId="17">
    <w:nsid w:val="71F32454"/>
    <w:multiLevelType w:val="hybridMultilevel"/>
    <w:lvl w:ilvl="0">
      <w:lvlJc w:val="left"/>
      <w:lvlText w:val="%1."/>
      <w:numFmt w:val="decimal"/>
      <w:start w:val="14"/>
    </w:lvl>
  </w:abstractNum>
  <w:abstractNum w:abstractNumId="18">
    <w:nsid w:val="2CA88611"/>
    <w:multiLevelType w:val="hybridMultilevel"/>
    <w:lvl w:ilvl="0">
      <w:lvlJc w:val="left"/>
      <w:lvlText w:val="%1."/>
      <w:numFmt w:val="decimal"/>
      <w:start w:val="15"/>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lowerRoman"/>
      <w:start w:val="4"/>
    </w:lvl>
  </w:abstractNum>
  <w:abstractNum w:abstractNumId="26">
    <w:nsid w:val="6CEAF087"/>
    <w:multiLevelType w:val="hybridMultilevel"/>
    <w:lvl w:ilvl="0">
      <w:lvlJc w:val="left"/>
      <w:lvlText w:val="(%1)"/>
      <w:numFmt w:val="lowerRoman"/>
      <w:start w:val="7"/>
    </w:lvl>
  </w:abstractNum>
  <w:abstractNum w:abstractNumId="27">
    <w:nsid w:val="22221A70"/>
    <w:multiLevelType w:val="hybridMultilevel"/>
    <w:lvl w:ilvl="0">
      <w:lvlJc w:val="left"/>
      <w:lvlText w:val="(%1)"/>
      <w:numFmt w:val="decimal"/>
      <w:start w:val="2"/>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lowerRoman"/>
      <w:start w:val="5"/>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decimal"/>
      <w:start w:val="101"/>
    </w:lvl>
  </w:abstractNum>
  <w:abstractNum w:abstractNumId="34">
    <w:nsid w:val="5072367"/>
    <w:multiLevelType w:val="hybridMultilevel"/>
    <w:lvl w:ilvl="0">
      <w:lvlJc w:val="left"/>
      <w:lvlText w:val="%1"/>
      <w:numFmt w:val="decimal"/>
      <w:start w:val="104"/>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73" Type="http://schemas.openxmlformats.org/officeDocument/2006/relationships/hyperlink" Target="https://www.sec.gov/Archives/edgar/data/1090425/000119312514417756/d823054dex31.htm" TargetMode="External"/><Relationship Id="rId74" Type="http://schemas.openxmlformats.org/officeDocument/2006/relationships/hyperlink" Target="https://www.sec.gov/Archives/edgar/data/1090425/000119312514417756/d823054dex32.htm" TargetMode="External"/><Relationship Id="rId75" Type="http://schemas.openxmlformats.org/officeDocument/2006/relationships/hyperlink" Target="https://www.sec.gov/Archives/edgar/data/899045/000095013407011105/d46520exv3w2.htm" TargetMode="External"/><Relationship Id="rId76" Type="http://schemas.openxmlformats.org/officeDocument/2006/relationships/hyperlink" Target="https://www.sec.gov/Archives/edgar/data/1090425/000119312514417756/d823054dex33.htm" TargetMode="External"/><Relationship Id="rId77" Type="http://schemas.openxmlformats.org/officeDocument/2006/relationships/hyperlink" Target="https://www.sec.gov/Archives/edgar/data/899045/000095013499009877/0000950134-99-009877.txt" TargetMode="External"/><Relationship Id="rId78" Type="http://schemas.openxmlformats.org/officeDocument/2006/relationships/hyperlink" Target="https://www.sec.gov/Archives/edgar/data/1090425/000119312523201706/d52040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2023-11-02T09:20:10Z</dcterms:created>
  <dcterms:modified xsi:type="dcterms:W3CDTF">2023-11-02T09:20:10Z</dcterms:modified>
</cp:coreProperties>
</file>