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Jay LeCoryelle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5321 CORPORATE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BATON ROUGE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70808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LAMAR ADVERTISING CO/NEW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LAMR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CFO, Treasurer, EVP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33"/>
        <w:gridCol w:w="935"/>
        <w:gridCol w:w="803"/>
        <w:gridCol w:w="620"/>
        <w:gridCol w:w="343"/>
        <w:gridCol w:w="813"/>
        <w:gridCol w:w="419"/>
        <w:gridCol w:w="858"/>
        <w:gridCol w:w="1117"/>
        <w:gridCol w:w="971"/>
        <w:gridCol w:w="139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03/05/2026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1,260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137.56</w:t>
            </w:r>
            <w:r>
              <w:rPr/>
              <w:t xml:space="preserve"> </w:t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ByWestview Capital Partners,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  <w:tr>
        <w:trPr/>
        <w:tc>
          <w:tcPr>
            <w:tcW w:w="19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is a member and manager of Westview Capital Partners, LLC.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McIlwain,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6249" TargetMode="External"/><Relationship Id="rId5" Type="http://schemas.openxmlformats.org/officeDocument/2006/relationships/hyperlink" Target="http://www.sec.gov/cgi-bin/browse-edgar?action=getcompany&amp;CIK=00010904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3192</Characters>
  <CharactersWithSpaces>3716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